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407" w:leftChars="190" w:hanging="2008" w:hangingChars="500"/>
        <w:jc w:val="left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南县住房和城乡建设局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人防办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2020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年度</w:t>
      </w:r>
    </w:p>
    <w:p>
      <w:pPr>
        <w:ind w:left="2407" w:leftChars="190" w:hanging="2008" w:hangingChars="500"/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项目资金绩效评价报告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为进一步规范部门整体支出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根据《中共中央国务院关于全面实施预算绩效管理的意见》（中发【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2018】 34号)、《中共湖南省委办公厅 湖南省人民政府办公厅关于全面实施预算绩效管理的实施意见》（湘办发【2019】10号）、《南县财政局关于做好2020年度预算绩效自评工作的通知》（南财绩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函【2021】3号）等文件精神，住建局进一步完善项目资金管理制度，规范项目管理行为，</w:t>
      </w:r>
      <w:r>
        <w:rPr>
          <w:rFonts w:hint="eastAsia" w:ascii="仿宋_GB2312" w:eastAsia="仿宋_GB2312"/>
          <w:sz w:val="32"/>
          <w:szCs w:val="32"/>
          <w:lang w:eastAsia="zh-CN"/>
        </w:rPr>
        <w:t>对</w:t>
      </w:r>
      <w:r>
        <w:rPr>
          <w:rFonts w:hint="default" w:ascii="Times New Roman" w:hAnsi="Times New Roman" w:eastAsia="仿宋" w:cs="Times New Roman"/>
          <w:sz w:val="32"/>
          <w:szCs w:val="32"/>
        </w:rPr>
        <w:t>专项资金实施了绩效评价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评价采用定量分析和定性分析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，从项目立项、</w:t>
      </w:r>
      <w:r>
        <w:rPr>
          <w:rFonts w:hint="default" w:ascii="Times New Roman" w:hAnsi="Times New Roman" w:eastAsia="仿宋" w:cs="Times New Roman"/>
          <w:sz w:val="32"/>
          <w:szCs w:val="32"/>
        </w:rPr>
        <w:t>预算编制与执行、资金分配与使用、资金监督与管理及财务会计信息、项目组织管理、项目绩效完成等方面进行综合评价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现将项目绩效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自评</w:t>
      </w:r>
      <w:r>
        <w:rPr>
          <w:rFonts w:hint="default" w:ascii="Times New Roman" w:hAnsi="Times New Roman" w:eastAsia="仿宋" w:cs="Times New Roman"/>
          <w:sz w:val="32"/>
          <w:szCs w:val="32"/>
        </w:rPr>
        <w:t>情况报告如下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项目基本情况</w:t>
      </w:r>
    </w:p>
    <w:p>
      <w:pPr>
        <w:ind w:firstLine="643" w:firstLineChars="200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项目概况</w:t>
      </w:r>
    </w:p>
    <w:p>
      <w:pPr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南县住房和城乡建设局2020年共设项目17个。含农村危房改造、建筑市场质量安全监督和宣传、黑臭水治理、南洲佳苑工程建设项目、纪检监察专项、扫黑除恶专项、污水管理经费、招商引资、茅草街污水处理、一污污水处理、二污污水处理、其他乡镇污水处理、施工图审查、人防专项、白蚁防治、水体专项、2020大通湖流域益阳市南县污水处理厂及配套管网项目。</w:t>
      </w:r>
    </w:p>
    <w:p>
      <w:pPr>
        <w:ind w:firstLine="643" w:firstLineChars="200"/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项目绩效目标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及完成情况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1、农村危房改造。2020年完善农村危房改造录入系统，完成全县“四类人员”遗漏摸底。12月底危改补助已经全部到位，做到了应改尽改，不漏一户，实现了“人不住危房”，为脱贫打好了基础。</w:t>
      </w:r>
    </w:p>
    <w:p>
      <w:pPr>
        <w:numPr>
          <w:ilvl w:val="0"/>
          <w:numId w:val="0"/>
        </w:numPr>
        <w:ind w:leftChars="0"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2、建筑市场质量安全监督和宣传。加强建筑安全宣传与培训，确保工程质量。每天定人定点监督检查工地，10月份组织了全县建筑工匠培训学习。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3、黑臭水治理。完成县域黑臭水治理，规范排污制度。全年</w:t>
      </w:r>
      <w:r>
        <w:rPr>
          <w:rFonts w:hint="eastAsia" w:ascii="仿宋" w:hAnsi="仿宋" w:eastAsia="仿宋" w:cs="仿宋"/>
          <w:sz w:val="32"/>
          <w:szCs w:val="32"/>
        </w:rPr>
        <w:t>对城南双洋渠、渔尾渠黑臭水体进行治理，实施了截污，增加提升泵两台，提升引流至县城第二污水处理厂进行处理。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提高了污水处理率，消减了cod、氨氮、总磷、总氮等污质。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4、南洲佳苑工程建设项目。</w:t>
      </w:r>
      <w:r>
        <w:rPr>
          <w:rFonts w:hint="eastAsia" w:ascii="仿宋" w:hAnsi="仿宋" w:eastAsia="仿宋" w:cs="仿宋"/>
          <w:sz w:val="32"/>
          <w:szCs w:val="32"/>
        </w:rPr>
        <w:t>该项目占地面积约2万平方米，总建筑面积4.8万平方米，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用于安置南洲村拆迁群众。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2020年底</w:t>
      </w:r>
      <w:r>
        <w:rPr>
          <w:rFonts w:hint="eastAsia" w:ascii="仿宋" w:hAnsi="仿宋" w:eastAsia="仿宋" w:cs="仿宋"/>
          <w:sz w:val="32"/>
          <w:szCs w:val="32"/>
        </w:rPr>
        <w:t>已完成竣工验收，进入可处置资产阶段，相关手续正在抓紧办理中。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5、纪检监察专项。定期开展集中学习，加强内部检查监督，把不良现象扼杀在萌芽状态。2020年完成了上级交办的各项纪检工作任务，全体职工遵纪守法。重点行业、领域管理明显加强。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6、扫黑除恶专项。全面完成上级下达的扫黑除恶任务。定期开展法制宣传，发放法制宣传资料。2020年单位内部做到了“无黑无恶”。大部分职工做到了对身边的不良现象积极进行批评教育，职工幸福指数提高。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7、污水管理经费。完成污水处理厂建设，加强污水处理厂设施运营监管。2020年</w:t>
      </w:r>
      <w:r>
        <w:rPr>
          <w:rFonts w:hint="eastAsia" w:ascii="仿宋" w:hAnsi="仿宋" w:eastAsia="仿宋" w:cs="仿宋"/>
          <w:sz w:val="32"/>
          <w:szCs w:val="32"/>
        </w:rPr>
        <w:t>对县城第一污水处理厂进行了提质改造，已通水调试。新建县城第三、第四污水处理厂，分别完成主体工程的80％、40％。完成华阁镇河口集镇污水处理站建设，处理规模200吨/天，配套污水管网约4000米。完成茅草街镇八百弓集镇污水处理站建设，处理规模200吨/天，配套污水管网约4000米。完成了乡镇污水管网补短板工程，新建管网23公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8、招商引资。</w:t>
      </w:r>
      <w:r>
        <w:rPr>
          <w:rFonts w:hint="eastAsia" w:ascii="仿宋" w:hAnsi="仿宋" w:eastAsia="仿宋" w:cs="仿宋"/>
          <w:sz w:val="32"/>
          <w:szCs w:val="32"/>
        </w:rPr>
        <w:t>招商引资0.3亿元，完成年度任务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9、立项争资。</w:t>
      </w:r>
      <w:r>
        <w:rPr>
          <w:rFonts w:hint="eastAsia" w:ascii="仿宋" w:hAnsi="仿宋" w:eastAsia="仿宋" w:cs="仿宋"/>
          <w:sz w:val="32"/>
          <w:szCs w:val="32"/>
        </w:rPr>
        <w:t>全年完成立项争资1.6亿元，同比增长4.15％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10、茅草街污水处理、第一污污水处理厂、第二污污水处理厂、其他乡镇污水处理等四个项目。完成各污水处理厂水质检测提标及设施设备运营监管，完成年度污水处理核算。2020年各污水处理厂通过监管、核算，污水处理费已经全部结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11、施工图审查。按照法律、法规对施工图进行审查。2020年全县施工图全部按要求送去益阳市施工图审中心进行了审查合格。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12、人防专项。2020年依法对城市和重要经济目标的人民防空建设进行了监督检查；指导城市防空袭方案的制定、组织人民防空专业队伍培训；承担县政府赋予的应急救援任务；收取人防易地建设费已全额上缴非税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13、白蚁防治。2020完成了城区房屋和德昌公园树木白蚁防治。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14、水体专项。污水处理厂建设及城市配套管网。2020年完成了一污北侧群众补偿，一污老旧设备更换；完成乡镇污水管网补短板工程。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15、2020大通湖流域益阳市南县污水处理厂及配套管网项目。完成了第三污、第四污污水处理厂建设土地报批及相关配套管网工程。</w:t>
      </w:r>
    </w:p>
    <w:p>
      <w:pPr>
        <w:ind w:firstLine="640" w:firstLineChars="200"/>
        <w:rPr>
          <w:rFonts w:hint="default" w:ascii="黑体" w:hAnsi="黑体" w:eastAsia="黑体" w:cs="黑体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>二、绩效评价工作情况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绩效评价目的</w:t>
      </w:r>
    </w:p>
    <w:p>
      <w:pPr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通过绩效评价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了解专项资金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" w:cs="Times New Roman"/>
          <w:sz w:val="32"/>
          <w:szCs w:val="32"/>
        </w:rPr>
        <w:t>使用和管理情况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及时发现项目资金管理中存在的问题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为加强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" w:cs="Times New Roman"/>
          <w:sz w:val="32"/>
          <w:szCs w:val="32"/>
        </w:rPr>
        <w:t>支出的规范化管理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提高专项资金的使用效益提供重要的参考依据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（二）项目资金实际使用情况</w:t>
      </w:r>
    </w:p>
    <w:p>
      <w:pPr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南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" w:cs="Times New Roman"/>
          <w:sz w:val="32"/>
          <w:szCs w:val="32"/>
        </w:rPr>
        <w:t>住房和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城</w:t>
      </w:r>
      <w:r>
        <w:rPr>
          <w:rFonts w:hint="default" w:ascii="Times New Roman" w:hAnsi="Times New Roman" w:eastAsia="仿宋" w:cs="Times New Roman"/>
          <w:sz w:val="32"/>
          <w:szCs w:val="32"/>
        </w:rPr>
        <w:t>乡建设局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2020</w:t>
      </w:r>
      <w:r>
        <w:rPr>
          <w:rFonts w:hint="default" w:ascii="Times New Roman" w:hAnsi="Times New Roman" w:eastAsia="仿宋" w:cs="Times New Roman"/>
          <w:sz w:val="32"/>
          <w:szCs w:val="32"/>
        </w:rPr>
        <w:t>年度专项资金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支出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15491.05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万</w:t>
      </w:r>
      <w:r>
        <w:rPr>
          <w:rFonts w:hint="default" w:ascii="Times New Roman" w:hAnsi="Times New Roman" w:eastAsia="仿宋" w:cs="Times New Roman"/>
          <w:sz w:val="32"/>
          <w:szCs w:val="32"/>
        </w:rPr>
        <w:t>元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项目资金到位率为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100 %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</w:rPr>
        <w:t>具体支出列示如下表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4"/>
        <w:gridCol w:w="3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479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36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金额(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eastAsia="zh-CN"/>
              </w:rPr>
              <w:t>万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4794" w:type="dxa"/>
          </w:tcPr>
          <w:p>
            <w:pP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农村危房改造</w:t>
            </w:r>
          </w:p>
        </w:tc>
        <w:tc>
          <w:tcPr>
            <w:tcW w:w="3675" w:type="dxa"/>
          </w:tcPr>
          <w:p>
            <w:pPr>
              <w:jc w:val="right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1558.66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4794" w:type="dxa"/>
          </w:tcPr>
          <w:p>
            <w:pP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建筑市场质量安全监督和宣传</w:t>
            </w:r>
          </w:p>
        </w:tc>
        <w:tc>
          <w:tcPr>
            <w:tcW w:w="3675" w:type="dxa"/>
          </w:tcPr>
          <w:p>
            <w:pPr>
              <w:jc w:val="right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45.5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4794" w:type="dxa"/>
          </w:tcPr>
          <w:p>
            <w:pP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黑臭水治理</w:t>
            </w:r>
          </w:p>
        </w:tc>
        <w:tc>
          <w:tcPr>
            <w:tcW w:w="3675" w:type="dxa"/>
          </w:tcPr>
          <w:p>
            <w:pPr>
              <w:jc w:val="right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185.58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4794" w:type="dxa"/>
          </w:tcPr>
          <w:p>
            <w:pP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南洲佳苑工程建设项目</w:t>
            </w:r>
          </w:p>
        </w:tc>
        <w:tc>
          <w:tcPr>
            <w:tcW w:w="3675" w:type="dxa"/>
          </w:tcPr>
          <w:p>
            <w:pPr>
              <w:jc w:val="right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2515.46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4794" w:type="dxa"/>
          </w:tcPr>
          <w:p>
            <w:pP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纪检监察专项</w:t>
            </w:r>
          </w:p>
        </w:tc>
        <w:tc>
          <w:tcPr>
            <w:tcW w:w="3675" w:type="dxa"/>
          </w:tcPr>
          <w:p>
            <w:pPr>
              <w:jc w:val="right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4794" w:type="dxa"/>
          </w:tcPr>
          <w:p>
            <w:pP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扫黑除恶专项</w:t>
            </w:r>
          </w:p>
        </w:tc>
        <w:tc>
          <w:tcPr>
            <w:tcW w:w="3675" w:type="dxa"/>
          </w:tcPr>
          <w:p>
            <w:pPr>
              <w:jc w:val="right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4794" w:type="dxa"/>
          </w:tcPr>
          <w:p>
            <w:pP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污水管理经费</w:t>
            </w:r>
          </w:p>
        </w:tc>
        <w:tc>
          <w:tcPr>
            <w:tcW w:w="3675" w:type="dxa"/>
          </w:tcPr>
          <w:p>
            <w:pPr>
              <w:jc w:val="right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4794" w:type="dxa"/>
          </w:tcPr>
          <w:p>
            <w:pP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招商引资</w:t>
            </w:r>
          </w:p>
        </w:tc>
        <w:tc>
          <w:tcPr>
            <w:tcW w:w="3675" w:type="dxa"/>
          </w:tcPr>
          <w:p>
            <w:pPr>
              <w:jc w:val="right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13.89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4794" w:type="dxa"/>
          </w:tcPr>
          <w:p>
            <w:pP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茅草街污水处理</w:t>
            </w:r>
          </w:p>
        </w:tc>
        <w:tc>
          <w:tcPr>
            <w:tcW w:w="3675" w:type="dxa"/>
          </w:tcPr>
          <w:p>
            <w:pPr>
              <w:jc w:val="right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44.91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4794" w:type="dxa"/>
          </w:tcPr>
          <w:p>
            <w:pP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一污污水处理</w:t>
            </w:r>
          </w:p>
        </w:tc>
        <w:tc>
          <w:tcPr>
            <w:tcW w:w="3675" w:type="dxa"/>
          </w:tcPr>
          <w:p>
            <w:pPr>
              <w:jc w:val="right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363.79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4794" w:type="dxa"/>
          </w:tcPr>
          <w:p>
            <w:pP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二污污水处理</w:t>
            </w:r>
          </w:p>
        </w:tc>
        <w:tc>
          <w:tcPr>
            <w:tcW w:w="3675" w:type="dxa"/>
          </w:tcPr>
          <w:p>
            <w:pPr>
              <w:jc w:val="right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452.42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4794" w:type="dxa"/>
          </w:tcPr>
          <w:p>
            <w:pP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其他乡镇污水处理</w:t>
            </w:r>
          </w:p>
        </w:tc>
        <w:tc>
          <w:tcPr>
            <w:tcW w:w="3675" w:type="dxa"/>
          </w:tcPr>
          <w:p>
            <w:pPr>
              <w:jc w:val="right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53.74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4794" w:type="dxa"/>
          </w:tcPr>
          <w:p>
            <w:pP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施工图审查</w:t>
            </w:r>
          </w:p>
        </w:tc>
        <w:tc>
          <w:tcPr>
            <w:tcW w:w="3675" w:type="dxa"/>
          </w:tcPr>
          <w:p>
            <w:pPr>
              <w:jc w:val="right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357.1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4794" w:type="dxa"/>
          </w:tcPr>
          <w:p>
            <w:pP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人防专项</w:t>
            </w:r>
          </w:p>
        </w:tc>
        <w:tc>
          <w:tcPr>
            <w:tcW w:w="3675" w:type="dxa"/>
          </w:tcPr>
          <w:p>
            <w:pPr>
              <w:jc w:val="right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4794" w:type="dxa"/>
          </w:tcPr>
          <w:p>
            <w:pP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白蚁防治</w:t>
            </w:r>
          </w:p>
        </w:tc>
        <w:tc>
          <w:tcPr>
            <w:tcW w:w="3675" w:type="dxa"/>
          </w:tcPr>
          <w:p>
            <w:pPr>
              <w:jc w:val="right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16.4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4794" w:type="dxa"/>
          </w:tcPr>
          <w:p>
            <w:pP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水体专项</w:t>
            </w:r>
          </w:p>
        </w:tc>
        <w:tc>
          <w:tcPr>
            <w:tcW w:w="3675" w:type="dxa"/>
          </w:tcPr>
          <w:p>
            <w:pPr>
              <w:jc w:val="right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2519.4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4794" w:type="dxa"/>
          </w:tcPr>
          <w:p>
            <w:pP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2020大通湖流域益阳市南县污水处理厂及配套管网项目</w:t>
            </w:r>
          </w:p>
        </w:tc>
        <w:tc>
          <w:tcPr>
            <w:tcW w:w="3675" w:type="dxa"/>
          </w:tcPr>
          <w:p>
            <w:pPr>
              <w:jc w:val="right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7239.2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4794" w:type="dxa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合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计</w:t>
            </w:r>
          </w:p>
        </w:tc>
        <w:tc>
          <w:tcPr>
            <w:tcW w:w="3675" w:type="dxa"/>
          </w:tcPr>
          <w:p>
            <w:pPr>
              <w:jc w:val="right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15491.05</w:t>
            </w:r>
          </w:p>
        </w:tc>
      </w:tr>
    </w:tbl>
    <w:p>
      <w:pPr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321" w:firstLineChars="100"/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（三）项目组织情况分析</w:t>
      </w:r>
    </w:p>
    <w:p>
      <w:pPr>
        <w:numPr>
          <w:ilvl w:val="0"/>
          <w:numId w:val="0"/>
        </w:numPr>
        <w:ind w:firstLine="600" w:firstLineChars="2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sz w:val="30"/>
          <w:szCs w:val="30"/>
        </w:rPr>
        <w:t>制度建设情况。</w:t>
      </w:r>
      <w:r>
        <w:rPr>
          <w:rFonts w:hint="eastAsia" w:ascii="仿宋_GB2312" w:eastAsia="仿宋_GB2312"/>
          <w:sz w:val="32"/>
          <w:szCs w:val="32"/>
          <w:lang w:eastAsia="zh-CN"/>
        </w:rPr>
        <w:t>完善</w:t>
      </w:r>
      <w:r>
        <w:rPr>
          <w:rFonts w:hint="eastAsia" w:ascii="仿宋_GB2312" w:eastAsia="仿宋_GB2312"/>
          <w:sz w:val="32"/>
          <w:szCs w:val="32"/>
        </w:rPr>
        <w:t>了《南县住房和城乡建设局机关管理制度》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《南县住房和城乡建设局财务管理制度》</w:t>
      </w:r>
      <w:r>
        <w:rPr>
          <w:rFonts w:hint="eastAsia" w:ascii="仿宋_GB2312" w:eastAsia="仿宋_GB2312"/>
          <w:sz w:val="32"/>
          <w:szCs w:val="32"/>
          <w:lang w:eastAsia="zh-CN"/>
        </w:rPr>
        <w:t>《专项资金管理制度》</w:t>
      </w:r>
      <w:r>
        <w:rPr>
          <w:rFonts w:hint="eastAsia" w:ascii="仿宋_GB2312" w:eastAsia="仿宋_GB2312"/>
          <w:sz w:val="32"/>
          <w:szCs w:val="32"/>
        </w:rPr>
        <w:t>等一系列</w:t>
      </w:r>
      <w:r>
        <w:rPr>
          <w:rFonts w:hint="eastAsia" w:ascii="仿宋_GB2312" w:eastAsia="仿宋_GB2312"/>
          <w:sz w:val="32"/>
          <w:szCs w:val="32"/>
          <w:lang w:eastAsia="zh-CN"/>
        </w:rPr>
        <w:t>资金</w:t>
      </w:r>
      <w:r>
        <w:rPr>
          <w:rFonts w:hint="eastAsia" w:ascii="仿宋_GB2312" w:eastAsia="仿宋_GB2312"/>
          <w:sz w:val="32"/>
          <w:szCs w:val="32"/>
        </w:rPr>
        <w:t>内</w:t>
      </w:r>
      <w:r>
        <w:rPr>
          <w:rFonts w:hint="eastAsia" w:ascii="仿宋_GB2312" w:eastAsia="仿宋_GB2312"/>
          <w:sz w:val="32"/>
          <w:szCs w:val="32"/>
          <w:lang w:eastAsia="zh-CN"/>
        </w:rPr>
        <w:t>控</w:t>
      </w:r>
      <w:r>
        <w:rPr>
          <w:rFonts w:hint="eastAsia" w:ascii="仿宋_GB2312" w:eastAsia="仿宋_GB2312"/>
          <w:sz w:val="32"/>
          <w:szCs w:val="32"/>
        </w:rPr>
        <w:t>管理。明确了责任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完善了报账流程</w:t>
      </w:r>
      <w:r>
        <w:rPr>
          <w:rFonts w:hint="eastAsia" w:ascii="仿宋_GB2312" w:eastAsia="仿宋_GB2312"/>
          <w:sz w:val="32"/>
          <w:szCs w:val="32"/>
          <w:lang w:eastAsia="zh-CN"/>
        </w:rPr>
        <w:t>、限定了</w:t>
      </w:r>
      <w:r>
        <w:rPr>
          <w:rFonts w:hint="eastAsia" w:ascii="仿宋_GB2312" w:eastAsia="仿宋_GB2312"/>
          <w:sz w:val="32"/>
          <w:szCs w:val="32"/>
        </w:rPr>
        <w:t>权限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规范</w:t>
      </w:r>
      <w:r>
        <w:rPr>
          <w:rFonts w:hint="eastAsia" w:ascii="仿宋_GB2312" w:eastAsia="仿宋_GB2312"/>
          <w:sz w:val="32"/>
          <w:szCs w:val="32"/>
          <w:lang w:eastAsia="zh-CN"/>
        </w:rPr>
        <w:t>了</w:t>
      </w:r>
      <w:r>
        <w:rPr>
          <w:rFonts w:hint="eastAsia" w:ascii="仿宋_GB2312" w:eastAsia="仿宋_GB2312"/>
          <w:sz w:val="32"/>
          <w:szCs w:val="32"/>
        </w:rPr>
        <w:t>财务管理工作。专项立项和预算资金申请、分配、使用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一律由局党组集体研究决定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对资金拨付、使用、验收实施全程监督，做到专款专用，无截留、挤占、挪用、虚列支出等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违规违纪问题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2、日常管理。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项目管理</w:t>
      </w:r>
      <w:r>
        <w:rPr>
          <w:rFonts w:hint="default" w:ascii="Times New Roman" w:hAnsi="Times New Roman" w:eastAsia="仿宋" w:cs="Times New Roman"/>
          <w:sz w:val="32"/>
          <w:szCs w:val="32"/>
        </w:rPr>
        <w:t>采取现场询问、走访调查等方式进行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。制定了岗位责任制，按股室责任到位，安排专人记录项目进程、核实工程质量。</w:t>
      </w:r>
    </w:p>
    <w:p>
      <w:pPr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>三、项目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经济性效益。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2020年收取城市基础设施配套费782.24万元，人防易地建设费234.26万元，已全额上缴南县财政局非税管理。</w:t>
      </w:r>
      <w:r>
        <w:rPr>
          <w:rFonts w:hint="eastAsia" w:ascii="仿宋" w:hAnsi="仿宋" w:eastAsia="仿宋" w:cs="仿宋"/>
          <w:sz w:val="32"/>
          <w:szCs w:val="32"/>
        </w:rPr>
        <w:t>全年完成立项争资1.6亿元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核定建安造价27亿元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）效率性绩效。</w:t>
      </w:r>
      <w:r>
        <w:rPr>
          <w:rFonts w:hint="eastAsia" w:ascii="仿宋_GB2312" w:eastAsia="仿宋_GB2312"/>
          <w:sz w:val="32"/>
          <w:szCs w:val="32"/>
          <w:lang w:eastAsia="zh-CN"/>
        </w:rPr>
        <w:t>项目预算完成率、调整率、支付进度率、结转经费控制率、政府采购执行率全部达标。</w:t>
      </w:r>
    </w:p>
    <w:p>
      <w:pPr>
        <w:ind w:firstLine="643" w:firstLineChars="200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（三）可持续性评价。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项目在资金使用上严格遵照国家财经法规、专项资金管理规定和财务管理制度执行。各项目实施顺利，按计划开工，按计划实施，按计划完工。                   </w:t>
      </w:r>
    </w:p>
    <w:p>
      <w:pPr>
        <w:ind w:firstLine="643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（四）服务对象满意度。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/>
          <w:sz w:val="32"/>
          <w:szCs w:val="32"/>
          <w:lang w:eastAsia="zh-CN"/>
        </w:rPr>
        <w:t>年按年初目标完成了各项工作任务，尤其在城乡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污水和黑臭水体治理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供水供气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农村危房改造</w:t>
      </w:r>
      <w:r>
        <w:rPr>
          <w:rFonts w:hint="eastAsia" w:ascii="仿宋_GB2312" w:eastAsia="仿宋_GB2312"/>
          <w:sz w:val="32"/>
          <w:szCs w:val="32"/>
          <w:lang w:eastAsia="zh-CN"/>
        </w:rPr>
        <w:t>等改善民生方面发挥了积极作用，取得了新的成绩，赢得了人民群众的广泛好评。</w:t>
      </w:r>
    </w:p>
    <w:p>
      <w:pPr>
        <w:ind w:firstLine="643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（五）评价结论。</w:t>
      </w:r>
      <w:r>
        <w:rPr>
          <w:rFonts w:hint="eastAsia" w:ascii="仿宋_GB2312" w:eastAsia="仿宋_GB2312"/>
          <w:sz w:val="32"/>
          <w:szCs w:val="32"/>
          <w:lang w:eastAsia="zh-CN"/>
        </w:rPr>
        <w:t>南县住房和城乡建设局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2020年项目支出对照绩效评价指标体系，从决策、项目资金管理、工程监管等方面进行评价打分。此次项目支出评价综合得分89分，绩效等级为优。具体评分见南县住房和城乡建设局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2020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年部门整体支出绩效自评指标计分表。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四、存在的问题</w:t>
      </w:r>
    </w:p>
    <w:p>
      <w:pPr>
        <w:ind w:firstLine="640" w:firstLineChars="200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（一）一般公共预算内项目资金逐年减少，管理经费不足；</w:t>
      </w:r>
    </w:p>
    <w:p>
      <w:pPr>
        <w:ind w:firstLine="640" w:firstLineChars="200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（二）项目管理人员不足；</w:t>
      </w:r>
    </w:p>
    <w:p>
      <w:pPr>
        <w:ind w:firstLine="640" w:firstLineChars="200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（三）施工过程记录需进一步完善；</w:t>
      </w:r>
    </w:p>
    <w:p>
      <w:pPr>
        <w:ind w:firstLine="640" w:firstLineChars="200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（四）县城第三污、第四污处理厂工程进度要加快；</w:t>
      </w:r>
    </w:p>
    <w:p>
      <w:pPr>
        <w:ind w:firstLine="640" w:firstLineChars="200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（五）建筑市场质量安全宣传和培训力度不够。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五、建议</w:t>
      </w:r>
    </w:p>
    <w:p>
      <w:pPr>
        <w:ind w:firstLine="640" w:firstLineChars="200"/>
        <w:jc w:val="both"/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（一）定人定岗负责项目；</w:t>
      </w:r>
    </w:p>
    <w:p>
      <w:pPr>
        <w:ind w:firstLine="640" w:firstLineChars="200"/>
        <w:jc w:val="both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（二）建筑工匠培训每年增加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2次；</w:t>
      </w:r>
    </w:p>
    <w:p>
      <w:pPr>
        <w:ind w:firstLine="643" w:firstLineChars="200"/>
        <w:jc w:val="both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附表：2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020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年项目支出绩效自评指标计分表</w:t>
      </w:r>
    </w:p>
    <w:p>
      <w:pPr>
        <w:spacing w:line="560" w:lineRule="exact"/>
        <w:rPr>
          <w:rFonts w:hint="eastAsia" w:ascii="黑体" w:hAnsi="黑体" w:eastAsia="黑体"/>
          <w:color w:val="000000"/>
          <w:sz w:val="28"/>
          <w:szCs w:val="28"/>
        </w:rPr>
      </w:pPr>
    </w:p>
    <w:p>
      <w:pPr>
        <w:spacing w:line="560" w:lineRule="exact"/>
        <w:rPr>
          <w:rFonts w:hint="eastAsia" w:ascii="黑体" w:hAnsi="黑体" w:eastAsia="黑体"/>
          <w:b/>
          <w:bCs/>
          <w:color w:val="000000"/>
          <w:sz w:val="30"/>
          <w:szCs w:val="30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</w:rPr>
        <w:t>附件</w:t>
      </w:r>
    </w:p>
    <w:p>
      <w:pPr>
        <w:spacing w:line="600" w:lineRule="exact"/>
        <w:jc w:val="both"/>
        <w:rPr>
          <w:rFonts w:hint="eastAsia" w:ascii="方正小标宋_GBK" w:hAnsi="黑体" w:eastAsia="方正小标宋_GBK"/>
          <w:color w:val="000000"/>
          <w:sz w:val="44"/>
          <w:szCs w:val="44"/>
          <w:lang w:eastAsia="zh-CN"/>
        </w:rPr>
      </w:pPr>
    </w:p>
    <w:p>
      <w:pPr>
        <w:spacing w:line="600" w:lineRule="exact"/>
        <w:ind w:firstLine="440" w:firstLineChars="100"/>
        <w:jc w:val="both"/>
        <w:rPr>
          <w:rFonts w:hint="eastAsia" w:ascii="方正小标宋_GBK" w:hAnsi="黑体" w:eastAsia="方正小标宋_GBK"/>
          <w:color w:val="000000"/>
          <w:sz w:val="44"/>
          <w:szCs w:val="44"/>
        </w:rPr>
      </w:pPr>
      <w:r>
        <w:rPr>
          <w:rFonts w:hint="eastAsia" w:ascii="方正小标宋_GBK" w:hAnsi="黑体" w:eastAsia="方正小标宋_GBK"/>
          <w:color w:val="000000"/>
          <w:sz w:val="44"/>
          <w:szCs w:val="44"/>
          <w:lang w:eastAsia="zh-CN"/>
        </w:rPr>
        <w:t>南县住房和城乡建设局</w:t>
      </w:r>
      <w:r>
        <w:rPr>
          <w:rFonts w:hint="eastAsia" w:ascii="方正小标宋_GBK" w:hAnsi="黑体" w:eastAsia="方正小标宋_GBK"/>
          <w:color w:val="000000"/>
          <w:sz w:val="44"/>
          <w:szCs w:val="44"/>
        </w:rPr>
        <w:t>2020年项目支出</w:t>
      </w:r>
    </w:p>
    <w:p>
      <w:pPr>
        <w:spacing w:line="600" w:lineRule="exact"/>
        <w:ind w:firstLine="2200" w:firstLineChars="500"/>
        <w:jc w:val="both"/>
        <w:rPr>
          <w:rFonts w:hint="eastAsia" w:ascii="方正小标宋_GBK" w:hAnsi="黑体" w:eastAsia="方正小标宋_GBK"/>
          <w:color w:val="000000"/>
          <w:sz w:val="44"/>
          <w:szCs w:val="44"/>
        </w:rPr>
      </w:pPr>
      <w:r>
        <w:rPr>
          <w:rFonts w:hint="eastAsia" w:ascii="方正小标宋_GBK" w:hAnsi="黑体" w:eastAsia="方正小标宋_GBK"/>
          <w:color w:val="000000"/>
          <w:sz w:val="44"/>
          <w:szCs w:val="44"/>
        </w:rPr>
        <w:t>绩效自评指标计分表</w:t>
      </w:r>
    </w:p>
    <w:p>
      <w:pPr>
        <w:spacing w:line="400" w:lineRule="exact"/>
        <w:ind w:firstLine="880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  <w:r>
        <w:rPr>
          <w:rFonts w:hint="eastAsia" w:ascii="方正小标宋_GBK" w:hAnsi="黑体" w:eastAsia="方正小标宋_GBK"/>
          <w:color w:val="000000"/>
          <w:sz w:val="44"/>
          <w:szCs w:val="44"/>
        </w:rPr>
        <w:t xml:space="preserve">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01"/>
        <w:gridCol w:w="848"/>
        <w:gridCol w:w="773"/>
        <w:gridCol w:w="712"/>
        <w:gridCol w:w="3136"/>
        <w:gridCol w:w="3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三级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自评分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具体指标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8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决策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目标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目标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设立了项目绩效目标；目标明确；目标细化；目标量化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设有目标（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分）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目标明确（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分）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目标细化（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分）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目标量化（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决策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过程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决策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依据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符合法律法规（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分）符合经济社会发展规划（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部门年度工作计划（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针对某一实际问题和需求（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决策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程序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项目符合申报条件；申报、批复程序符合相关管理办法；项目调整履行了相应手续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符合申报条件（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分）项目申报、批复程序符合管理办法（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项目调整履行了相应手续（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资金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分配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分配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办法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有相应的资金管理办法（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办法健全、规范（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因素全面合理（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分配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资金分配符合相关管理办法；分配结果公平合理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符合分配办法（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分配公平合理（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8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管理 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25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资金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到位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到位率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实际到位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计划到位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*100%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根据项目资金的实际到位率计算得分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到位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时效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资金及时到位；若未及时到位，是否影响项目进度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到位及时（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不及时但未影响项目进度 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不及时并影响项目进度（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0.5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资金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资金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使用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虚列套取扣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4-7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分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依据不合规扣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截留、挤占、挪用扣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3-6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超标准开支扣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2-5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超预算扣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2-5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财务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资金管理、费用支出等制度健全；制度执行严格；会计核算规范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财务制度健全（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分）严格执行制度（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分）会计核算规范（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组织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实施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组织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机构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机构健全、分工明确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机构健全、分工明确  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实施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项目按计划开工；按计划进度开展；按计划完工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按计划开工（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  按计划开展（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   按计划完工（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制度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项目管理制度健全；严格执行相关管理制度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管理制度健全（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制度执行严格（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8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绩效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55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产出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产出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根据该项目实际，标识具体明确的产出数量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对照绩效目标，按实际产出数量率计算得分（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产出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质量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根据该项目实际，标识具体明确的产出质量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对照绩效目标，按实际产出质量率计算得分（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产出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时效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根据该项目实际，标识具体明确的产出时效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对照绩效目标，按实际产出时效率计算得分（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产出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成本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根据该项目实际，标识具体明确的产出成本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对照绩效目标，按实际产出成本率计算得分（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效果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40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经济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效益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根据项目实际，标识所产生的直接或间接的经济效益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对照绩效目标，按经济效益实现程度计算得分（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5" w:hRule="atLeast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效益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根据项目实际，标识所产生的社会效益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对照绩效目标，按社会效益实现程度计算得分（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环境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效益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根据项目实际，标识对环境所产生的积极或消极影响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对照绩效目标，按对环境所产生的实际影响程度计算得分（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可持续影响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项目产出能持续运用；项目运行所依赖的政策制度能持续执行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项目产出能持续运用（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所依赖的政策制度能持续执行（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对象满意度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项目预期服务对象对项目实施的满意程度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ind w:left="42" w:leftChars="2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按收集到的项目服务对象的满意率计算得分（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总</w:t>
            </w:r>
            <w:r>
              <w:rPr>
                <w:rFonts w:ascii="Calibri" w:hAnsi="Calibri" w:eastAsia="黑体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89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ind w:firstLine="640"/>
        <w:rPr>
          <w:rFonts w:hint="eastAsia" w:ascii="仿宋_GB2312" w:hAnsi="宋体"/>
          <w:color w:val="000000"/>
        </w:rPr>
      </w:pPr>
      <w:r>
        <w:rPr>
          <w:rFonts w:hint="eastAsia" w:ascii="仿宋_GB2312" w:hAnsi="宋体"/>
          <w:color w:val="000000"/>
        </w:rPr>
        <w:t xml:space="preserve"> </w:t>
      </w:r>
    </w:p>
    <w:p>
      <w:pPr>
        <w:shd w:val="clear" w:color="auto" w:fill="FFFFFF"/>
        <w:spacing w:line="580" w:lineRule="exact"/>
        <w:ind w:firstLine="640"/>
        <w:rPr>
          <w:rFonts w:hint="eastAsia"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 xml:space="preserve"> </w:t>
      </w:r>
    </w:p>
    <w:p>
      <w:pPr>
        <w:shd w:val="clear" w:color="auto" w:fill="FFFFFF"/>
        <w:spacing w:line="580" w:lineRule="exact"/>
        <w:rPr>
          <w:rFonts w:hint="eastAsia" w:ascii="仿宋_GB2312" w:eastAsia="仿宋_GB2312"/>
          <w:color w:val="000000"/>
        </w:rPr>
      </w:pPr>
    </w:p>
    <w:p>
      <w:pPr>
        <w:ind w:firstLine="640" w:firstLineChars="200"/>
        <w:rPr>
          <w:rFonts w:hint="default" w:ascii="黑体" w:hAnsi="黑体" w:eastAsia="黑体" w:cs="黑体"/>
          <w:sz w:val="32"/>
          <w:szCs w:val="32"/>
          <w:lang w:eastAsia="zh-CN"/>
        </w:rPr>
      </w:pPr>
    </w:p>
    <w:sectPr>
      <w:footerReference r:id="rId3" w:type="default"/>
      <w:pgSz w:w="11906" w:h="16838"/>
      <w:pgMar w:top="2098" w:right="1474" w:bottom="2098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F6BED"/>
    <w:rsid w:val="02881DA1"/>
    <w:rsid w:val="04D3375A"/>
    <w:rsid w:val="05FD3679"/>
    <w:rsid w:val="066A6254"/>
    <w:rsid w:val="079431DE"/>
    <w:rsid w:val="07DF704C"/>
    <w:rsid w:val="07E018E9"/>
    <w:rsid w:val="0A072F1E"/>
    <w:rsid w:val="0AEE0191"/>
    <w:rsid w:val="0BDF5FA5"/>
    <w:rsid w:val="0C3F76A3"/>
    <w:rsid w:val="0C7A4EB1"/>
    <w:rsid w:val="0E8C0239"/>
    <w:rsid w:val="0ED72DC9"/>
    <w:rsid w:val="0F820F5D"/>
    <w:rsid w:val="10595E44"/>
    <w:rsid w:val="10DD06CF"/>
    <w:rsid w:val="11F5621E"/>
    <w:rsid w:val="127E0B73"/>
    <w:rsid w:val="138F0E78"/>
    <w:rsid w:val="13997F4C"/>
    <w:rsid w:val="174507FA"/>
    <w:rsid w:val="175F30D6"/>
    <w:rsid w:val="1B0C244F"/>
    <w:rsid w:val="1F6934E8"/>
    <w:rsid w:val="21076624"/>
    <w:rsid w:val="22595784"/>
    <w:rsid w:val="22E012BE"/>
    <w:rsid w:val="254358C9"/>
    <w:rsid w:val="2704791C"/>
    <w:rsid w:val="278A506D"/>
    <w:rsid w:val="27BF6093"/>
    <w:rsid w:val="29C01C8C"/>
    <w:rsid w:val="29C01F2C"/>
    <w:rsid w:val="29F96EB4"/>
    <w:rsid w:val="2BA23ED7"/>
    <w:rsid w:val="2BAF29B9"/>
    <w:rsid w:val="2F844E13"/>
    <w:rsid w:val="2FDD3874"/>
    <w:rsid w:val="30C54286"/>
    <w:rsid w:val="31856EA6"/>
    <w:rsid w:val="339E3223"/>
    <w:rsid w:val="343A4BE1"/>
    <w:rsid w:val="346823B2"/>
    <w:rsid w:val="356146D7"/>
    <w:rsid w:val="37556799"/>
    <w:rsid w:val="39B43537"/>
    <w:rsid w:val="3A2E532E"/>
    <w:rsid w:val="3C053CA3"/>
    <w:rsid w:val="3C263C26"/>
    <w:rsid w:val="3C734305"/>
    <w:rsid w:val="3FAD20C8"/>
    <w:rsid w:val="434B4A1E"/>
    <w:rsid w:val="45711262"/>
    <w:rsid w:val="45F32587"/>
    <w:rsid w:val="4714568F"/>
    <w:rsid w:val="47CF3B32"/>
    <w:rsid w:val="47DB533A"/>
    <w:rsid w:val="49EE4507"/>
    <w:rsid w:val="4A457605"/>
    <w:rsid w:val="4A9F6BED"/>
    <w:rsid w:val="4D1518F6"/>
    <w:rsid w:val="4D7E2604"/>
    <w:rsid w:val="4DC30876"/>
    <w:rsid w:val="4E4F5657"/>
    <w:rsid w:val="4FCD7F28"/>
    <w:rsid w:val="5183110E"/>
    <w:rsid w:val="52DE6451"/>
    <w:rsid w:val="56B30348"/>
    <w:rsid w:val="57900D50"/>
    <w:rsid w:val="5819097E"/>
    <w:rsid w:val="583A5C13"/>
    <w:rsid w:val="5A77529D"/>
    <w:rsid w:val="5C9447C0"/>
    <w:rsid w:val="5CB32E59"/>
    <w:rsid w:val="5CDD7319"/>
    <w:rsid w:val="5D9A2971"/>
    <w:rsid w:val="5E0E6926"/>
    <w:rsid w:val="5F726B3E"/>
    <w:rsid w:val="613A3445"/>
    <w:rsid w:val="61C462D5"/>
    <w:rsid w:val="64AD481C"/>
    <w:rsid w:val="64E315A8"/>
    <w:rsid w:val="65070F28"/>
    <w:rsid w:val="66F45D58"/>
    <w:rsid w:val="67853E49"/>
    <w:rsid w:val="690B789F"/>
    <w:rsid w:val="6B04502C"/>
    <w:rsid w:val="6B980783"/>
    <w:rsid w:val="6D0D111C"/>
    <w:rsid w:val="6D9210D4"/>
    <w:rsid w:val="7214743B"/>
    <w:rsid w:val="72A17D07"/>
    <w:rsid w:val="76E535AB"/>
    <w:rsid w:val="779A30A2"/>
    <w:rsid w:val="789E7E84"/>
    <w:rsid w:val="79345C8B"/>
    <w:rsid w:val="7D976CF5"/>
    <w:rsid w:val="7DFE6604"/>
    <w:rsid w:val="7E3C2522"/>
    <w:rsid w:val="7E5D0250"/>
    <w:rsid w:val="7EAD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2021-04-07T10:01:00Z</dcterms:created>
  <dc:creator>Administrator</dc:creator>
  <cp:lastModifiedBy>yongqing</cp:lastModifiedBy>
  <cp:lastPrinted>2021-01-15T01:22:00Z</cp:lastPrinted>
  <dcterms:modified xsi:type="dcterms:W3CDTF">2021-04-28T00:43:39Z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4E802E9577964E55AF7EA621A4708999</vt:lpwstr>
  </property>
</Properties>
</file>