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spacing w:before="0" w:after="0"/>
        <w:rPr>
          <w:sz w:val="28"/>
          <w:szCs w:val="28"/>
        </w:rPr>
      </w:pPr>
    </w:p>
    <w:p>
      <w:pPr>
        <w:pStyle w:val="7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南县实施《基层群众性自治组织依法自治事项清单、依法协助政府工作事项清单和减负工作事项清单（试行）》领导小组名单</w:t>
      </w:r>
    </w:p>
    <w:p>
      <w:pPr>
        <w:spacing w:before="0" w:after="0"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</w:p>
    <w:p>
      <w:pPr>
        <w:spacing w:before="0"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切实加强《基层群众性自治组织依法自治事项清单、依法协助政府工作事项清单和减负工作事项清单（试行）》落实工作的组织领导和统筹协调，强化部门间协作配合，及时解决工作中面临的重大问题，经县委组织部、县平安办、县民政局、县司法局、县财政局、县人社局、县农业农村局、县乡村振兴局、县行政审批服务局研究，决定成立南县实施《基层群众性自治组织依法自治事项清单、依法协助政府工作事项清单和减负工作事项清单（试行）》领导小组。具体名单如下：</w:t>
      </w:r>
    </w:p>
    <w:p>
      <w:pPr>
        <w:spacing w:before="0"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长：李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军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县民政局党组书记、局长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before="0"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员：汤建光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县委组织部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副部长、县委两新工委书记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宋财友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政法委副书记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詹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斌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县民政局党组成员、副局长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晏迎辉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县司法局党组成员、政工室主任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徐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明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县财政局党组副书记、副局长</w:t>
      </w:r>
    </w:p>
    <w:p>
      <w:pPr>
        <w:spacing w:before="0" w:after="0" w:line="560" w:lineRule="exact"/>
        <w:ind w:left="3515" w:leftChars="912" w:hanging="1600" w:hangingChars="5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陈军来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县人社局党组副书记、副局长</w:t>
      </w:r>
    </w:p>
    <w:p>
      <w:pPr>
        <w:spacing w:before="0" w:after="0" w:line="560" w:lineRule="exact"/>
        <w:ind w:left="3515" w:leftChars="912" w:hanging="1600" w:hangingChars="5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高建彬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县农业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农村局党组副书记、</w:t>
      </w:r>
      <w:r>
        <w:rPr>
          <w:rFonts w:hint="eastAsia" w:ascii="仿宋_GB2312" w:hAnsi="仿宋" w:eastAsia="仿宋_GB2312" w:cs="仿宋"/>
          <w:sz w:val="32"/>
          <w:szCs w:val="32"/>
        </w:rPr>
        <w:t>综合行政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执</w:t>
      </w:r>
    </w:p>
    <w:p>
      <w:pPr>
        <w:spacing w:before="0" w:after="0" w:line="560" w:lineRule="exact"/>
        <w:ind w:firstLine="1920" w:firstLineChars="6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高建彬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法局专职副局长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廖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原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县乡村振兴局党组成员、副局长</w:t>
      </w:r>
    </w:p>
    <w:p>
      <w:pPr>
        <w:spacing w:before="0" w:after="0"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廖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恩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县行政审批服务局局长</w:t>
      </w:r>
    </w:p>
    <w:p>
      <w:pPr>
        <w:spacing w:before="0"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领导小组办公室设在民政局，主要负责领导小组办公室日常工作。办公室主任由詹斌同志兼任，以上人员如有变动，由负责此项工作的同志接替，不再另行发文。</w:t>
      </w:r>
    </w:p>
    <w:p>
      <w:pPr>
        <w:spacing w:before="0"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领导小组成员单位设联络员，由各单位有关股室负责同志担任</w:t>
      </w:r>
      <w:r>
        <w:rPr>
          <w:rFonts w:ascii="仿宋_GB2312" w:hAnsi="仿宋" w:eastAsia="仿宋_GB2312" w:cs="仿宋"/>
          <w:sz w:val="32"/>
          <w:szCs w:val="32"/>
        </w:rPr>
        <w:t>,</w:t>
      </w:r>
      <w:r>
        <w:rPr>
          <w:rFonts w:hint="eastAsia" w:ascii="仿宋_GB2312" w:hAnsi="仿宋" w:eastAsia="仿宋_GB2312" w:cs="仿宋"/>
          <w:sz w:val="32"/>
          <w:szCs w:val="32"/>
        </w:rPr>
        <w:t>具体名单如下</w:t>
      </w:r>
      <w:r>
        <w:rPr>
          <w:rFonts w:ascii="仿宋_GB2312" w:hAnsi="仿宋" w:eastAsia="仿宋_GB2312" w:cs="仿宋"/>
          <w:sz w:val="32"/>
          <w:szCs w:val="32"/>
        </w:rPr>
        <w:t>: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涂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威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县委组织部党代表联络办主任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奚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鑫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县委政法委综治督导组组长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王伟球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县民政局基层政权股股长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肖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芬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县司法局基层股股长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王建宏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县财政局税政法规股股长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易建新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县人社局就业培训股股长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袁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伟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县农业农村局办公室主任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何佳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锋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县乡村振兴局综合股股长</w:t>
      </w:r>
    </w:p>
    <w:p>
      <w:pPr>
        <w:spacing w:before="0" w:after="0" w:line="56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聂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巍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县行政审批服务局政务服务中心主任</w:t>
      </w:r>
    </w:p>
    <w:p>
      <w:pPr>
        <w:spacing w:before="0" w:after="0" w:line="560" w:lineRule="exact"/>
        <w:rPr>
          <w:rFonts w:ascii="仿宋_GB2312" w:eastAsia="仿宋_GB2312"/>
          <w:sz w:val="30"/>
          <w:szCs w:val="30"/>
        </w:rPr>
      </w:pPr>
    </w:p>
    <w:p>
      <w:pPr>
        <w:spacing w:before="0" w:after="0"/>
        <w:ind w:firstLine="4950" w:firstLineChars="1650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53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118745</wp:posOffset>
              </wp:positionV>
              <wp:extent cx="711835" cy="2305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/>
                            <w:ind w:firstLine="0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.35pt;margin-top:9.35pt;height:18.15pt;width:56.05pt;mso-position-horizontal-relative:margin;mso-wrap-style:none;z-index:251659264;mso-width-relative:page;mso-height-relative:page;" filled="f" stroked="f" coordsize="21600,21600" o:gfxdata="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Ho0V0gAAAAYBAAAPAAAAAAAAAAEAIAAAACIAAABkcnMvZG93&#10;bnJldi54bWxQSwECFAAUAAAACACHTuJAdLduHs0BAACX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="0" w:after="0"/>
                      <w:ind w:firstLine="0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" w:hAnsi="仿宋" w:eastAsia="仿宋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仿宋" w:hAnsi="仿宋" w:eastAsia="仿宋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56" w:after="312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paragraph" w:customStyle="1" w:styleId="7">
    <w:name w:val="Body text|1"/>
    <w:basedOn w:val="1"/>
    <w:qFormat/>
    <w:uiPriority w:val="99"/>
    <w:pPr>
      <w:spacing w:before="0" w:after="0" w:line="406" w:lineRule="auto"/>
      <w:ind w:firstLine="400"/>
      <w:jc w:val="left"/>
    </w:pPr>
    <w:rPr>
      <w:rFonts w:ascii="宋体" w:hAnsi="宋体" w:cs="宋体"/>
      <w:color w:val="00000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2022-03-10T01:05:49Z</dcterms:created>
  <dc:creator>Administrator</dc:creator>
  <cp:lastModifiedBy>亦湛蓝</cp:lastModifiedBy>
  <dcterms:modified xsi:type="dcterms:W3CDTF">2022-03-10T01:06:05Z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