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1"/>
          <w:sz w:val="56"/>
          <w:szCs w:val="5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1"/>
          <w:sz w:val="56"/>
          <w:szCs w:val="56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1"/>
          <w:sz w:val="56"/>
          <w:szCs w:val="56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1"/>
          <w:sz w:val="56"/>
          <w:szCs w:val="56"/>
          <w:highlight w:val="none"/>
          <w:lang w:eastAsia="zh-CN"/>
        </w:rPr>
        <w:t>年度南县政府预算相关说明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1"/>
          <w:sz w:val="56"/>
          <w:szCs w:val="5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1"/>
          <w:sz w:val="56"/>
          <w:szCs w:val="5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1"/>
          <w:sz w:val="56"/>
          <w:szCs w:val="56"/>
          <w:highlight w:val="none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1"/>
          <w:sz w:val="56"/>
          <w:szCs w:val="56"/>
          <w:highlight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1"/>
          <w:sz w:val="56"/>
          <w:szCs w:val="56"/>
          <w:highlight w:val="none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1"/>
          <w:sz w:val="56"/>
          <w:szCs w:val="5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1"/>
          <w:sz w:val="40"/>
          <w:szCs w:val="40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  <w:lang w:val="en-US" w:eastAsia="zh-CN"/>
        </w:rPr>
        <w:t>一、2021年南县纳入预算管理上级转移支付说明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</w:rPr>
        <w:t>2021年南县“三公”经费预算说明</w:t>
      </w:r>
      <w:r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DAE3F3" w:themeFill="accent5" w:themeFillTint="32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DAE3F3" w:themeFill="accent5" w:themeFillTint="32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  <w:lang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</w:rPr>
        <w:t>2021年南县纳入预算管理上级转移支付说明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黑体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黑体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  <w:lang w:eastAsia="zh-CN"/>
        </w:rPr>
        <w:t>（</w:t>
      </w:r>
      <w:r>
        <w:rPr>
          <w:rFonts w:hint="eastAsia" w:ascii="方正黑体_GBK" w:hAnsi="黑体" w:eastAsia="方正黑体_GBK"/>
          <w:sz w:val="32"/>
          <w:szCs w:val="32"/>
        </w:rPr>
        <w:t>一</w:t>
      </w:r>
      <w:r>
        <w:rPr>
          <w:rFonts w:hint="eastAsia" w:ascii="方正黑体_GBK" w:hAnsi="黑体" w:eastAsia="方正黑体_GBK"/>
          <w:sz w:val="32"/>
          <w:szCs w:val="32"/>
          <w:lang w:eastAsia="zh-CN"/>
        </w:rPr>
        <w:t>）</w:t>
      </w:r>
      <w:r>
        <w:rPr>
          <w:rFonts w:hint="eastAsia" w:ascii="方正黑体_GBK" w:hAnsi="黑体" w:eastAsia="方正黑体_GBK"/>
          <w:sz w:val="32"/>
          <w:szCs w:val="32"/>
        </w:rPr>
        <w:t>、一般公共预算上级转移支付情况的说明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仿宋简体" w:eastAsia="方正仿宋简体"/>
          <w:sz w:val="32"/>
          <w:szCs w:val="28"/>
        </w:rPr>
      </w:pPr>
      <w:r>
        <w:rPr>
          <w:rFonts w:hint="eastAsia" w:ascii="方正仿宋简体" w:eastAsia="方正仿宋简体"/>
          <w:sz w:val="32"/>
          <w:szCs w:val="28"/>
        </w:rPr>
        <w:t>根据省财政厅提前下达的2021年部分转移支付及2020年转移支付预计完成数，2021年年初预算转移支付预算收入为427218万元。其中一般性转移支付收入174794万元、专项转移支付收入246614万元。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仿宋简体" w:eastAsia="方正仿宋简体"/>
          <w:sz w:val="32"/>
          <w:szCs w:val="28"/>
        </w:rPr>
      </w:pPr>
      <w:r>
        <w:rPr>
          <w:rFonts w:hint="eastAsia" w:ascii="方正仿宋简体" w:eastAsia="方正仿宋简体"/>
          <w:sz w:val="32"/>
          <w:szCs w:val="28"/>
        </w:rPr>
        <w:t>一般性转移支付收入174794万元，包括返还性收入5810万元、均衡性转移支付收入89713万元、县级基本财力保障机制奖补资金收入54094万元、固定基数补助收入21353万元、老少边穷转移支付收入1509万元、结算补助收入3733万元、产粮（油）大县奖励资金1906万元、重点生态功能区转移支付收入2397万元、企事业单位划转补助收入89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仿宋简体" w:eastAsia="方正仿宋简体"/>
          <w:sz w:val="32"/>
          <w:szCs w:val="28"/>
        </w:rPr>
      </w:pPr>
      <w:r>
        <w:rPr>
          <w:rFonts w:hint="eastAsia" w:ascii="方正仿宋简体" w:eastAsia="方正仿宋简体"/>
          <w:sz w:val="32"/>
          <w:szCs w:val="28"/>
        </w:rPr>
        <w:t>专项转移支付收入246614万元，包括一般公共服务2711万元、公共安全3026万元、教育16530万元、科学技术1236万元、文化旅游体育与传媒2642万元、社会保障和就业65049万元、卫生健康56064万元、节能环保10174万元、城乡社区1378万元、农林水60625万元、交通运输8909万元、资源勘探信息784万元、商业服务业2679万元、金融890万元、自然资源海洋气象等50万元、住房保障8205万元、粮油物资储备4578万元、灾害防治及应急管理1084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  <w:lang w:eastAsia="zh-CN"/>
        </w:rPr>
        <w:t>（</w:t>
      </w:r>
      <w:r>
        <w:rPr>
          <w:rFonts w:hint="eastAsia" w:ascii="方正黑体_GBK" w:hAnsi="黑体" w:eastAsia="方正黑体_GBK"/>
          <w:sz w:val="32"/>
          <w:szCs w:val="32"/>
        </w:rPr>
        <w:t>二</w:t>
      </w:r>
      <w:r>
        <w:rPr>
          <w:rFonts w:hint="eastAsia" w:ascii="方正黑体_GBK" w:hAnsi="黑体" w:eastAsia="方正黑体_GBK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方正黑体_GBK" w:hAnsi="黑体" w:eastAsia="方正黑体_GBK"/>
          <w:sz w:val="32"/>
          <w:szCs w:val="32"/>
        </w:rPr>
        <w:t>、政府性基金预算上级转移支付情况的说明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eastAsia="zh-CN"/>
        </w:rPr>
      </w:pPr>
      <w:r>
        <w:rPr>
          <w:rFonts w:hint="eastAsia" w:ascii="方正仿宋简体" w:eastAsia="方正仿宋简体"/>
          <w:sz w:val="32"/>
          <w:szCs w:val="28"/>
        </w:rPr>
        <w:t>根据省财政厅2020年转移支付预计完成数，2021年年初预算府性基金预算上级转移支付预算收入为3355万元，其中：国家电影发展专项42万元、大中型水库移民后期扶持基金收入和小型水库移民扶助基金收入2313万元，彩票发行机构业务费219万元，体育彩票公益金</w:t>
      </w:r>
      <w:r>
        <w:rPr>
          <w:rFonts w:hint="eastAsia" w:ascii="方正仿宋简体" w:eastAsia="方正仿宋简体"/>
          <w:sz w:val="32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70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DAE3F3" w:themeFill="accent5" w:themeFillTint="32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  <w:lang w:eastAsia="zh-CN"/>
        </w:rPr>
        <w:t>二、</w:t>
      </w: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</w:rPr>
        <w:t>关于2021年南县“三公经费”预算的说明</w:t>
      </w:r>
    </w:p>
    <w:p>
      <w:pPr>
        <w:ind w:firstLine="640" w:firstLineChars="200"/>
        <w:rPr>
          <w:rFonts w:hint="eastAsia" w:ascii="方正仿宋简体" w:eastAsia="方正仿宋简体" w:cs="方正仿宋_GB18030(S10版)" w:hAnsiTheme="minorEastAsia"/>
          <w:sz w:val="32"/>
          <w:szCs w:val="32"/>
        </w:rPr>
      </w:pPr>
    </w:p>
    <w:p>
      <w:pPr>
        <w:ind w:firstLine="640" w:firstLineChars="200"/>
        <w:rPr>
          <w:rFonts w:hint="eastAsia" w:ascii="方正仿宋简体" w:eastAsia="方正仿宋简体" w:cs="方正仿宋_GB18030(S10版)" w:hAnsiTheme="minorEastAsia"/>
          <w:sz w:val="32"/>
          <w:szCs w:val="32"/>
        </w:rPr>
      </w:pPr>
    </w:p>
    <w:p>
      <w:pPr>
        <w:ind w:firstLine="640" w:firstLineChars="200"/>
        <w:rPr>
          <w:rFonts w:ascii="方正仿宋简体" w:eastAsia="方正仿宋简体" w:cs="方正仿宋_GB18030(S10版)" w:hAnsiTheme="minorEastAsia"/>
          <w:sz w:val="32"/>
          <w:szCs w:val="32"/>
        </w:rPr>
      </w:pPr>
      <w:r>
        <w:rPr>
          <w:rFonts w:hint="eastAsia" w:ascii="方正仿宋简体" w:eastAsia="方正仿宋简体" w:cs="方正仿宋_GB18030(S10版)" w:hAnsiTheme="minorEastAsia"/>
          <w:sz w:val="32"/>
          <w:szCs w:val="32"/>
        </w:rPr>
        <w:t>汇总数据显示，2021年全县“三公”经费预算数为1301.6万元，较上年减少89.08万元，具体情况如下：</w:t>
      </w:r>
    </w:p>
    <w:p>
      <w:pPr>
        <w:ind w:firstLine="640" w:firstLineChars="200"/>
        <w:rPr>
          <w:rFonts w:ascii="方正仿宋简体" w:eastAsia="方正仿宋简体" w:cs="方正仿宋_GB18030(S10版)" w:hAnsiTheme="minorEastAsia"/>
          <w:sz w:val="32"/>
          <w:szCs w:val="32"/>
        </w:rPr>
      </w:pPr>
      <w:r>
        <w:rPr>
          <w:rFonts w:hint="eastAsia" w:ascii="方正仿宋简体" w:eastAsia="方正仿宋简体" w:cs="方正仿宋_GB18030(S10版)" w:hAnsiTheme="minorEastAsia"/>
          <w:sz w:val="32"/>
          <w:szCs w:val="32"/>
        </w:rPr>
        <w:t>1.县级公务接待费财政拨款预算为681.3万元，较上年828.18万元减少146.88万元。主要是根据过“紧日子”要求，严控三公经费。</w:t>
      </w:r>
    </w:p>
    <w:p>
      <w:pPr>
        <w:ind w:firstLine="640" w:firstLineChars="200"/>
        <w:rPr>
          <w:rFonts w:ascii="方正仿宋简体" w:eastAsia="方正仿宋简体" w:cs="方正仿宋_GB18030(S10版)" w:hAnsiTheme="minorEastAsia"/>
          <w:sz w:val="32"/>
          <w:szCs w:val="32"/>
        </w:rPr>
      </w:pPr>
      <w:r>
        <w:rPr>
          <w:rFonts w:hint="eastAsia" w:ascii="方正仿宋简体" w:eastAsia="方正仿宋简体" w:cs="方正仿宋_GB18030(S10版)" w:hAnsiTheme="minorEastAsia"/>
          <w:sz w:val="32"/>
          <w:szCs w:val="32"/>
        </w:rPr>
        <w:t>2.县级公务购车及运行维护费财政拨款预算为620.3万元，较上年562.5万元增加57.8万元。主要是根据实际情况，部分单位公务用车运行维护费额度增加。</w:t>
      </w:r>
    </w:p>
    <w:p>
      <w:pPr>
        <w:ind w:firstLine="640" w:firstLineChars="200"/>
        <w:rPr>
          <w:rFonts w:ascii="方正仿宋简体" w:eastAsia="方正仿宋简体" w:cs="方正仿宋_GB18030(S10版)" w:hAnsiTheme="minorEastAsia"/>
          <w:sz w:val="32"/>
          <w:szCs w:val="32"/>
        </w:rPr>
      </w:pPr>
      <w:r>
        <w:rPr>
          <w:rFonts w:hint="eastAsia" w:ascii="方正仿宋简体" w:eastAsia="方正仿宋简体" w:cs="方正仿宋_GB18030(S10版)" w:hAnsiTheme="minorEastAsia"/>
          <w:sz w:val="32"/>
          <w:szCs w:val="32"/>
        </w:rPr>
        <w:t>3.2020和2021年，南县均无公务出国费财政拨款预算。今后，除特殊情况外，我县部门预算编制将严格实行“三公经费”只减不增规定，并将其作为预算审核的重点环节加以把关。一是在部门预算执行中，严格要求部门和单位必须按照批复下达的“三公经费”预算执行，对超计划申请“三公经费”的，财政部门一律不予办理预算追加手续，实现动态监管。二是全面推行公务卡制度改革，公务卡改革实现对县、乡两级所有预算单位的全覆盖，县财政局下发《关于实施预算单位公务卡强制结算目录的通知》（南财库〔2017〕166号），将差旅费、公务接待费和会议费等公务支出纳入强制结算目录范围，切实减少预算单位现金使用。三是提高国库集中支付比例，财政部门通过集中支付动态监管，对普遍存在的违规和重点监控问题，通过支付系统发布事前预警通知，提醒预算单位按照规定办理支付业务。四是全县所有预算单位全面推行预决算信息公开。通过预决算和“三公”经费公开对厉行节约形成倒逼机制，促进落实中央“八项规定”取得实效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1"/>
          <w:sz w:val="56"/>
          <w:szCs w:val="56"/>
          <w:highlight w:val="none"/>
          <w:lang w:eastAsia="zh-CN"/>
        </w:rPr>
      </w:pPr>
    </w:p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(S10版)">
    <w:altName w:val="仿宋"/>
    <w:panose1 w:val="00000000000000000000"/>
    <w:charset w:val="86"/>
    <w:family w:val="auto"/>
    <w:pitch w:val="default"/>
    <w:sig w:usb0="00000000" w:usb1="00000000" w:usb2="00000016" w:usb3="00000000" w:csb0="6016019B" w:csb1="DD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NGU5ZmRmYzc1ZjFlYzZmYmQ2YzBmYzdkZTA1NGEifQ=="/>
  </w:docVars>
  <w:rsids>
    <w:rsidRoot w:val="29376124"/>
    <w:rsid w:val="20EB7624"/>
    <w:rsid w:val="28360166"/>
    <w:rsid w:val="29376124"/>
    <w:rsid w:val="6A8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1206</Words>
  <Characters>1405</Characters>
  <Lines>0</Lines>
  <Paragraphs>0</Paragraphs>
  <TotalTime>1</TotalTime>
  <ScaleCrop>false</ScaleCrop>
  <LinksUpToDate>false</LinksUpToDate>
  <CharactersWithSpaces>1407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2022-06-01T03:04:00Z</dcterms:created>
  <dc:creator>@wang</dc:creator>
  <cp:lastModifiedBy>@wang</cp:lastModifiedBy>
  <dcterms:modified xsi:type="dcterms:W3CDTF">2022-06-01T03:08:23Z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76A77E6889034166AF38F7F731762A99</vt:lpwstr>
  </property>
</Properties>
</file>