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中共南县县委办公室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20</w:t>
      </w:r>
      <w:r>
        <w:rPr>
          <w:rFonts w:hint="eastAsia" w:asciiTheme="minorEastAsia" w:hAnsiTheme="minorEastAsia" w:eastAsiaTheme="minorEastAsia" w:cstheme="minorEastAsia"/>
          <w:b/>
          <w:bCs/>
          <w:sz w:val="44"/>
          <w:szCs w:val="44"/>
        </w:rPr>
        <w:t>年度预算绩效自评工作报告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en-US" w:eastAsia="zh-CN"/>
        </w:rPr>
        <w:t>中共</w:t>
      </w:r>
      <w:r>
        <w:rPr>
          <w:rFonts w:hint="eastAsia" w:ascii="仿宋" w:hAnsi="仿宋" w:eastAsia="仿宋" w:cs="仿宋"/>
          <w:sz w:val="32"/>
          <w:szCs w:val="32"/>
        </w:rPr>
        <w:t>湖南省</w:t>
      </w:r>
      <w:r>
        <w:rPr>
          <w:rFonts w:hint="eastAsia" w:ascii="仿宋" w:hAnsi="仿宋" w:eastAsia="仿宋" w:cs="仿宋"/>
          <w:sz w:val="32"/>
          <w:szCs w:val="32"/>
          <w:lang w:val="en-US" w:eastAsia="zh-CN"/>
        </w:rPr>
        <w:t>委办公厅 湖南省人民政府办公厅关于全面实施预算绩效管理的实施意见</w:t>
      </w:r>
      <w:r>
        <w:rPr>
          <w:rFonts w:hint="eastAsia" w:ascii="仿宋" w:hAnsi="仿宋" w:eastAsia="仿宋" w:cs="仿宋"/>
          <w:sz w:val="32"/>
          <w:szCs w:val="32"/>
        </w:rPr>
        <w:t>》（湘</w:t>
      </w:r>
      <w:r>
        <w:rPr>
          <w:rFonts w:hint="eastAsia" w:ascii="仿宋" w:hAnsi="仿宋" w:eastAsia="仿宋" w:cs="仿宋"/>
          <w:sz w:val="32"/>
          <w:szCs w:val="32"/>
          <w:lang w:val="en-US" w:eastAsia="zh-CN"/>
        </w:rPr>
        <w:t>办</w:t>
      </w:r>
      <w:r>
        <w:rPr>
          <w:rFonts w:hint="eastAsia" w:ascii="仿宋" w:hAnsi="仿宋" w:eastAsia="仿宋" w:cs="仿宋"/>
          <w:sz w:val="32"/>
          <w:szCs w:val="32"/>
        </w:rPr>
        <w:t>发〔20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号）和《南县</w:t>
      </w:r>
      <w:r>
        <w:rPr>
          <w:rFonts w:hint="eastAsia" w:ascii="仿宋" w:hAnsi="仿宋" w:eastAsia="仿宋" w:cs="仿宋"/>
          <w:sz w:val="32"/>
          <w:szCs w:val="32"/>
          <w:lang w:val="en-US" w:eastAsia="zh-CN"/>
        </w:rPr>
        <w:t>财政局关于做好2020年度预算绩效自评工作的通知</w:t>
      </w:r>
      <w:r>
        <w:rPr>
          <w:rFonts w:hint="eastAsia" w:ascii="仿宋" w:hAnsi="仿宋" w:eastAsia="仿宋" w:cs="仿宋"/>
          <w:sz w:val="32"/>
          <w:szCs w:val="32"/>
        </w:rPr>
        <w:t>》（南</w:t>
      </w:r>
      <w:r>
        <w:rPr>
          <w:rFonts w:hint="eastAsia" w:ascii="仿宋" w:hAnsi="仿宋" w:eastAsia="仿宋" w:cs="仿宋"/>
          <w:sz w:val="32"/>
          <w:szCs w:val="32"/>
          <w:lang w:val="en-US" w:eastAsia="zh-CN"/>
        </w:rPr>
        <w:t>财绩函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号）等文件精神要求，为进一步规范财政资金管理，牢固树立预算绩效理念，切实提高财政资金使用效益，我</w:t>
      </w:r>
      <w:r>
        <w:rPr>
          <w:rFonts w:hint="eastAsia" w:ascii="仿宋" w:hAnsi="仿宋" w:eastAsia="仿宋" w:cs="仿宋"/>
          <w:sz w:val="32"/>
          <w:szCs w:val="32"/>
          <w:lang w:eastAsia="zh-CN"/>
        </w:rPr>
        <w:t>办</w:t>
      </w:r>
      <w:r>
        <w:rPr>
          <w:rFonts w:hint="eastAsia" w:ascii="仿宋" w:hAnsi="仿宋" w:eastAsia="仿宋" w:cs="仿宋"/>
          <w:sz w:val="32"/>
          <w:szCs w:val="32"/>
        </w:rPr>
        <w:t>成立了以财务分管领导</w:t>
      </w:r>
      <w:r>
        <w:rPr>
          <w:rFonts w:hint="eastAsia" w:ascii="仿宋" w:hAnsi="仿宋" w:eastAsia="仿宋" w:cs="仿宋"/>
          <w:sz w:val="32"/>
          <w:szCs w:val="32"/>
          <w:lang w:val="en-US" w:eastAsia="zh-CN"/>
        </w:rPr>
        <w:t>舒志福</w:t>
      </w:r>
      <w:r>
        <w:rPr>
          <w:rFonts w:hint="eastAsia" w:ascii="仿宋" w:hAnsi="仿宋" w:eastAsia="仿宋" w:cs="仿宋"/>
          <w:sz w:val="32"/>
          <w:szCs w:val="32"/>
        </w:rPr>
        <w:t>同志为组长的</w:t>
      </w:r>
      <w:r>
        <w:rPr>
          <w:rFonts w:hint="eastAsia" w:ascii="仿宋" w:hAnsi="仿宋" w:eastAsia="仿宋" w:cs="仿宋"/>
          <w:sz w:val="32"/>
          <w:szCs w:val="32"/>
          <w:lang w:val="en-US" w:eastAsia="zh-CN"/>
        </w:rPr>
        <w:t>预算</w:t>
      </w:r>
      <w:r>
        <w:rPr>
          <w:rFonts w:hint="eastAsia" w:ascii="仿宋" w:hAnsi="仿宋" w:eastAsia="仿宋" w:cs="仿宋"/>
          <w:sz w:val="32"/>
          <w:szCs w:val="32"/>
        </w:rPr>
        <w:t>绩效自评工作小组，参照有关财政支出绩效评价指标体系，认真组织对20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中共南县县委办公室（以下简称县委办公室）是县委工作机关，为正科级，加挂县档案局牌子，对外使用县人民政府外事办公室、县人民政府港澳事务办公室、县委台湾工作办公室、县人民政府台湾事务办公室、县委保密委员会办公室（县国家保密局）、县委机要局（县国家密码管理局）名称。人员编制数3</w:t>
      </w:r>
      <w:r>
        <w:rPr>
          <w:rFonts w:hint="eastAsia" w:ascii="仿宋" w:hAnsi="仿宋" w:eastAsia="仿宋" w:cs="仿宋"/>
          <w:sz w:val="32"/>
          <w:szCs w:val="32"/>
          <w:lang w:val="en-US" w:eastAsia="zh-CN"/>
        </w:rPr>
        <w:t>6</w:t>
      </w:r>
      <w:r>
        <w:rPr>
          <w:rFonts w:hint="eastAsia" w:ascii="仿宋" w:hAnsi="仿宋" w:eastAsia="仿宋" w:cs="仿宋"/>
          <w:sz w:val="32"/>
          <w:szCs w:val="32"/>
        </w:rPr>
        <w:t>个，其中行政编制</w:t>
      </w:r>
      <w:r>
        <w:rPr>
          <w:rFonts w:hint="eastAsia" w:ascii="仿宋" w:hAnsi="仿宋" w:eastAsia="仿宋" w:cs="仿宋"/>
          <w:sz w:val="32"/>
          <w:szCs w:val="32"/>
          <w:lang w:val="en-US" w:eastAsia="zh-CN"/>
        </w:rPr>
        <w:t>23</w:t>
      </w:r>
      <w:r>
        <w:rPr>
          <w:rFonts w:hint="eastAsia" w:ascii="仿宋" w:hAnsi="仿宋" w:eastAsia="仿宋" w:cs="仿宋"/>
          <w:sz w:val="32"/>
          <w:szCs w:val="32"/>
        </w:rPr>
        <w:t>个，工勤编制</w:t>
      </w:r>
      <w:r>
        <w:rPr>
          <w:rFonts w:hint="eastAsia" w:ascii="仿宋" w:hAnsi="仿宋" w:eastAsia="仿宋" w:cs="仿宋"/>
          <w:sz w:val="32"/>
          <w:szCs w:val="32"/>
          <w:lang w:val="en-US" w:eastAsia="zh-CN"/>
        </w:rPr>
        <w:t>4</w:t>
      </w:r>
      <w:r>
        <w:rPr>
          <w:rFonts w:hint="eastAsia" w:ascii="仿宋" w:hAnsi="仿宋" w:eastAsia="仿宋" w:cs="仿宋"/>
          <w:sz w:val="32"/>
          <w:szCs w:val="32"/>
        </w:rPr>
        <w:t>个，事业编制</w:t>
      </w:r>
      <w:r>
        <w:rPr>
          <w:rFonts w:hint="eastAsia" w:ascii="仿宋" w:hAnsi="仿宋" w:eastAsia="仿宋" w:cs="仿宋"/>
          <w:sz w:val="32"/>
          <w:szCs w:val="32"/>
          <w:lang w:val="en-US" w:eastAsia="zh-CN"/>
        </w:rPr>
        <w:t>9</w:t>
      </w:r>
      <w:r>
        <w:rPr>
          <w:rFonts w:hint="eastAsia" w:ascii="仿宋" w:hAnsi="仿宋" w:eastAsia="仿宋" w:cs="仿宋"/>
          <w:sz w:val="32"/>
          <w:szCs w:val="32"/>
        </w:rPr>
        <w:t>个。现</w:t>
      </w:r>
      <w:r>
        <w:rPr>
          <w:rFonts w:hint="eastAsia" w:ascii="仿宋" w:hAnsi="仿宋" w:eastAsia="仿宋" w:cs="仿宋"/>
          <w:sz w:val="32"/>
          <w:szCs w:val="32"/>
          <w:lang w:eastAsia="zh-CN"/>
        </w:rPr>
        <w:t>有</w:t>
      </w:r>
      <w:r>
        <w:rPr>
          <w:rFonts w:hint="eastAsia" w:ascii="仿宋" w:hAnsi="仿宋" w:eastAsia="仿宋" w:cs="仿宋"/>
          <w:sz w:val="32"/>
          <w:szCs w:val="32"/>
        </w:rPr>
        <w:t>行政编制</w:t>
      </w:r>
      <w:r>
        <w:rPr>
          <w:rFonts w:hint="eastAsia" w:ascii="仿宋" w:hAnsi="仿宋" w:eastAsia="仿宋" w:cs="仿宋"/>
          <w:sz w:val="32"/>
          <w:szCs w:val="32"/>
          <w:lang w:val="en-US" w:eastAsia="zh-CN"/>
        </w:rPr>
        <w:t>19</w:t>
      </w:r>
      <w:r>
        <w:rPr>
          <w:rFonts w:hint="eastAsia" w:ascii="仿宋" w:hAnsi="仿宋" w:eastAsia="仿宋" w:cs="仿宋"/>
          <w:sz w:val="32"/>
          <w:szCs w:val="32"/>
        </w:rPr>
        <w:t>人，工勤编制4人，接待</w:t>
      </w:r>
      <w:r>
        <w:rPr>
          <w:rFonts w:hint="eastAsia" w:ascii="仿宋" w:hAnsi="仿宋" w:eastAsia="仿宋" w:cs="仿宋"/>
          <w:sz w:val="32"/>
          <w:szCs w:val="32"/>
          <w:lang w:eastAsia="zh-CN"/>
        </w:rPr>
        <w:t>服务中心</w:t>
      </w:r>
      <w:r>
        <w:rPr>
          <w:rFonts w:hint="eastAsia" w:ascii="仿宋" w:hAnsi="仿宋" w:eastAsia="仿宋" w:cs="仿宋"/>
          <w:sz w:val="32"/>
          <w:szCs w:val="32"/>
        </w:rPr>
        <w:t>事业编制</w:t>
      </w:r>
      <w:r>
        <w:rPr>
          <w:rFonts w:hint="eastAsia" w:ascii="仿宋" w:hAnsi="仿宋" w:eastAsia="仿宋" w:cs="仿宋"/>
          <w:sz w:val="32"/>
          <w:szCs w:val="32"/>
          <w:lang w:val="en-US" w:eastAsia="zh-CN"/>
        </w:rPr>
        <w:t>8</w:t>
      </w:r>
      <w:r>
        <w:rPr>
          <w:rFonts w:hint="eastAsia" w:ascii="仿宋" w:hAnsi="仿宋" w:eastAsia="仿宋" w:cs="仿宋"/>
          <w:sz w:val="32"/>
          <w:szCs w:val="32"/>
        </w:rPr>
        <w:t>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年部门决算收支完成情况。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收入：</w:t>
      </w:r>
      <w:r>
        <w:rPr>
          <w:rFonts w:hint="eastAsia" w:ascii="仿宋" w:hAnsi="仿宋" w:eastAsia="仿宋" w:cs="仿宋"/>
          <w:sz w:val="32"/>
          <w:szCs w:val="32"/>
          <w:lang w:val="en-US" w:eastAsia="zh-CN"/>
        </w:rPr>
        <w:t>668.30</w:t>
      </w:r>
      <w:r>
        <w:rPr>
          <w:rFonts w:hint="default"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同比上年度减少69.8</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减幅10.44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主要是</w:t>
      </w:r>
      <w:r>
        <w:rPr>
          <w:rFonts w:hint="eastAsia" w:ascii="仿宋" w:hAnsi="仿宋" w:eastAsia="仿宋" w:cs="仿宋"/>
          <w:sz w:val="32"/>
          <w:szCs w:val="32"/>
          <w:lang w:val="en-US" w:eastAsia="zh-CN"/>
        </w:rPr>
        <w:t>奉行厉行节约原则，专项经费逐年递减。</w:t>
      </w:r>
      <w:r>
        <w:rPr>
          <w:rFonts w:hint="default"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支出：</w:t>
      </w:r>
      <w:r>
        <w:rPr>
          <w:rFonts w:hint="eastAsia" w:ascii="仿宋" w:hAnsi="仿宋" w:eastAsia="仿宋" w:cs="仿宋"/>
          <w:sz w:val="32"/>
          <w:szCs w:val="32"/>
          <w:lang w:val="en-US" w:eastAsia="zh-CN"/>
        </w:rPr>
        <w:t>674.88</w:t>
      </w:r>
      <w:r>
        <w:rPr>
          <w:rFonts w:hint="default"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同比上年度减少73.11</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减幅10.84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主要是</w:t>
      </w:r>
      <w:r>
        <w:rPr>
          <w:rFonts w:hint="eastAsia" w:ascii="仿宋" w:hAnsi="仿宋" w:eastAsia="仿宋" w:cs="仿宋"/>
          <w:sz w:val="32"/>
          <w:szCs w:val="32"/>
          <w:lang w:val="en-US" w:eastAsia="zh-CN"/>
        </w:rPr>
        <w:t>奉行厉行节约原则，专项经费逐年递减。</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工资福利支出386.99万元，商品和服务支出272.80万元，对个人和家庭的补助支出10.24万元，资本性支出4.85万元。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（二）部门整体支出绩效目标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围绕县委的工作部署，对涉及全县政治、经济、社会发展和党的建设等全局性问题开展调查研究，为县委科学决策提出建议、预案和依据。负责收集整理信息，及时、准确地向省委、市委和县委报送信息，反映有关动态。负责中央、省委、市委和县委重大方针政策，重要工作部署和领导同志重要批示、批件贯彻落实情况的督促检查。负责县委文件和县委领导文稿的起草、校核和印发工作，负责县委日常公文处理和档案工作。研究、审核县委各部门、县直各单位党组，各乡镇党委向县委的请示和报告，并提出处理意见，报县委领导审批，协助县委领导处理群众来信来访工作。负责县委会议的准备和组织协调工作，统筹安排县委领导及部分县级领导重要公务活动，负责党和国家领导人及省委、市委领导来南县视察的有关服务工作。负责传达县委有关指示决策，负责县委的值班联络和机要通信工作，确保联络畅通、准确、安全。负责全县保密工作的组织规划、宣传教育、指导协调和监督管理，负责失泄密事件的查处工作。负责规划、指导全县党委办公室系统自动化建设，指导全县党委办公室系统的业务工作和队伍建设。负责办公室归口部门的管理、协调和指导工作。完成县委和县委领导交办的其它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（三）部门整体支出情况分析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财政</w:t>
      </w:r>
      <w:r>
        <w:rPr>
          <w:rFonts w:hint="eastAsia" w:ascii="仿宋" w:hAnsi="仿宋" w:eastAsia="仿宋" w:cs="仿宋"/>
          <w:sz w:val="32"/>
          <w:szCs w:val="32"/>
        </w:rPr>
        <w:t>预算资金合计</w:t>
      </w:r>
      <w:r>
        <w:rPr>
          <w:rFonts w:hint="eastAsia" w:ascii="Times New Roman" w:hAnsi="Times New Roman" w:eastAsia="仿宋_GB2312" w:cs="Times New Roman"/>
          <w:b w:val="0"/>
          <w:bCs w:val="0"/>
          <w:color w:val="000000"/>
          <w:kern w:val="21"/>
          <w:sz w:val="31"/>
          <w:szCs w:val="31"/>
          <w:lang w:val="en-US" w:eastAsia="zh-CN" w:bidi="ar"/>
        </w:rPr>
        <w:t>670.02</w:t>
      </w:r>
      <w:r>
        <w:rPr>
          <w:rFonts w:hint="eastAsia" w:ascii="仿宋" w:hAnsi="仿宋" w:eastAsia="仿宋" w:cs="仿宋"/>
          <w:sz w:val="32"/>
          <w:szCs w:val="32"/>
        </w:rPr>
        <w:t>万元，我单位根据年初预算编制及时制定实施计划组织实施。从整体情况来看，我</w:t>
      </w:r>
      <w:r>
        <w:rPr>
          <w:rFonts w:hint="eastAsia" w:ascii="仿宋" w:hAnsi="仿宋" w:eastAsia="仿宋" w:cs="仿宋"/>
          <w:sz w:val="32"/>
          <w:szCs w:val="32"/>
          <w:lang w:eastAsia="zh-CN"/>
        </w:rPr>
        <w:t>办</w:t>
      </w:r>
      <w:r>
        <w:rPr>
          <w:rFonts w:hint="eastAsia" w:ascii="仿宋" w:hAnsi="仿宋" w:eastAsia="仿宋" w:cs="仿宋"/>
          <w:sz w:val="32"/>
          <w:szCs w:val="32"/>
        </w:rPr>
        <w:t>严格按照年初预算进行部门整体支出。在支出过程中，能严格遵守各项规章制度。在专项经费支出上，我</w:t>
      </w:r>
      <w:r>
        <w:rPr>
          <w:rFonts w:hint="eastAsia" w:ascii="仿宋" w:hAnsi="仿宋" w:eastAsia="仿宋" w:cs="仿宋"/>
          <w:sz w:val="32"/>
          <w:szCs w:val="32"/>
          <w:lang w:eastAsia="zh-CN"/>
        </w:rPr>
        <w:t>办</w:t>
      </w:r>
      <w:r>
        <w:rPr>
          <w:rFonts w:hint="eastAsia" w:ascii="仿宋" w:hAnsi="仿宋" w:eastAsia="仿宋" w:cs="仿宋"/>
          <w:sz w:val="32"/>
          <w:szCs w:val="32"/>
        </w:rPr>
        <w:t>坚持专款专用，无截留、无挪用等现象。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此次绩效评价的目的是：严格落实《预算法》及省、市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绩效管理工作的有关规定，进一步规范财政资金的管理，强化财政支出绩效理念，提升部门责任意识，提高资金使用效益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w:t>
      </w:r>
      <w:r>
        <w:rPr>
          <w:rFonts w:hint="eastAsia" w:ascii="仿宋" w:hAnsi="仿宋" w:eastAsia="仿宋" w:cs="仿宋"/>
          <w:sz w:val="32"/>
          <w:szCs w:val="32"/>
          <w:lang w:eastAsia="zh-CN"/>
        </w:rPr>
        <w:t>室务会</w:t>
      </w:r>
      <w:r>
        <w:rPr>
          <w:rFonts w:hint="eastAsia" w:ascii="仿宋" w:hAnsi="仿宋" w:eastAsia="仿宋" w:cs="仿宋"/>
          <w:sz w:val="32"/>
          <w:szCs w:val="32"/>
        </w:rPr>
        <w:t>成员及</w:t>
      </w:r>
      <w:r>
        <w:rPr>
          <w:rFonts w:hint="eastAsia" w:ascii="仿宋" w:hAnsi="仿宋" w:eastAsia="仿宋" w:cs="仿宋"/>
          <w:sz w:val="32"/>
          <w:szCs w:val="32"/>
          <w:lang w:eastAsia="zh-CN"/>
        </w:rPr>
        <w:t>财务人员</w:t>
      </w:r>
      <w:r>
        <w:rPr>
          <w:rFonts w:hint="eastAsia" w:ascii="仿宋" w:hAnsi="仿宋" w:eastAsia="仿宋" w:cs="仿宋"/>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三、主要绩效及评价结论</w:t>
      </w:r>
    </w:p>
    <w:p>
      <w:pPr>
        <w:overflowPunct w:val="0"/>
        <w:spacing w:line="600" w:lineRule="exact"/>
        <w:ind w:firstLine="684" w:firstLineChars="200"/>
        <w:rPr>
          <w:rFonts w:hint="eastAsia" w:ascii="仿宋_GB2312" w:hAnsi="楷体" w:eastAsia="仿宋_GB2312" w:cs="楷体"/>
          <w:color w:val="000000" w:themeColor="text1"/>
          <w:spacing w:val="11"/>
          <w:sz w:val="32"/>
          <w:szCs w:val="36"/>
          <w14:textFill>
            <w14:solidFill>
              <w14:schemeClr w14:val="tx1"/>
            </w14:solidFill>
          </w14:textFill>
        </w:rPr>
      </w:pPr>
      <w:r>
        <w:rPr>
          <w:rFonts w:hint="eastAsia" w:ascii="仿宋_GB2312" w:hAnsi="楷体" w:eastAsia="仿宋_GB2312" w:cs="楷体"/>
          <w:color w:val="000000" w:themeColor="text1"/>
          <w:spacing w:val="11"/>
          <w:sz w:val="32"/>
          <w:szCs w:val="36"/>
          <w:lang w:eastAsia="zh-CN"/>
          <w14:textFill>
            <w14:solidFill>
              <w14:schemeClr w14:val="tx1"/>
            </w14:solidFill>
          </w14:textFill>
        </w:rPr>
        <w:t>一年来，</w:t>
      </w:r>
      <w:r>
        <w:rPr>
          <w:rFonts w:hint="eastAsia" w:ascii="仿宋_GB2312" w:hAnsi="楷体" w:eastAsia="仿宋_GB2312" w:cs="楷体"/>
          <w:color w:val="000000" w:themeColor="text1"/>
          <w:spacing w:val="11"/>
          <w:sz w:val="32"/>
          <w:szCs w:val="36"/>
          <w14:textFill>
            <w14:solidFill>
              <w14:schemeClr w14:val="tx1"/>
            </w14:solidFill>
          </w14:textFill>
        </w:rPr>
        <w:t>县委办公室在县委的正确领导下，认真贯彻落实党的各项方针政策，紧紧围绕县委中心工作和决策部署，解放思想，求真务实，转变作风，自我加压，开拓进取，不断提高办事效率和服务水平，充分发挥参谋助手、协调综合、督促检查和后勤保障作用，圆满完成了各项工作任务。</w:t>
      </w:r>
    </w:p>
    <w:p>
      <w:pPr>
        <w:overflowPunct w:val="0"/>
        <w:spacing w:line="600" w:lineRule="exact"/>
        <w:ind w:firstLine="684" w:firstLineChars="200"/>
        <w:rPr>
          <w:rFonts w:ascii="仿宋_GB2312" w:hAnsi="仿宋_GB2312" w:eastAsia="仿宋_GB2312" w:cs="仿宋_GB2312"/>
          <w:color w:val="000000" w:themeColor="text1"/>
          <w:spacing w:val="11"/>
          <w:sz w:val="32"/>
          <w:szCs w:val="36"/>
          <w14:textFill>
            <w14:solidFill>
              <w14:schemeClr w14:val="tx1"/>
            </w14:solidFill>
          </w14:textFill>
        </w:rPr>
      </w:pPr>
      <w:r>
        <w:rPr>
          <w:rFonts w:hint="eastAsia" w:ascii="楷体" w:hAnsi="楷体" w:eastAsia="楷体" w:cs="楷体"/>
          <w:color w:val="000000" w:themeColor="text1"/>
          <w:spacing w:val="11"/>
          <w:sz w:val="32"/>
          <w:szCs w:val="36"/>
          <w14:textFill>
            <w14:solidFill>
              <w14:schemeClr w14:val="tx1"/>
            </w14:solidFill>
          </w14:textFill>
        </w:rPr>
        <w:t>（一）旗帜鲜明，同向发力，政治建设常抓不懈。</w:t>
      </w:r>
      <w:r>
        <w:rPr>
          <w:rFonts w:hint="eastAsia" w:ascii="黑体" w:hAnsi="黑体" w:eastAsia="黑体" w:cs="黑体"/>
          <w:b w:val="0"/>
          <w:bCs w:val="0"/>
          <w:color w:val="000000" w:themeColor="text1"/>
          <w:spacing w:val="11"/>
          <w:sz w:val="32"/>
          <w:szCs w:val="36"/>
          <w14:textFill>
            <w14:solidFill>
              <w14:schemeClr w14:val="tx1"/>
            </w14:solidFill>
          </w14:textFill>
        </w:rPr>
        <w:t>一是不断强化理论武装，坚定政治信仰。</w:t>
      </w:r>
      <w:r>
        <w:rPr>
          <w:rFonts w:hint="eastAsia" w:ascii="仿宋_GB2312" w:hAnsi="仿宋_GB2312" w:eastAsia="仿宋_GB2312" w:cs="仿宋_GB2312"/>
          <w:color w:val="000000" w:themeColor="text1"/>
          <w:spacing w:val="11"/>
          <w:sz w:val="32"/>
          <w:szCs w:val="36"/>
          <w14:textFill>
            <w14:solidFill>
              <w14:schemeClr w14:val="tx1"/>
            </w14:solidFill>
          </w14:textFill>
        </w:rPr>
        <w:t>通过集中学习、个人自学等方式，认真学习习近平新时代中国特色社会主义思想，尤其是习近平总书记湖南考察重要讲话精神，牢固树立“四个意识”，坚定“四个自信”，坚决做到“两个维护”。</w:t>
      </w:r>
      <w:r>
        <w:rPr>
          <w:rFonts w:hint="eastAsia" w:ascii="黑体" w:hAnsi="黑体" w:eastAsia="黑体" w:cs="黑体"/>
          <w:b w:val="0"/>
          <w:bCs w:val="0"/>
          <w:color w:val="000000" w:themeColor="text1"/>
          <w:spacing w:val="11"/>
          <w:sz w:val="32"/>
          <w:szCs w:val="36"/>
          <w14:textFill>
            <w14:solidFill>
              <w14:schemeClr w14:val="tx1"/>
            </w14:solidFill>
          </w14:textFill>
        </w:rPr>
        <w:t>二是强化政治机关意识，坚决做到“两个维护”。</w:t>
      </w:r>
      <w:r>
        <w:rPr>
          <w:rFonts w:hint="eastAsia" w:ascii="仿宋_GB2312" w:hAnsi="仿宋_GB2312" w:eastAsia="仿宋_GB2312" w:cs="仿宋_GB2312"/>
          <w:color w:val="000000" w:themeColor="text1"/>
          <w:spacing w:val="11"/>
          <w:sz w:val="32"/>
          <w:szCs w:val="36"/>
          <w14:textFill>
            <w14:solidFill>
              <w14:schemeClr w14:val="tx1"/>
            </w14:solidFill>
          </w14:textFill>
        </w:rPr>
        <w:t>充分发挥党办表率示范作用，以清单化管理推动“四个意识”“两个维护”落到实处。把锻造绝对忠诚品格作为讲政治最核心最关键的工作来抓，永远站在维护党中央权威第一线。</w:t>
      </w:r>
      <w:r>
        <w:rPr>
          <w:rFonts w:hint="eastAsia" w:ascii="黑体" w:hAnsi="黑体" w:eastAsia="黑体" w:cs="黑体"/>
          <w:b w:val="0"/>
          <w:bCs w:val="0"/>
          <w:color w:val="000000" w:themeColor="text1"/>
          <w:spacing w:val="11"/>
          <w:sz w:val="32"/>
          <w:szCs w:val="36"/>
          <w14:textFill>
            <w14:solidFill>
              <w14:schemeClr w14:val="tx1"/>
            </w14:solidFill>
          </w14:textFill>
        </w:rPr>
        <w:t>三是持续强化正风肃纪，严守政治纪律和政治规矩。</w:t>
      </w:r>
      <w:r>
        <w:rPr>
          <w:rFonts w:hint="eastAsia" w:ascii="仿宋_GB2312" w:hAnsi="仿宋_GB2312" w:eastAsia="仿宋_GB2312" w:cs="仿宋_GB2312"/>
          <w:color w:val="000000" w:themeColor="text1"/>
          <w:spacing w:val="11"/>
          <w:sz w:val="32"/>
          <w:szCs w:val="36"/>
          <w14:textFill>
            <w14:solidFill>
              <w14:schemeClr w14:val="tx1"/>
            </w14:solidFill>
          </w14:textFill>
        </w:rPr>
        <w:t>始终把纪律规矩挺在前、记在心，防止“七个有之”，做到“五个必须”。始终保持政治定力、纪律定力、道德定力、拒腐定力，打造守纪律、讲规矩的模范机关。</w:t>
      </w:r>
    </w:p>
    <w:p>
      <w:pPr>
        <w:overflowPunct w:val="0"/>
        <w:spacing w:line="600" w:lineRule="exact"/>
        <w:ind w:firstLine="684" w:firstLineChars="200"/>
        <w:rPr>
          <w:rFonts w:ascii="仿宋_GB2312" w:hAnsi="仿宋_GB2312" w:eastAsia="仿宋_GB2312" w:cs="仿宋_GB2312"/>
          <w:color w:val="000000" w:themeColor="text1"/>
          <w:spacing w:val="11"/>
          <w:sz w:val="32"/>
          <w:szCs w:val="36"/>
          <w14:textFill>
            <w14:solidFill>
              <w14:schemeClr w14:val="tx1"/>
            </w14:solidFill>
          </w14:textFill>
        </w:rPr>
      </w:pPr>
      <w:r>
        <w:rPr>
          <w:rFonts w:hint="eastAsia" w:ascii="楷体_GB2312" w:hAnsi="楷体_GB2312" w:eastAsia="楷体_GB2312" w:cs="楷体_GB2312"/>
          <w:color w:val="000000" w:themeColor="text1"/>
          <w:spacing w:val="11"/>
          <w:sz w:val="32"/>
          <w:szCs w:val="36"/>
          <w14:textFill>
            <w14:solidFill>
              <w14:schemeClr w14:val="tx1"/>
            </w14:solidFill>
          </w14:textFill>
        </w:rPr>
        <w:t>（二）围绕中心，服务大局，履职尽责尽心尽力。</w:t>
      </w:r>
      <w:r>
        <w:rPr>
          <w:rFonts w:hint="eastAsia" w:ascii="黑体" w:hAnsi="黑体" w:eastAsia="黑体" w:cs="黑体"/>
          <w:b w:val="0"/>
          <w:bCs w:val="0"/>
          <w:color w:val="000000" w:themeColor="text1"/>
          <w:spacing w:val="11"/>
          <w:sz w:val="32"/>
          <w:szCs w:val="36"/>
          <w14:textFill>
            <w14:solidFill>
              <w14:schemeClr w14:val="tx1"/>
            </w14:solidFill>
          </w14:textFill>
        </w:rPr>
        <w:t>一是突出统筹协调，做好运转保障。</w:t>
      </w:r>
      <w:r>
        <w:rPr>
          <w:rFonts w:hint="eastAsia" w:ascii="仿宋_GB2312" w:hAnsi="仿宋_GB2312" w:eastAsia="仿宋_GB2312" w:cs="仿宋_GB2312"/>
          <w:color w:val="000000" w:themeColor="text1"/>
          <w:spacing w:val="11"/>
          <w:sz w:val="32"/>
          <w:szCs w:val="36"/>
          <w14:textFill>
            <w14:solidFill>
              <w14:schemeClr w14:val="tx1"/>
            </w14:solidFill>
          </w14:textFill>
        </w:rPr>
        <w:t>构建纵向到底、横向到边的沟通联络体系，细致周到服务领导。</w:t>
      </w:r>
      <w:r>
        <w:rPr>
          <w:rFonts w:hint="eastAsia" w:ascii="仿宋_GB2312" w:hAnsi="仿宋_GB2312" w:eastAsia="仿宋_GB2312" w:cs="仿宋_GB2312"/>
          <w:color w:val="000000" w:themeColor="text1"/>
          <w:spacing w:val="11"/>
          <w:sz w:val="32"/>
          <w:szCs w:val="36"/>
          <w:lang w:eastAsia="zh-CN"/>
          <w14:textFill>
            <w14:solidFill>
              <w14:schemeClr w14:val="tx1"/>
            </w14:solidFill>
          </w14:textFill>
        </w:rPr>
        <w:t>严格</w:t>
      </w:r>
      <w:r>
        <w:rPr>
          <w:rFonts w:hint="eastAsia" w:ascii="仿宋_GB2312" w:hAnsi="仿宋_GB2312" w:eastAsia="仿宋_GB2312" w:cs="仿宋_GB2312"/>
          <w:color w:val="000000" w:themeColor="text1"/>
          <w:spacing w:val="11"/>
          <w:sz w:val="32"/>
          <w:szCs w:val="36"/>
          <w14:textFill>
            <w14:solidFill>
              <w14:schemeClr w14:val="tx1"/>
            </w14:solidFill>
          </w14:textFill>
        </w:rPr>
        <w:t>遵循“</w:t>
      </w:r>
      <w:r>
        <w:rPr>
          <w:rFonts w:hint="eastAsia" w:ascii="仿宋_GB2312" w:hAnsi="仿宋_GB2312" w:eastAsia="仿宋_GB2312" w:cs="仿宋_GB2312"/>
          <w:color w:val="000000" w:themeColor="text1"/>
          <w:spacing w:val="11"/>
          <w:sz w:val="32"/>
          <w:szCs w:val="36"/>
          <w:lang w:eastAsia="zh-CN"/>
          <w14:textFill>
            <w14:solidFill>
              <w14:schemeClr w14:val="tx1"/>
            </w14:solidFill>
          </w14:textFill>
        </w:rPr>
        <w:t>规范、精细、高效</w:t>
      </w:r>
      <w:r>
        <w:rPr>
          <w:rFonts w:hint="eastAsia" w:ascii="仿宋_GB2312" w:hAnsi="仿宋_GB2312" w:eastAsia="仿宋_GB2312" w:cs="仿宋_GB2312"/>
          <w:color w:val="000000" w:themeColor="text1"/>
          <w:spacing w:val="11"/>
          <w:sz w:val="32"/>
          <w:szCs w:val="36"/>
          <w14:textFill>
            <w14:solidFill>
              <w14:schemeClr w14:val="tx1"/>
            </w14:solidFill>
          </w14:textFill>
        </w:rPr>
        <w:t>”的原则做好会务工作。全面有效做好应急保障工作，确保全县各项工作正常运转、重大突发事件处置应对及时。积极发挥接待服务工作的宣传窗口作用、交流桥梁作用、合作平台作用。扎实做好机要保密工作，杜绝违反保密法律法规行为。加强档案工作管理，强化档案规范管理。加强两岸交流交往，做好对台联络工作、外事侨务工作。</w:t>
      </w:r>
      <w:r>
        <w:rPr>
          <w:rFonts w:hint="eastAsia" w:ascii="黑体" w:hAnsi="黑体" w:eastAsia="黑体" w:cs="黑体"/>
          <w:b w:val="0"/>
          <w:bCs w:val="0"/>
          <w:color w:val="000000" w:themeColor="text1"/>
          <w:spacing w:val="11"/>
          <w:sz w:val="32"/>
          <w:szCs w:val="36"/>
          <w14:textFill>
            <w14:solidFill>
              <w14:schemeClr w14:val="tx1"/>
            </w14:solidFill>
          </w14:textFill>
        </w:rPr>
        <w:t>二是突出参谋辅政，做好服务决策。</w:t>
      </w:r>
      <w:r>
        <w:rPr>
          <w:rFonts w:hint="eastAsia" w:ascii="仿宋_GB2312" w:hAnsi="仿宋_GB2312" w:eastAsia="仿宋_GB2312" w:cs="仿宋_GB2312"/>
          <w:color w:val="000000" w:themeColor="text1"/>
          <w:spacing w:val="11"/>
          <w:sz w:val="32"/>
          <w:szCs w:val="36"/>
          <w14:textFill>
            <w14:solidFill>
              <w14:schemeClr w14:val="tx1"/>
            </w14:solidFill>
          </w14:textFill>
        </w:rPr>
        <w:t>紧紧围绕全县高质量发展大局和县委中心工作，积极开展调查研究，深入挖掘典型做法和先进经验。严格按照信息报送要求，切实当好党委的“千里眼”“顺风耳”。充分发挥以文辅政作用，勤学善思、不断琢磨，促使文稿常写常新。严格执行办文制度，切实提高办文水平。</w:t>
      </w:r>
      <w:r>
        <w:rPr>
          <w:rFonts w:hint="eastAsia" w:ascii="黑体" w:hAnsi="黑体" w:eastAsia="黑体" w:cs="黑体"/>
          <w:b w:val="0"/>
          <w:bCs w:val="0"/>
          <w:color w:val="000000" w:themeColor="text1"/>
          <w:spacing w:val="11"/>
          <w:sz w:val="32"/>
          <w:szCs w:val="36"/>
          <w14:textFill>
            <w14:solidFill>
              <w14:schemeClr w14:val="tx1"/>
            </w14:solidFill>
          </w14:textFill>
        </w:rPr>
        <w:t>三是突出督促检查。</w:t>
      </w:r>
      <w:r>
        <w:rPr>
          <w:rFonts w:hint="eastAsia" w:ascii="仿宋_GB2312" w:hAnsi="仿宋_GB2312" w:eastAsia="仿宋_GB2312" w:cs="仿宋_GB2312"/>
          <w:color w:val="000000" w:themeColor="text1"/>
          <w:spacing w:val="11"/>
          <w:sz w:val="32"/>
          <w:szCs w:val="36"/>
          <w14:textFill>
            <w14:solidFill>
              <w14:schemeClr w14:val="tx1"/>
            </w14:solidFill>
          </w14:textFill>
        </w:rPr>
        <w:t>持续加强制度建设，严格遵守督查纪律，不断创新工作思维、规范督查方式，扎实完成督查任务，充分发挥统筹协调作用，避免层层督查、多重督查。</w:t>
      </w:r>
    </w:p>
    <w:p>
      <w:pPr>
        <w:overflowPunct w:val="0"/>
        <w:spacing w:line="600" w:lineRule="exact"/>
        <w:ind w:firstLine="684" w:firstLineChars="200"/>
        <w:rPr>
          <w:rFonts w:ascii="仿宋_GB2312" w:hAnsi="仿宋_GB2312" w:eastAsia="仿宋_GB2312" w:cs="仿宋_GB2312"/>
          <w:color w:val="000000" w:themeColor="text1"/>
          <w:spacing w:val="11"/>
          <w:sz w:val="32"/>
          <w:szCs w:val="36"/>
          <w14:textFill>
            <w14:solidFill>
              <w14:schemeClr w14:val="tx1"/>
            </w14:solidFill>
          </w14:textFill>
        </w:rPr>
      </w:pPr>
      <w:r>
        <w:rPr>
          <w:rFonts w:hint="eastAsia" w:ascii="楷体_GB2312" w:hAnsi="楷体_GB2312" w:eastAsia="楷体_GB2312" w:cs="楷体_GB2312"/>
          <w:color w:val="000000" w:themeColor="text1"/>
          <w:spacing w:val="11"/>
          <w:sz w:val="32"/>
          <w:szCs w:val="36"/>
          <w14:textFill>
            <w14:solidFill>
              <w14:schemeClr w14:val="tx1"/>
            </w14:solidFill>
          </w14:textFill>
        </w:rPr>
        <w:t>（三）强化素质，提升效能，党办建设从严从实。</w:t>
      </w:r>
      <w:r>
        <w:rPr>
          <w:rFonts w:hint="eastAsia" w:ascii="黑体" w:hAnsi="黑体" w:eastAsia="黑体" w:cs="黑体"/>
          <w:b w:val="0"/>
          <w:bCs w:val="0"/>
          <w:color w:val="000000" w:themeColor="text1"/>
          <w:spacing w:val="11"/>
          <w:sz w:val="32"/>
          <w:szCs w:val="36"/>
          <w14:textFill>
            <w14:solidFill>
              <w14:schemeClr w14:val="tx1"/>
            </w14:solidFill>
          </w14:textFill>
        </w:rPr>
        <w:t>一是强化作风建设，做到清正廉洁。</w:t>
      </w:r>
      <w:r>
        <w:rPr>
          <w:rFonts w:hint="eastAsia" w:ascii="仿宋_GB2312" w:hAnsi="仿宋_GB2312" w:eastAsia="仿宋_GB2312" w:cs="仿宋_GB2312"/>
          <w:b w:val="0"/>
          <w:bCs w:val="0"/>
          <w:color w:val="000000" w:themeColor="text1"/>
          <w:spacing w:val="11"/>
          <w:sz w:val="32"/>
          <w:szCs w:val="36"/>
          <w:lang w:eastAsia="zh-CN"/>
          <w14:textFill>
            <w14:solidFill>
              <w14:schemeClr w14:val="tx1"/>
            </w14:solidFill>
          </w14:textFill>
        </w:rPr>
        <w:t>坚持从</w:t>
      </w:r>
      <w:r>
        <w:rPr>
          <w:rFonts w:hint="eastAsia" w:ascii="仿宋_GB2312" w:hAnsi="仿宋_GB2312" w:eastAsia="仿宋_GB2312" w:cs="仿宋_GB2312"/>
          <w:color w:val="000000" w:themeColor="text1"/>
          <w:spacing w:val="11"/>
          <w:sz w:val="32"/>
          <w:szCs w:val="36"/>
          <w14:textFill>
            <w14:solidFill>
              <w14:schemeClr w14:val="tx1"/>
            </w14:solidFill>
          </w14:textFill>
        </w:rPr>
        <w:t>上到下严纠“四风”，不断加强党风廉政建设，不断增强管理监督的有效性、精准度。</w:t>
      </w:r>
      <w:r>
        <w:rPr>
          <w:rFonts w:hint="eastAsia" w:ascii="黑体" w:hAnsi="黑体" w:eastAsia="黑体" w:cs="黑体"/>
          <w:b w:val="0"/>
          <w:bCs w:val="0"/>
          <w:color w:val="000000" w:themeColor="text1"/>
          <w:spacing w:val="11"/>
          <w:sz w:val="32"/>
          <w:szCs w:val="36"/>
          <w14:textFill>
            <w14:solidFill>
              <w14:schemeClr w14:val="tx1"/>
            </w14:solidFill>
          </w14:textFill>
        </w:rPr>
        <w:t>二是注重干部培养，提升能力素质。</w:t>
      </w:r>
      <w:r>
        <w:rPr>
          <w:rFonts w:hint="eastAsia" w:ascii="仿宋_GB2312" w:hAnsi="仿宋_GB2312" w:eastAsia="仿宋_GB2312" w:cs="仿宋_GB2312"/>
          <w:color w:val="000000" w:themeColor="text1"/>
          <w:spacing w:val="11"/>
          <w:sz w:val="32"/>
          <w:szCs w:val="36"/>
          <w14:textFill>
            <w14:solidFill>
              <w14:schemeClr w14:val="tx1"/>
            </w14:solidFill>
          </w14:textFill>
        </w:rPr>
        <w:t>始终强调人才对于干事创业的核心性，加强干部学习教育、业务培训、监督管理，不断提高工作水平，切实强化履职能力，提高机关作风建设。</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存在的问题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1、预算编制应更科学、细化、精准。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2、固定资产管理有待加强。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3、对绩效评价工作的认识不够。单位对财务绩效不重视，认为绩效评价只是财务部门的事情，绩效评价工作资料非常有限，内容相对简单。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五、有关建议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 xml:space="preserve">1、预算编制应更科学化，提升预算编制质量。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2、加强固定资产管理。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684" w:firstLineChars="200"/>
        <w:jc w:val="left"/>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3、加大财务绩效评价工作的宣传和培训。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中共南县县委办公室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t>2021年4月8日</w:t>
      </w: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bookmarkStart w:id="0" w:name="_GoBack"/>
      <w:bookmarkEnd w:id="0"/>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tbl>
      <w:tblPr>
        <w:tblStyle w:val="7"/>
        <w:tblW w:w="0" w:type="auto"/>
        <w:tblInd w:w="135" w:type="dxa"/>
        <w:shd w:val="clear" w:color="auto" w:fill="FFFFFF"/>
        <w:tblLayout w:type="fixed"/>
        <w:tblCellMar>
          <w:top w:w="15" w:type="dxa"/>
          <w:left w:w="15" w:type="dxa"/>
          <w:bottom w:w="15" w:type="dxa"/>
          <w:right w:w="15" w:type="dxa"/>
        </w:tblCellMar>
      </w:tblPr>
      <w:tblGrid>
        <w:gridCol w:w="1291"/>
        <w:gridCol w:w="553"/>
        <w:gridCol w:w="669"/>
        <w:gridCol w:w="418"/>
        <w:gridCol w:w="2648"/>
        <w:gridCol w:w="3385"/>
      </w:tblGrid>
      <w:tr>
        <w:tblPrEx>
          <w:tblCellMar>
            <w:top w:w="15" w:type="dxa"/>
            <w:left w:w="15" w:type="dxa"/>
            <w:bottom w:w="15" w:type="dxa"/>
            <w:right w:w="15" w:type="dxa"/>
          </w:tblCellMar>
        </w:tblPrEx>
        <w:tc>
          <w:tcPr>
            <w:tcW w:w="8964" w:type="dxa"/>
            <w:gridSpan w:val="6"/>
            <w:tcBorders>
              <w:top w:val="nil"/>
              <w:left w:val="nil"/>
              <w:bottom w:val="single" w:color="auto" w:sz="8" w:space="0"/>
              <w:right w:val="nil"/>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caps w:val="0"/>
                <w:color w:val="000000"/>
                <w:spacing w:val="0"/>
                <w:kern w:val="0"/>
                <w:sz w:val="36"/>
                <w:szCs w:val="36"/>
                <w:lang w:val="en-US" w:eastAsia="zh-CN" w:bidi="ar"/>
              </w:rPr>
              <w:t>2020</w:t>
            </w:r>
            <w:r>
              <w:rPr>
                <w:rFonts w:ascii="黑体" w:hAnsi="宋体" w:eastAsia="黑体" w:cs="黑体"/>
                <w:i w:val="0"/>
                <w:caps w:val="0"/>
                <w:color w:val="000000"/>
                <w:spacing w:val="0"/>
                <w:kern w:val="0"/>
                <w:sz w:val="36"/>
                <w:szCs w:val="36"/>
                <w:lang w:val="en-US" w:eastAsia="zh-CN" w:bidi="ar"/>
              </w:rPr>
              <w:t>年度</w:t>
            </w:r>
            <w:r>
              <w:rPr>
                <w:rFonts w:hint="eastAsia" w:ascii="黑体" w:hAnsi="宋体" w:eastAsia="黑体" w:cs="黑体"/>
                <w:i w:val="0"/>
                <w:caps w:val="0"/>
                <w:color w:val="000000"/>
                <w:spacing w:val="0"/>
                <w:kern w:val="0"/>
                <w:sz w:val="36"/>
                <w:szCs w:val="36"/>
                <w:lang w:val="en-US" w:eastAsia="zh-CN" w:bidi="ar"/>
              </w:rPr>
              <w:t>中共南县县委办公室整体支出绩效自评指标计分表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1"/>
                <w:szCs w:val="21"/>
                <w:lang w:val="en-US" w:eastAsia="zh-CN" w:bidi="ar"/>
              </w:rPr>
              <w:t> </w:t>
            </w:r>
          </w:p>
        </w:tc>
      </w:tr>
      <w:tr>
        <w:tblPrEx>
          <w:shd w:val="clear" w:color="auto" w:fill="FFFFFF"/>
          <w:tblCellMar>
            <w:top w:w="15" w:type="dxa"/>
            <w:left w:w="15" w:type="dxa"/>
            <w:bottom w:w="15" w:type="dxa"/>
            <w:right w:w="15" w:type="dxa"/>
          </w:tblCellMar>
        </w:tblPrEx>
        <w:trPr>
          <w:trHeight w:val="567" w:hRule="atLeast"/>
        </w:trPr>
        <w:tc>
          <w:tcPr>
            <w:tcW w:w="1291" w:type="dxa"/>
            <w:tcBorders>
              <w:top w:val="nil"/>
              <w:left w:val="single" w:color="auto" w:sz="8" w:space="0"/>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指标</w:t>
            </w:r>
          </w:p>
        </w:tc>
        <w:tc>
          <w:tcPr>
            <w:tcW w:w="553" w:type="dxa"/>
            <w:tcBorders>
              <w:top w:val="single" w:color="auto" w:sz="8" w:space="0"/>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二级指标</w:t>
            </w:r>
          </w:p>
        </w:tc>
        <w:tc>
          <w:tcPr>
            <w:tcW w:w="669" w:type="dxa"/>
            <w:tcBorders>
              <w:top w:val="single" w:color="auto" w:sz="8" w:space="0"/>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三级指标</w:t>
            </w:r>
          </w:p>
        </w:tc>
        <w:tc>
          <w:tcPr>
            <w:tcW w:w="418"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自评分</w:t>
            </w:r>
          </w:p>
        </w:tc>
        <w:tc>
          <w:tcPr>
            <w:tcW w:w="2648" w:type="dxa"/>
            <w:tcBorders>
              <w:top w:val="single" w:color="auto" w:sz="8" w:space="0"/>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指标解释</w:t>
            </w:r>
          </w:p>
        </w:tc>
        <w:tc>
          <w:tcPr>
            <w:tcW w:w="3385" w:type="dxa"/>
            <w:tcBorders>
              <w:top w:val="single" w:color="auto" w:sz="8" w:space="0"/>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1"/>
                <w:szCs w:val="21"/>
                <w:lang w:val="en-US" w:eastAsia="zh-CN" w:bidi="ar"/>
              </w:rPr>
              <w:t>指标说明</w:t>
            </w:r>
          </w:p>
        </w:tc>
      </w:tr>
      <w:tr>
        <w:tblPrEx>
          <w:shd w:val="clear" w:color="auto" w:fill="FFFFFF"/>
          <w:tblCellMar>
            <w:top w:w="15" w:type="dxa"/>
            <w:left w:w="15" w:type="dxa"/>
            <w:bottom w:w="15" w:type="dxa"/>
            <w:right w:w="15" w:type="dxa"/>
          </w:tblCellMar>
        </w:tblPrEx>
        <w:trPr>
          <w:trHeight w:val="567" w:hRule="atLeast"/>
        </w:trPr>
        <w:tc>
          <w:tcPr>
            <w:tcW w:w="1291" w:type="dxa"/>
            <w:vMerge w:val="restart"/>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ascii="仿宋_GB2312" w:hAnsi="微软雅黑" w:eastAsia="仿宋_GB2312" w:cs="仿宋_GB2312"/>
                <w:i w:val="0"/>
                <w:caps w:val="0"/>
                <w:color w:val="000000"/>
                <w:spacing w:val="0"/>
                <w:kern w:val="0"/>
                <w:sz w:val="21"/>
                <w:szCs w:val="21"/>
                <w:lang w:val="en-US" w:eastAsia="zh-CN" w:bidi="ar"/>
              </w:rPr>
              <w:t>投   入（20分）</w:t>
            </w:r>
          </w:p>
        </w:tc>
        <w:tc>
          <w:tcPr>
            <w:tcW w:w="553"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设定（5分）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绩效目标合理性（2分）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2</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部门所设立的整体绩效目标依据是否充分，是否符合客观实际，用以反映和考核部门整体绩效目标与部门履职、年度工作任务的相符性情况。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①符合国家法律法规、国民经济和社会发展总体规划计1分；②符合部门“三定”方案确定的职责计0.5分；③是否符合部门制定的中长期实施规划计0.5分。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绩效指标明确性（3分）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3</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部门依据整体绩效目标所设定的绩效指标是否清晰、细化、可衡量，用以反映和考核部门整体绩效目标的明细化情况。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①将部门整体的绩效目标细化分解为具体的工作任务计1分；②通过清晰、可衡量的指标值予以体现计0.5分。③与部门年度的任务数或计划数相对应计0.5分；④与本年度部门预算资金相匹配计1分。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配置（15分）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在职人员控制率（5分）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微软雅黑" w:eastAsia="仿宋_GB2312" w:cs="仿宋_GB2312"/>
                <w:i w:val="0"/>
                <w:caps w:val="0"/>
                <w:color w:val="000000"/>
                <w:spacing w:val="0"/>
                <w:kern w:val="0"/>
                <w:sz w:val="21"/>
                <w:szCs w:val="21"/>
                <w:lang w:val="en-US" w:eastAsia="zh-CN" w:bidi="ar"/>
              </w:rPr>
              <w:t>4</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部门本年度实际在职人员数与编制数的比率，用以反映和考核部门对人员成本的控制程度。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“三公经费”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变动率（5分）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仿宋_GB2312" w:hAnsi="微软雅黑" w:eastAsia="仿宋_GB2312" w:cs="仿宋_GB2312"/>
                <w:i w:val="0"/>
                <w:caps w:val="0"/>
                <w:color w:val="000000"/>
                <w:spacing w:val="0"/>
                <w:kern w:val="0"/>
                <w:sz w:val="21"/>
                <w:szCs w:val="21"/>
                <w:lang w:val="en-US" w:eastAsia="zh-CN" w:bidi="ar"/>
              </w:rPr>
              <w:t>4</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部门本年度“三公经费”预算数与上年度“三公经费”预算数的变动比率，用以反映和考核部门对控制重点行政成本的努力程度。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重点支出安排率（5分）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部门本年度预算安排的重点项目支出与部门项目总支出的比率，用以反映和考核部门对履行主要职责或完成重点任务的保障程度。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shd w:val="clear" w:color="auto" w:fill="FFFFFF"/>
          <w:tblCellMar>
            <w:top w:w="15" w:type="dxa"/>
            <w:left w:w="15" w:type="dxa"/>
            <w:bottom w:w="15" w:type="dxa"/>
            <w:right w:w="15" w:type="dxa"/>
          </w:tblCellMar>
        </w:tblPrEx>
        <w:trPr>
          <w:trHeight w:val="567" w:hRule="atLeast"/>
        </w:trPr>
        <w:tc>
          <w:tcPr>
            <w:tcW w:w="1291" w:type="dxa"/>
            <w:vMerge w:val="restart"/>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过             程（30分）</w:t>
            </w:r>
          </w:p>
        </w:tc>
        <w:tc>
          <w:tcPr>
            <w:tcW w:w="553" w:type="dxa"/>
            <w:vMerge w:val="restart"/>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（20分）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预算完成率（4分）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3.5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部门本年度预算完成数与预算数的比率，用以反映和考核部门预算完成程度。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预算完成率=（预算完成数/预算数）×100%。完成年初预算计4分，未完成年初预算按比例扣减，预算完成数：部门本年度实际完成的预算数。预算数：财政部门批复的本年度部门预算数。</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预算调整率（2分）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2</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部门本年度预算调整数与预算数的比率，用以反映和考核部门预算的调整程度。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支付进度率（2分）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2</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部门实际支付进度与既定支付进度的比率，用以反映和考核部门预算执行的及时性和均衡性程度。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结转结余控制率（4分）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4</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部门本年度结转结余总额与上年结转结余总额增减比例，用以反映和考核部门对存量资金的实际控制程度。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控制率（2分）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2</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部门本年度实际支出的公用经费总额与预算安排的公用经费总额的比率，用以反映和考核部门对机构运转成本的实际控制程度。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公用经费控制率=（实际支出公用经费总额/预算安排公用经费总额）×100%。为100%的计2分，每超过1个百分点扣0.1分，扣完为止。</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“三公经费”控制率（2分）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2</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部门本年度“三公经费”实际支出数与预算安排数的比率，用以反映和考核部门对“三公经费”的实际控制程度。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“三公经费”控制率=（“三公经费”实际支出数/“三公经费”预算安排数）×100%。为100%的计2分，每超过1个百分点扣0.5分，扣完为止。</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政府采购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执行率（4分）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4</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部门本年度实际政府采购金额与年初政府采购预算的比率，用以反映和考核部门政府采购预算执行情况。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（5分）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健全性（2分）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1.5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部门为加强预算管理、规范财务行为而制定的管理制度是否健全完整，用以反映和考核部门预算管理制度对完成主要职责或促进事业发展的保障情况。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已制定或具有预算资金管理办法、内部财务管理制度、会计核算制度等管理制度计1分；相关管理制度合法、合规、完整计0.5分；相关管理制度得到有效执行计0.5分。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资金使用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合规性（1分）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1</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部门使用预算资金是否符合相关的预算财务管理制度的规定，用以反映和考核部门预算资金的规范运行情况。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预决算信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息公开性（1分）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1</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部门是否按照政府信息公开有关规定公开相关预决算信息，用以反映和考核部门预决算管理的公开透明情况。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①按规定内容公开预决算信息计0.5分；②按规定时限公开预决算信息计0.5分。预决算信息是指与部门预算、执行、决算、监督、绩效等管理相关的信息。</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基础信息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完善性（1分）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1</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部门基础信息是否完善，用以反映和考核基础信息对预算管理工作的支撑情况。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①基础数据信息和会计信息资料真实计0.4分；②基础数据信息和会计信息资料完整计0.3分；③基础数据信息和会计信息资料准确计0.3分。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restart"/>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（5分）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健全性（2分）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1.5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部门为加强资产管理、规范资产管理行为而制定的管理制度是否健全完整，用以反映和考核部门资产管理制度对完成主要职责或促进社会发展的保障情况。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①制定或具有资产管理制度计1分；②相关资金管理制度合法、合规、完整计0.5分；③相关资产管理制度得到有效执行计0.5分。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资产管理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安全性（2分）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1.6</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部门的资产是否保存完整、使用合规、配置合理、处置规范、收入及时足额上缴，用以反映和考核部门资产安全运行情况。</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①资产保存完整计0.4分；②资产配置合理计0.4分；③资产处置规范计0.4分；④资产账务管理合规、帐实相符计0.4分；⑤资产有偿使用及处置收入及时足额上缴计0.4分。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nil"/>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固定资产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利用率（1分）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1</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部门实际在用固定资产总额与所有固定资产总额的比率，用以反映和考核部门固定资产使用效率程度。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固定资产利用率=（实际在用固定资产总额/所有固定资产总额）×100%。利用率为100%的计1分，每降1个百分点扣0.1分，扣完为止。</w:t>
            </w:r>
          </w:p>
        </w:tc>
      </w:tr>
      <w:tr>
        <w:tblPrEx>
          <w:shd w:val="clear" w:color="auto" w:fill="FFFFFF"/>
          <w:tblCellMar>
            <w:top w:w="15" w:type="dxa"/>
            <w:left w:w="15" w:type="dxa"/>
            <w:bottom w:w="15" w:type="dxa"/>
            <w:right w:w="15" w:type="dxa"/>
          </w:tblCellMar>
        </w:tblPrEx>
        <w:trPr>
          <w:trHeight w:val="567" w:hRule="atLeast"/>
        </w:trPr>
        <w:tc>
          <w:tcPr>
            <w:tcW w:w="1291" w:type="dxa"/>
            <w:vMerge w:val="restart"/>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产   出（30分）</w:t>
            </w:r>
          </w:p>
        </w:tc>
        <w:tc>
          <w:tcPr>
            <w:tcW w:w="553"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履行</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实际完成率（8分）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8</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部门履行职责而实际完成工作数与计划工作数的比率，用以反映和考核部门履职工作任务目标的实现程度。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实际完成率得分=完成市委市政府绩效考核得分或上级主管部门考核指标得分/指标分值*8分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完成及时率（4分）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4</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部门在规定时限内及时完成的实际工作数与计划工作数的比率,用以反映和考核部门履职时效目标的实现程度。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完成及时率=（及时完成实际工作数/计划工作数）×100%。1-4季度各得1分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质量达标率（8分）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8</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达到质量标准（绩效标准值）的实际工作数与计划工作数的比率,用以反映和考核部门履职质量目标的实现程度。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质量达标率=（质量达标实际工作数/计划工作数）×100%。实际得分=达标率*8分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重点工作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办结率（10分）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10</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部门年度重点工作实际完成数与交办或下达数的比率，用以反映部门对重点工作的办理落实程度。</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重点工作办结率=（重点工作实际完成数/交办或下达数）×100%。实际得分=办结率*10分</w:t>
            </w:r>
          </w:p>
        </w:tc>
      </w:tr>
      <w:tr>
        <w:tblPrEx>
          <w:shd w:val="clear" w:color="auto" w:fill="FFFFFF"/>
          <w:tblCellMar>
            <w:top w:w="15" w:type="dxa"/>
            <w:left w:w="15" w:type="dxa"/>
            <w:bottom w:w="15" w:type="dxa"/>
            <w:right w:w="15" w:type="dxa"/>
          </w:tblCellMar>
        </w:tblPrEx>
        <w:trPr>
          <w:trHeight w:val="567" w:hRule="atLeast"/>
        </w:trPr>
        <w:tc>
          <w:tcPr>
            <w:tcW w:w="1291" w:type="dxa"/>
            <w:vMerge w:val="restart"/>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效   果（20分）</w:t>
            </w:r>
          </w:p>
        </w:tc>
        <w:tc>
          <w:tcPr>
            <w:tcW w:w="553"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仿宋_GB2312" w:hAnsi="微软雅黑" w:eastAsia="仿宋_GB2312" w:cs="仿宋_GB2312"/>
                <w:i w:val="0"/>
                <w:caps w:val="0"/>
                <w:color w:val="000000"/>
                <w:spacing w:val="0"/>
                <w:kern w:val="0"/>
                <w:sz w:val="21"/>
                <w:szCs w:val="21"/>
                <w:lang w:val="en-US" w:eastAsia="zh-CN" w:bidi="ar"/>
              </w:rPr>
            </w:pPr>
            <w:r>
              <w:rPr>
                <w:rFonts w:hint="default" w:ascii="仿宋_GB2312" w:hAnsi="微软雅黑" w:eastAsia="仿宋_GB2312" w:cs="仿宋_GB2312"/>
                <w:i w:val="0"/>
                <w:caps w:val="0"/>
                <w:color w:val="000000"/>
                <w:spacing w:val="0"/>
                <w:kern w:val="0"/>
                <w:sz w:val="21"/>
                <w:szCs w:val="21"/>
                <w:lang w:val="en-US" w:eastAsia="zh-CN" w:bidi="ar"/>
              </w:rPr>
              <w:t>履职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微软雅黑" w:eastAsia="仿宋_GB2312" w:cs="仿宋_GB2312"/>
                <w:i w:val="0"/>
                <w:caps w:val="0"/>
                <w:color w:val="000000"/>
                <w:spacing w:val="0"/>
                <w:kern w:val="0"/>
                <w:sz w:val="21"/>
                <w:szCs w:val="21"/>
                <w:lang w:val="en-US" w:eastAsia="zh-CN" w:bidi="ar"/>
              </w:rPr>
              <w:t>效益（20分）</w:t>
            </w: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经济效益（5分）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部门履行职责对经济发展所带来的直接或间接影响。</w:t>
            </w:r>
          </w:p>
        </w:tc>
        <w:tc>
          <w:tcPr>
            <w:tcW w:w="3385" w:type="dxa"/>
            <w:vMerge w:val="restart"/>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按经济效益实现程度计算得分（5分）；按社会效益实现程度计算得分（5分）；按生态效益实现程度计算得分（5分）</w:t>
            </w:r>
          </w:p>
        </w:tc>
      </w:tr>
      <w:tr>
        <w:tblPrEx>
          <w:shd w:val="clear" w:color="auto" w:fill="FFFFFF"/>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社会效益（5分）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部门履行职责对社会发展所带来的直接或间接影响。</w:t>
            </w:r>
          </w:p>
        </w:tc>
        <w:tc>
          <w:tcPr>
            <w:tcW w:w="3385"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r>
      <w:tr>
        <w:tblPrEx>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生态效益（5分）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5</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部门履行职责对生态环境所带来的直接或间接影响。</w:t>
            </w:r>
          </w:p>
        </w:tc>
        <w:tc>
          <w:tcPr>
            <w:tcW w:w="3385"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r>
      <w:tr>
        <w:tblPrEx>
          <w:tblCellMar>
            <w:top w:w="15" w:type="dxa"/>
            <w:left w:w="15" w:type="dxa"/>
            <w:bottom w:w="15" w:type="dxa"/>
            <w:right w:w="15" w:type="dxa"/>
          </w:tblCellMar>
        </w:tblPrEx>
        <w:trPr>
          <w:trHeight w:val="567" w:hRule="atLeast"/>
        </w:trPr>
        <w:tc>
          <w:tcPr>
            <w:tcW w:w="1291" w:type="dxa"/>
            <w:vMerge w:val="continue"/>
            <w:tcBorders>
              <w:top w:val="nil"/>
              <w:left w:val="single" w:color="auto" w:sz="8" w:space="0"/>
              <w:bottom w:val="single" w:color="auto" w:sz="8" w:space="0"/>
              <w:right w:val="single" w:color="auto" w:sz="8" w:space="0"/>
            </w:tcBorders>
            <w:shd w:val="clear" w:color="auto" w:fill="FFFFFF"/>
            <w:noWrap/>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553" w:type="dxa"/>
            <w:vMerge w:val="continue"/>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jc w:val="left"/>
              <w:rPr>
                <w:rFonts w:hint="eastAsia" w:ascii="微软雅黑" w:hAnsi="微软雅黑" w:eastAsia="微软雅黑" w:cs="微软雅黑"/>
                <w:i w:val="0"/>
                <w:caps w:val="0"/>
                <w:color w:val="000000"/>
                <w:spacing w:val="0"/>
                <w:sz w:val="18"/>
                <w:szCs w:val="18"/>
              </w:rPr>
            </w:pPr>
          </w:p>
        </w:tc>
        <w:tc>
          <w:tcPr>
            <w:tcW w:w="669" w:type="dxa"/>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社会公众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或服务对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象满意度（5分）</w:t>
            </w:r>
          </w:p>
        </w:tc>
        <w:tc>
          <w:tcPr>
            <w:tcW w:w="418"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5</w:t>
            </w:r>
          </w:p>
        </w:tc>
        <w:tc>
          <w:tcPr>
            <w:tcW w:w="2648" w:type="dxa"/>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社会公众或部门的服务对象对部门履职效果的满意程度。</w:t>
            </w:r>
          </w:p>
        </w:tc>
        <w:tc>
          <w:tcPr>
            <w:tcW w:w="3385" w:type="dxa"/>
            <w:tcBorders>
              <w:top w:val="nil"/>
              <w:left w:val="nil"/>
              <w:bottom w:val="nil"/>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按收集到的服务对象的满意率计算得分（5分）</w:t>
            </w:r>
          </w:p>
        </w:tc>
      </w:tr>
      <w:tr>
        <w:tblPrEx>
          <w:tblCellMar>
            <w:top w:w="15" w:type="dxa"/>
            <w:left w:w="15" w:type="dxa"/>
            <w:bottom w:w="15" w:type="dxa"/>
            <w:right w:w="15" w:type="dxa"/>
          </w:tblCellMar>
        </w:tblPrEx>
        <w:trPr>
          <w:trHeight w:val="567" w:hRule="atLeast"/>
        </w:trPr>
        <w:tc>
          <w:tcPr>
            <w:tcW w:w="2513" w:type="dxa"/>
            <w:gridSpan w:val="3"/>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合   计</w:t>
            </w:r>
          </w:p>
        </w:tc>
        <w:tc>
          <w:tcPr>
            <w:tcW w:w="418"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lang w:val="en-US"/>
              </w:rPr>
            </w:pPr>
            <w:r>
              <w:rPr>
                <w:rFonts w:hint="eastAsia" w:ascii="仿宋_GB2312" w:hAnsi="微软雅黑" w:eastAsia="仿宋_GB2312" w:cs="仿宋_GB2312"/>
                <w:i w:val="0"/>
                <w:caps w:val="0"/>
                <w:color w:val="000000"/>
                <w:spacing w:val="0"/>
                <w:kern w:val="0"/>
                <w:sz w:val="21"/>
                <w:szCs w:val="21"/>
                <w:lang w:val="en-US" w:eastAsia="zh-CN" w:bidi="ar"/>
              </w:rPr>
              <w:t>96.1</w:t>
            </w:r>
          </w:p>
        </w:tc>
        <w:tc>
          <w:tcPr>
            <w:tcW w:w="2648"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 </w:t>
            </w:r>
          </w:p>
        </w:tc>
        <w:tc>
          <w:tcPr>
            <w:tcW w:w="3385" w:type="dxa"/>
            <w:tcBorders>
              <w:top w:val="nil"/>
              <w:left w:val="nil"/>
              <w:bottom w:val="single" w:color="auto" w:sz="8" w:space="0"/>
              <w:right w:val="single" w:color="auto" w:sz="8" w:space="0"/>
            </w:tcBorders>
            <w:shd w:val="clear" w:color="auto" w:fill="FFFFFF"/>
            <w:noWrap w:val="0"/>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微软雅黑" w:eastAsia="仿宋_GB2312" w:cs="仿宋_GB2312"/>
                <w:i w:val="0"/>
                <w:caps w:val="0"/>
                <w:color w:val="000000"/>
                <w:spacing w:val="0"/>
                <w:kern w:val="0"/>
                <w:sz w:val="21"/>
                <w:szCs w:val="21"/>
                <w:lang w:val="en-US" w:eastAsia="zh-CN" w:bidi="ar"/>
              </w:rPr>
              <w:t> </w:t>
            </w:r>
          </w:p>
        </w:tc>
      </w:tr>
    </w:tbl>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spacing w:val="11"/>
          <w:kern w:val="2"/>
          <w:sz w:val="32"/>
          <w:szCs w:val="36"/>
          <w:lang w:val="en-US" w:eastAsia="zh-CN" w:bidi="ar-SA"/>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OTI2ODMwMmY0ZjcwYjdlODVhMTcwMmMyMzJlOTMifQ=="/>
  </w:docVars>
  <w:rsids>
    <w:rsidRoot w:val="42DA4ECB"/>
    <w:rsid w:val="01BD2C9F"/>
    <w:rsid w:val="034911D9"/>
    <w:rsid w:val="063407A8"/>
    <w:rsid w:val="07EC3908"/>
    <w:rsid w:val="0D1D090D"/>
    <w:rsid w:val="288F7F80"/>
    <w:rsid w:val="2DF9571A"/>
    <w:rsid w:val="42DA4ECB"/>
    <w:rsid w:val="52E636F1"/>
    <w:rsid w:val="5E86300D"/>
    <w:rsid w:val="616B5187"/>
    <w:rsid w:val="6D711282"/>
    <w:rsid w:val="76220013"/>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nhideWhenUsed/>
    <w:qFormat/>
    <w:uiPriority w:val="39"/>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2686</Words>
  <Characters>2763</Characters>
  <Lines>0</Lines>
  <Paragraphs>0</Paragraphs>
  <TotalTime>0</TotalTime>
  <ScaleCrop>false</ScaleCrop>
  <LinksUpToDate>false</LinksUpToDate>
  <CharactersWithSpaces>2836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test</cp:lastModifiedBy>
  <cp:lastPrinted>2021-04-09T03:53:00Z</cp:lastPrinted>
  <dcterms:modified xsi:type="dcterms:W3CDTF">2022-06-02T01:45:47Z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FF11289CDFC64755AC07973F2BE95454</vt:lpwstr>
  </property>
</Properties>
</file>