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lang w:val="en-US" w:eastAsia="zh-CN"/>
        </w:rPr>
      </w:pPr>
      <w:bookmarkStart w:id="0" w:name="_GoBack"/>
      <w:r>
        <w:rPr>
          <w:rFonts w:hint="eastAsia" w:asciiTheme="minorEastAsia" w:hAnsiTheme="minorEastAsia" w:eastAsiaTheme="minorEastAsia" w:cstheme="minorEastAsia"/>
          <w:b/>
          <w:bCs/>
          <w:color w:val="auto"/>
          <w:sz w:val="44"/>
          <w:szCs w:val="44"/>
          <w:lang w:val="en-US" w:eastAsia="zh-CN"/>
        </w:rPr>
        <w:t>南县厂窖镇中心学校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20</w:t>
      </w:r>
      <w:r>
        <w:rPr>
          <w:rFonts w:hint="eastAsia" w:asciiTheme="minorEastAsia" w:hAnsiTheme="minorEastAsia" w:eastAsiaTheme="minorEastAsia" w:cstheme="minorEastAsia"/>
          <w:b/>
          <w:bCs/>
          <w:color w:val="auto"/>
          <w:sz w:val="44"/>
          <w:szCs w:val="44"/>
          <w:lang w:val="en-US" w:eastAsia="zh-CN"/>
        </w:rPr>
        <w:t>20</w:t>
      </w:r>
      <w:r>
        <w:rPr>
          <w:rFonts w:hint="eastAsia" w:asciiTheme="minorEastAsia" w:hAnsiTheme="minorEastAsia" w:eastAsiaTheme="minorEastAsia" w:cstheme="minorEastAsia"/>
          <w:b/>
          <w:bCs/>
          <w:color w:val="auto"/>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工 作 报 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中共</w:t>
      </w:r>
      <w:r>
        <w:rPr>
          <w:rFonts w:hint="eastAsia" w:ascii="仿宋" w:hAnsi="仿宋" w:eastAsia="仿宋" w:cs="仿宋"/>
          <w:color w:val="auto"/>
          <w:sz w:val="32"/>
          <w:szCs w:val="32"/>
        </w:rPr>
        <w:t>湖南省</w:t>
      </w:r>
      <w:r>
        <w:rPr>
          <w:rFonts w:hint="eastAsia" w:ascii="仿宋" w:hAnsi="仿宋" w:eastAsia="仿宋" w:cs="仿宋"/>
          <w:color w:val="auto"/>
          <w:sz w:val="32"/>
          <w:szCs w:val="32"/>
          <w:lang w:val="en-US" w:eastAsia="zh-CN"/>
        </w:rPr>
        <w:t>委办公厅 湖南省人民政府办公厅关于全面实施预算绩效管理的实施意见</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办</w:t>
      </w:r>
      <w:r>
        <w:rPr>
          <w:rFonts w:hint="eastAsia" w:ascii="仿宋" w:hAnsi="仿宋" w:eastAsia="仿宋" w:cs="仿宋"/>
          <w:color w:val="auto"/>
          <w:sz w:val="32"/>
          <w:szCs w:val="32"/>
        </w:rPr>
        <w:t>发〔20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号）和《南县</w:t>
      </w:r>
      <w:r>
        <w:rPr>
          <w:rFonts w:hint="eastAsia" w:ascii="仿宋" w:hAnsi="仿宋" w:eastAsia="仿宋" w:cs="仿宋"/>
          <w:color w:val="auto"/>
          <w:sz w:val="32"/>
          <w:szCs w:val="32"/>
          <w:lang w:val="en-US" w:eastAsia="zh-CN"/>
        </w:rPr>
        <w:t>财政局关于做好2020年度预算绩效自评工作的通知</w:t>
      </w:r>
      <w:r>
        <w:rPr>
          <w:rFonts w:hint="eastAsia" w:ascii="仿宋" w:hAnsi="仿宋" w:eastAsia="仿宋" w:cs="仿宋"/>
          <w:color w:val="auto"/>
          <w:sz w:val="32"/>
          <w:szCs w:val="32"/>
        </w:rPr>
        <w:t>》（南</w:t>
      </w:r>
      <w:r>
        <w:rPr>
          <w:rFonts w:hint="eastAsia" w:ascii="仿宋" w:hAnsi="仿宋" w:eastAsia="仿宋" w:cs="仿宋"/>
          <w:color w:val="auto"/>
          <w:sz w:val="32"/>
          <w:szCs w:val="32"/>
          <w:lang w:val="en-US" w:eastAsia="zh-CN"/>
        </w:rPr>
        <w:t>财绩函</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号）等文件精神要求，为进一步规范财政资金管理，牢固树立预算绩效理念，切实提高财政资金使用效益，我单位成立了以</w:t>
      </w:r>
      <w:r>
        <w:rPr>
          <w:rFonts w:hint="eastAsia" w:ascii="仿宋" w:hAnsi="仿宋" w:eastAsia="仿宋" w:cs="仿宋"/>
          <w:color w:val="auto"/>
          <w:sz w:val="32"/>
          <w:szCs w:val="32"/>
          <w:lang w:val="en-US" w:eastAsia="zh-CN"/>
        </w:rPr>
        <w:t>肖毅</w:t>
      </w:r>
      <w:r>
        <w:rPr>
          <w:rFonts w:hint="eastAsia" w:ascii="仿宋" w:hAnsi="仿宋" w:eastAsia="仿宋" w:cs="仿宋"/>
          <w:color w:val="auto"/>
          <w:sz w:val="32"/>
          <w:szCs w:val="32"/>
        </w:rPr>
        <w:t>同志为组长的</w:t>
      </w:r>
      <w:r>
        <w:rPr>
          <w:rFonts w:hint="eastAsia" w:ascii="仿宋" w:hAnsi="仿宋" w:eastAsia="仿宋" w:cs="仿宋"/>
          <w:color w:val="auto"/>
          <w:sz w:val="32"/>
          <w:szCs w:val="32"/>
          <w:lang w:val="en-US" w:eastAsia="zh-CN"/>
        </w:rPr>
        <w:t>预算</w:t>
      </w:r>
      <w:r>
        <w:rPr>
          <w:rFonts w:hint="eastAsia" w:ascii="仿宋" w:hAnsi="仿宋" w:eastAsia="仿宋" w:cs="仿宋"/>
          <w:color w:val="auto"/>
          <w:sz w:val="32"/>
          <w:szCs w:val="32"/>
        </w:rPr>
        <w:t>绩效自评工作小组，参照有关财政支出绩效评价指标体系，认真组织对20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厂窖</w:t>
      </w:r>
      <w:r>
        <w:rPr>
          <w:rFonts w:hint="eastAsia" w:ascii="仿宋" w:hAnsi="仿宋" w:eastAsia="仿宋" w:cs="仿宋"/>
          <w:color w:val="auto"/>
          <w:sz w:val="32"/>
          <w:szCs w:val="32"/>
        </w:rPr>
        <w:t>镇辖区内现有</w:t>
      </w:r>
      <w:r>
        <w:rPr>
          <w:rFonts w:ascii="仿宋" w:hAnsi="仿宋" w:eastAsia="仿宋" w:cs="仿宋"/>
          <w:color w:val="auto"/>
          <w:sz w:val="32"/>
          <w:szCs w:val="32"/>
        </w:rPr>
        <w:t>1</w:t>
      </w:r>
      <w:r>
        <w:rPr>
          <w:rFonts w:hint="eastAsia" w:ascii="仿宋" w:hAnsi="仿宋" w:eastAsia="仿宋" w:cs="仿宋"/>
          <w:color w:val="auto"/>
          <w:sz w:val="32"/>
          <w:szCs w:val="32"/>
        </w:rPr>
        <w:t>所中学、</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所小学、</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所有财政拨付资金的幼儿园，教职工</w:t>
      </w:r>
      <w:r>
        <w:rPr>
          <w:rFonts w:ascii="仿宋" w:hAnsi="仿宋" w:eastAsia="仿宋" w:cs="仿宋"/>
          <w:color w:val="auto"/>
          <w:sz w:val="32"/>
          <w:szCs w:val="32"/>
        </w:rPr>
        <w:t>1</w:t>
      </w: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rPr>
        <w:t>在职在编人员</w:t>
      </w:r>
      <w:r>
        <w:rPr>
          <w:rFonts w:ascii="仿宋" w:hAnsi="仿宋" w:eastAsia="仿宋" w:cs="仿宋"/>
          <w:color w:val="auto"/>
          <w:sz w:val="32"/>
          <w:szCs w:val="32"/>
        </w:rPr>
        <w:t>1</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人，长期临时工</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人；退休人员</w:t>
      </w:r>
      <w:r>
        <w:rPr>
          <w:rFonts w:ascii="仿宋" w:hAnsi="仿宋" w:eastAsia="仿宋" w:cs="仿宋"/>
          <w:color w:val="auto"/>
          <w:sz w:val="32"/>
          <w:szCs w:val="32"/>
        </w:rPr>
        <w:t>1</w:t>
      </w:r>
      <w:r>
        <w:rPr>
          <w:rFonts w:hint="eastAsia" w:ascii="仿宋" w:hAnsi="仿宋" w:eastAsia="仿宋" w:cs="仿宋"/>
          <w:color w:val="auto"/>
          <w:sz w:val="32"/>
          <w:szCs w:val="32"/>
          <w:lang w:val="en-US" w:eastAsia="zh-CN"/>
        </w:rPr>
        <w:t>71</w:t>
      </w:r>
      <w:r>
        <w:rPr>
          <w:rFonts w:hint="eastAsia" w:ascii="仿宋" w:hAnsi="仿宋" w:eastAsia="仿宋" w:cs="仿宋"/>
          <w:color w:val="auto"/>
          <w:sz w:val="32"/>
          <w:szCs w:val="32"/>
        </w:rPr>
        <w:t>人；遗属人员</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人，独生子女</w:t>
      </w:r>
      <w:r>
        <w:rPr>
          <w:rFonts w:ascii="仿宋" w:hAnsi="仿宋" w:eastAsia="仿宋" w:cs="仿宋"/>
          <w:color w:val="auto"/>
          <w:sz w:val="32"/>
          <w:szCs w:val="32"/>
        </w:rPr>
        <w:t>5</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收入：</w:t>
      </w:r>
      <w:r>
        <w:rPr>
          <w:rFonts w:hint="eastAsia" w:ascii="仿宋" w:hAnsi="仿宋" w:eastAsia="仿宋" w:cs="仿宋"/>
          <w:color w:val="auto"/>
          <w:sz w:val="32"/>
          <w:szCs w:val="32"/>
          <w:lang w:val="en-US" w:eastAsia="zh-CN"/>
        </w:rPr>
        <w:t>2505.10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w:t>
      </w:r>
      <w:r>
        <w:rPr>
          <w:rFonts w:hint="eastAsia" w:ascii="仿宋" w:hAnsi="仿宋" w:eastAsia="仿宋" w:cs="仿宋"/>
          <w:color w:val="auto"/>
          <w:sz w:val="32"/>
          <w:szCs w:val="32"/>
          <w:lang w:val="en-US" w:eastAsia="zh-CN"/>
        </w:rPr>
        <w:t>2605.91</w:t>
      </w:r>
      <w:r>
        <w:rPr>
          <w:rFonts w:hint="eastAsia" w:ascii="仿宋" w:hAnsi="仿宋" w:eastAsia="仿宋" w:cs="仿宋"/>
          <w:color w:val="auto"/>
          <w:sz w:val="32"/>
          <w:szCs w:val="32"/>
          <w:lang w:val="en-US" w:eastAsia="zh-CN"/>
        </w:rPr>
        <w:t>万元减少</w:t>
      </w:r>
      <w:r>
        <w:rPr>
          <w:rFonts w:hint="eastAsia" w:ascii="仿宋" w:hAnsi="仿宋" w:eastAsia="仿宋" w:cs="仿宋"/>
          <w:color w:val="auto"/>
          <w:sz w:val="32"/>
          <w:szCs w:val="32"/>
          <w:lang w:val="en-US" w:eastAsia="zh-CN"/>
        </w:rPr>
        <w:t>100.81</w:t>
      </w:r>
      <w:r>
        <w:rPr>
          <w:rFonts w:hint="eastAsia" w:ascii="仿宋" w:hAnsi="仿宋" w:eastAsia="仿宋" w:cs="仿宋"/>
          <w:color w:val="auto"/>
          <w:sz w:val="32"/>
          <w:szCs w:val="32"/>
          <w:lang w:val="en-US" w:eastAsia="zh-CN"/>
        </w:rPr>
        <w:t>万元，减少</w:t>
      </w:r>
      <w:r>
        <w:rPr>
          <w:rFonts w:hint="eastAsia" w:ascii="仿宋" w:hAnsi="仿宋" w:eastAsia="仿宋" w:cs="仿宋"/>
          <w:color w:val="auto"/>
          <w:sz w:val="32"/>
          <w:szCs w:val="32"/>
          <w:lang w:val="en-US" w:eastAsia="zh-CN"/>
        </w:rPr>
        <w:t>3.86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财政拨款收入</w:t>
      </w:r>
      <w:r>
        <w:rPr>
          <w:rFonts w:hint="eastAsia" w:ascii="仿宋" w:hAnsi="仿宋" w:eastAsia="仿宋" w:cs="仿宋"/>
          <w:color w:val="auto"/>
          <w:sz w:val="32"/>
          <w:szCs w:val="32"/>
          <w:lang w:val="en-US" w:eastAsia="zh-CN"/>
        </w:rPr>
        <w:t>2505.10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w:t>
      </w:r>
      <w:r>
        <w:rPr>
          <w:rFonts w:hint="eastAsia" w:ascii="仿宋" w:hAnsi="仿宋" w:eastAsia="仿宋" w:cs="仿宋"/>
          <w:color w:val="auto"/>
          <w:sz w:val="32"/>
          <w:szCs w:val="32"/>
          <w:lang w:val="en-US" w:eastAsia="zh-CN"/>
        </w:rPr>
        <w:t>2296.83</w:t>
      </w:r>
      <w:r>
        <w:rPr>
          <w:rFonts w:hint="eastAsia" w:ascii="仿宋" w:hAnsi="仿宋" w:eastAsia="仿宋" w:cs="仿宋"/>
          <w:color w:val="auto"/>
          <w:sz w:val="32"/>
          <w:szCs w:val="32"/>
          <w:lang w:val="en-US" w:eastAsia="zh-CN"/>
        </w:rPr>
        <w:t>万元增加</w:t>
      </w:r>
      <w:r>
        <w:rPr>
          <w:rFonts w:hint="eastAsia" w:ascii="仿宋" w:hAnsi="仿宋" w:eastAsia="仿宋" w:cs="仿宋"/>
          <w:color w:val="auto"/>
          <w:sz w:val="32"/>
          <w:szCs w:val="32"/>
          <w:lang w:val="en-US" w:eastAsia="zh-CN"/>
        </w:rPr>
        <w:t>208.27</w:t>
      </w:r>
      <w:r>
        <w:rPr>
          <w:rFonts w:hint="eastAsia" w:ascii="仿宋" w:hAnsi="仿宋" w:eastAsia="仿宋" w:cs="仿宋"/>
          <w:color w:val="auto"/>
          <w:sz w:val="32"/>
          <w:szCs w:val="32"/>
          <w:lang w:val="en-US" w:eastAsia="zh-CN"/>
        </w:rPr>
        <w:t>万元，增加</w:t>
      </w:r>
      <w:r>
        <w:rPr>
          <w:rFonts w:hint="eastAsia" w:ascii="仿宋" w:hAnsi="仿宋" w:eastAsia="仿宋" w:cs="仿宋"/>
          <w:color w:val="auto"/>
          <w:sz w:val="32"/>
          <w:szCs w:val="32"/>
          <w:lang w:val="en-US" w:eastAsia="zh-CN"/>
        </w:rPr>
        <w:t>9.06</w:t>
      </w:r>
      <w:r>
        <w:rPr>
          <w:rFonts w:hint="eastAsia" w:ascii="仿宋" w:hAnsi="仿宋" w:eastAsia="仿宋" w:cs="仿宋"/>
          <w:color w:val="auto"/>
          <w:sz w:val="32"/>
          <w:szCs w:val="32"/>
          <w:lang w:val="en-US" w:eastAsia="zh-CN"/>
        </w:rPr>
        <w:t>％。其他收入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val="en-US" w:eastAsia="zh-CN"/>
        </w:rPr>
        <w:t>万元，同比上年度</w:t>
      </w:r>
      <w:r>
        <w:rPr>
          <w:rFonts w:hint="eastAsia" w:ascii="仿宋" w:hAnsi="仿宋" w:eastAsia="仿宋" w:cs="仿宋"/>
          <w:color w:val="auto"/>
          <w:sz w:val="32"/>
          <w:szCs w:val="32"/>
          <w:lang w:val="en-US" w:eastAsia="zh-CN"/>
        </w:rPr>
        <w:t>174.82</w:t>
      </w:r>
      <w:r>
        <w:rPr>
          <w:rFonts w:hint="eastAsia" w:ascii="仿宋" w:hAnsi="仿宋" w:eastAsia="仿宋" w:cs="仿宋"/>
          <w:color w:val="auto"/>
          <w:sz w:val="32"/>
          <w:szCs w:val="32"/>
          <w:lang w:val="en-US" w:eastAsia="zh-CN"/>
        </w:rPr>
        <w:t>万元</w:t>
      </w:r>
      <w:r>
        <w:rPr>
          <w:rFonts w:hint="eastAsia" w:ascii="仿宋" w:hAnsi="仿宋" w:eastAsia="仿宋" w:cs="仿宋"/>
          <w:color w:val="auto"/>
          <w:sz w:val="32"/>
          <w:szCs w:val="32"/>
          <w:lang w:val="en-US" w:eastAsia="zh-CN"/>
        </w:rPr>
        <w:t>减少174.82</w:t>
      </w:r>
      <w:r>
        <w:rPr>
          <w:rFonts w:hint="eastAsia" w:ascii="仿宋" w:hAnsi="仿宋" w:eastAsia="仿宋" w:cs="仿宋"/>
          <w:color w:val="auto"/>
          <w:sz w:val="32"/>
          <w:szCs w:val="32"/>
          <w:lang w:val="en-US" w:eastAsia="zh-CN"/>
        </w:rPr>
        <w:t>万元</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2502.16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同比上年</w:t>
      </w:r>
      <w:r>
        <w:rPr>
          <w:rFonts w:hint="eastAsia" w:ascii="仿宋" w:hAnsi="仿宋" w:eastAsia="仿宋" w:cs="仿宋"/>
          <w:color w:val="auto"/>
          <w:sz w:val="32"/>
          <w:szCs w:val="32"/>
          <w:lang w:val="en-US" w:eastAsia="zh-CN"/>
        </w:rPr>
        <w:t>2299.04</w:t>
      </w:r>
      <w:r>
        <w:rPr>
          <w:rFonts w:hint="eastAsia" w:ascii="仿宋" w:hAnsi="仿宋" w:eastAsia="仿宋" w:cs="仿宋"/>
          <w:color w:val="auto"/>
          <w:sz w:val="32"/>
          <w:szCs w:val="32"/>
          <w:lang w:val="en-US" w:eastAsia="zh-CN"/>
        </w:rPr>
        <w:t>万元增加</w:t>
      </w:r>
      <w:r>
        <w:rPr>
          <w:rFonts w:hint="eastAsia" w:ascii="仿宋" w:hAnsi="仿宋" w:eastAsia="仿宋" w:cs="仿宋"/>
          <w:color w:val="auto"/>
          <w:sz w:val="32"/>
          <w:szCs w:val="32"/>
          <w:lang w:val="en-US" w:eastAsia="zh-CN"/>
        </w:rPr>
        <w:t>203.12</w:t>
      </w:r>
      <w:r>
        <w:rPr>
          <w:rFonts w:hint="eastAsia" w:ascii="仿宋" w:hAnsi="仿宋" w:eastAsia="仿宋" w:cs="仿宋"/>
          <w:color w:val="auto"/>
          <w:sz w:val="32"/>
          <w:szCs w:val="32"/>
          <w:lang w:val="en-US" w:eastAsia="zh-CN"/>
        </w:rPr>
        <w:t>万元，增加</w:t>
      </w:r>
      <w:r>
        <w:rPr>
          <w:rFonts w:hint="eastAsia" w:ascii="仿宋" w:hAnsi="仿宋" w:eastAsia="仿宋" w:cs="仿宋"/>
          <w:color w:val="auto"/>
          <w:sz w:val="32"/>
          <w:szCs w:val="32"/>
          <w:lang w:val="en-US" w:eastAsia="zh-CN"/>
        </w:rPr>
        <w:t>8.83</w:t>
      </w:r>
      <w:r>
        <w:rPr>
          <w:rFonts w:hint="eastAsia" w:ascii="仿宋" w:hAnsi="仿宋" w:eastAsia="仿宋" w:cs="仿宋"/>
          <w:color w:val="auto"/>
          <w:sz w:val="32"/>
          <w:szCs w:val="32"/>
          <w:lang w:val="en-US" w:eastAsia="zh-CN"/>
        </w:rPr>
        <w:t>％。增加部分主要是</w:t>
      </w:r>
      <w:r>
        <w:rPr>
          <w:rFonts w:hint="eastAsia" w:ascii="仿宋" w:hAnsi="仿宋" w:eastAsia="仿宋" w:cs="仿宋"/>
          <w:color w:val="auto"/>
          <w:sz w:val="32"/>
          <w:szCs w:val="32"/>
          <w:lang w:val="en-US" w:eastAsia="zh-CN"/>
        </w:rPr>
        <w:t>学校公用经费的增加。</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人员经费支出减少</w:t>
      </w:r>
      <w:r>
        <w:rPr>
          <w:rFonts w:hint="eastAsia" w:ascii="仿宋" w:hAnsi="仿宋" w:eastAsia="仿宋" w:cs="仿宋"/>
          <w:color w:val="auto"/>
          <w:sz w:val="32"/>
          <w:szCs w:val="32"/>
          <w:lang w:val="en-US" w:eastAsia="zh-CN"/>
        </w:rPr>
        <w:t>7.34</w:t>
      </w:r>
      <w:r>
        <w:rPr>
          <w:rFonts w:hint="eastAsia" w:ascii="仿宋" w:hAnsi="仿宋" w:eastAsia="仿宋" w:cs="仿宋"/>
          <w:color w:val="auto"/>
          <w:sz w:val="32"/>
          <w:szCs w:val="32"/>
          <w:lang w:val="en-US" w:eastAsia="zh-CN"/>
        </w:rPr>
        <w:t>万元，公用经费支出增加</w:t>
      </w:r>
      <w:r>
        <w:rPr>
          <w:rFonts w:hint="eastAsia" w:ascii="仿宋" w:hAnsi="仿宋" w:eastAsia="仿宋" w:cs="仿宋"/>
          <w:color w:val="auto"/>
          <w:sz w:val="32"/>
          <w:szCs w:val="32"/>
          <w:lang w:val="en-US" w:eastAsia="zh-CN"/>
        </w:rPr>
        <w:t>147.50</w:t>
      </w:r>
      <w:r>
        <w:rPr>
          <w:rFonts w:hint="eastAsia" w:ascii="仿宋" w:hAnsi="仿宋" w:eastAsia="仿宋" w:cs="仿宋"/>
          <w:color w:val="auto"/>
          <w:sz w:val="32"/>
          <w:szCs w:val="32"/>
          <w:lang w:val="en-US" w:eastAsia="zh-CN"/>
        </w:rPr>
        <w:t>万元，项目支出减少</w:t>
      </w:r>
      <w:r>
        <w:rPr>
          <w:rFonts w:hint="eastAsia" w:ascii="仿宋" w:hAnsi="仿宋" w:eastAsia="仿宋" w:cs="仿宋"/>
          <w:color w:val="auto"/>
          <w:sz w:val="32"/>
          <w:szCs w:val="32"/>
          <w:lang w:val="en-US" w:eastAsia="zh-CN"/>
        </w:rPr>
        <w:t>78.86</w:t>
      </w:r>
      <w:r>
        <w:rPr>
          <w:rFonts w:hint="eastAsia" w:ascii="仿宋" w:hAnsi="仿宋" w:eastAsia="仿宋" w:cs="仿宋"/>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（二）部门整体支出绩效目标</w:t>
      </w:r>
    </w:p>
    <w:p>
      <w:pPr>
        <w:spacing w:line="60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在全县教育系统年度绩效考评中，</w:t>
      </w:r>
      <w:r>
        <w:rPr>
          <w:rFonts w:hint="eastAsia" w:ascii="仿宋_GB2312" w:hAnsi="仿宋_GB2312" w:eastAsia="仿宋_GB2312" w:cs="仿宋_GB2312"/>
          <w:color w:val="auto"/>
          <w:sz w:val="32"/>
          <w:szCs w:val="32"/>
          <w:lang w:val="en-US" w:eastAsia="zh-CN"/>
        </w:rPr>
        <w:t>厂窖</w:t>
      </w:r>
      <w:r>
        <w:rPr>
          <w:rFonts w:hint="eastAsia" w:ascii="仿宋_GB2312" w:hAnsi="仿宋_GB2312" w:eastAsia="仿宋_GB2312" w:cs="仿宋_GB2312"/>
          <w:color w:val="auto"/>
          <w:sz w:val="32"/>
          <w:szCs w:val="32"/>
        </w:rPr>
        <w:t>镇中心学校荣获全面工作先进单位，绩效考核获得优秀等次。</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年教育教学质量、党建工作、安全生产、财务工作均进入先进行列。全镇上下</w:t>
      </w:r>
      <w:r>
        <w:rPr>
          <w:rFonts w:hint="eastAsia" w:ascii="仿宋_GB2312" w:eastAsia="仿宋_GB2312"/>
          <w:color w:val="auto"/>
          <w:sz w:val="32"/>
          <w:szCs w:val="32"/>
        </w:rPr>
        <w:t>教育环境风清气正，教育氛围劲足心齐，发展态势持续向好。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预算资金合计</w:t>
      </w:r>
      <w:r>
        <w:rPr>
          <w:rFonts w:hint="eastAsia" w:ascii="仿宋" w:hAnsi="仿宋" w:eastAsia="仿宋" w:cs="仿宋"/>
          <w:color w:val="auto"/>
          <w:sz w:val="32"/>
          <w:szCs w:val="32"/>
          <w:lang w:val="en-US" w:eastAsia="zh-CN"/>
        </w:rPr>
        <w:t>2505.1</w:t>
      </w:r>
      <w:r>
        <w:rPr>
          <w:rFonts w:hint="eastAsia" w:ascii="仿宋" w:hAnsi="仿宋" w:eastAsia="仿宋" w:cs="仿宋"/>
          <w:color w:val="auto"/>
          <w:sz w:val="32"/>
          <w:szCs w:val="32"/>
        </w:rPr>
        <w:t>万元，20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月全部</w:t>
      </w:r>
      <w:r>
        <w:rPr>
          <w:rFonts w:hint="eastAsia" w:ascii="仿宋" w:hAnsi="仿宋" w:eastAsia="仿宋" w:cs="仿宋"/>
          <w:color w:val="auto"/>
          <w:sz w:val="32"/>
          <w:szCs w:val="32"/>
          <w:lang w:eastAsia="zh-CN"/>
        </w:rPr>
        <w:t>拨付</w:t>
      </w:r>
      <w:r>
        <w:rPr>
          <w:rFonts w:hint="eastAsia" w:ascii="仿宋" w:hAnsi="仿宋" w:eastAsia="仿宋" w:cs="仿宋"/>
          <w:color w:val="auto"/>
          <w:sz w:val="32"/>
          <w:szCs w:val="32"/>
        </w:rPr>
        <w:t>到位，我单位根据年初预算编制及时制定实施计划组织实施。</w:t>
      </w:r>
      <w:r>
        <w:rPr>
          <w:rFonts w:hint="eastAsia" w:ascii="仿宋" w:hAnsi="仿宋" w:eastAsia="仿宋" w:cs="仿宋"/>
          <w:color w:val="auto"/>
          <w:sz w:val="32"/>
          <w:szCs w:val="32"/>
          <w:lang w:val="en-US" w:eastAsia="zh-CN"/>
        </w:rPr>
        <w:t>厂窖镇中心学校</w:t>
      </w:r>
      <w:r>
        <w:rPr>
          <w:rFonts w:hint="eastAsia" w:ascii="仿宋" w:hAnsi="仿宋" w:eastAsia="仿宋" w:cs="仿宋"/>
          <w:color w:val="auto"/>
          <w:sz w:val="32"/>
          <w:szCs w:val="32"/>
        </w:rPr>
        <w:t>严格按照年初预算进行部门整体支出。在支出过程中，严格遵守各项规章制度，</w:t>
      </w:r>
      <w:r>
        <w:rPr>
          <w:rFonts w:hint="eastAsia" w:ascii="仿宋" w:hAnsi="仿宋" w:eastAsia="仿宋" w:cs="仿宋"/>
          <w:color w:val="auto"/>
          <w:sz w:val="32"/>
          <w:szCs w:val="32"/>
          <w:lang w:val="en-US" w:eastAsia="zh-CN"/>
        </w:rPr>
        <w:t>严格控制</w:t>
      </w:r>
      <w:r>
        <w:rPr>
          <w:rFonts w:hint="eastAsia" w:ascii="仿宋" w:hAnsi="仿宋" w:eastAsia="仿宋" w:cs="仿宋"/>
          <w:color w:val="auto"/>
          <w:sz w:val="32"/>
          <w:szCs w:val="32"/>
          <w:lang w:eastAsia="zh-CN"/>
        </w:rPr>
        <w:t>公务接待和公务用车费用</w:t>
      </w:r>
      <w:r>
        <w:rPr>
          <w:rFonts w:hint="eastAsia" w:ascii="仿宋" w:hAnsi="仿宋" w:eastAsia="仿宋" w:cs="仿宋"/>
          <w:color w:val="auto"/>
          <w:sz w:val="32"/>
          <w:szCs w:val="32"/>
          <w:lang w:val="en-US" w:eastAsia="zh-CN"/>
        </w:rPr>
        <w:t>的支出</w:t>
      </w:r>
      <w:r>
        <w:rPr>
          <w:rFonts w:hint="eastAsia" w:ascii="仿宋" w:hAnsi="仿宋" w:eastAsia="仿宋" w:cs="仿宋"/>
          <w:color w:val="auto"/>
          <w:sz w:val="32"/>
          <w:szCs w:val="32"/>
        </w:rPr>
        <w:t>。尤其是在专项经费支出上，我们</w:t>
      </w:r>
      <w:r>
        <w:rPr>
          <w:rFonts w:hint="eastAsia" w:ascii="仿宋" w:hAnsi="仿宋" w:eastAsia="仿宋" w:cs="仿宋"/>
          <w:color w:val="auto"/>
          <w:sz w:val="32"/>
          <w:szCs w:val="32"/>
          <w:lang w:val="en-US" w:eastAsia="zh-CN"/>
        </w:rPr>
        <w:t>力争做到</w:t>
      </w:r>
      <w:r>
        <w:rPr>
          <w:rFonts w:hint="eastAsia" w:ascii="仿宋" w:hAnsi="仿宋" w:eastAsia="仿宋" w:cs="仿宋"/>
          <w:color w:val="auto"/>
          <w:sz w:val="32"/>
          <w:szCs w:val="32"/>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次绩效评价的目的是：严格落实《预算法》及省、市、县绩效管理工作的有关规定，进一步规范财政资金的管理，强化财政支出绩效理念，提升部门责任意识，提高资金使用效益，促进教育事业又好又快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根据绩效评价的要求，我们成立了自评工作领导小组，对照自评方案进行研究和布署，党总支部成员及财务人员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三、主要绩效及评价结论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）经济性效益分析：</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改造维修资金达</w:t>
      </w:r>
      <w:r>
        <w:rPr>
          <w:rFonts w:hint="eastAsia" w:ascii="仿宋_GB2312" w:hAnsi="仿宋_GB2312" w:eastAsia="仿宋_GB2312" w:cs="仿宋_GB2312"/>
          <w:color w:val="auto"/>
          <w:sz w:val="32"/>
          <w:szCs w:val="32"/>
          <w:lang w:val="en-US" w:eastAsia="zh-CN"/>
        </w:rPr>
        <w:t>40.40</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val="en-US" w:eastAsia="zh-CN"/>
        </w:rPr>
        <w:t>厂窖中学实验楼屋面墙面维修及学生宿舍天沟维修26.87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厂窖中学水塔拆除、土方回填及绿化工程8.63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厂窖中心学校教师住宿楼前后地坪工程4.90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）社会性效益分析</w:t>
      </w:r>
    </w:p>
    <w:p>
      <w:pPr>
        <w:spacing w:line="600" w:lineRule="exact"/>
        <w:ind w:firstLine="640" w:firstLineChars="200"/>
        <w:rPr>
          <w:rFonts w:ascii="仿宋_GB2312" w:hAnsi="仿宋_GB2312" w:eastAsia="仿宋_GB2312" w:cs="仿宋_GB2312"/>
          <w:snapToGrid w:val="0"/>
          <w:color w:val="auto"/>
          <w:kern w:val="0"/>
          <w:sz w:val="32"/>
          <w:szCs w:val="32"/>
          <w:lang w:val="zh-CN"/>
        </w:rPr>
      </w:pPr>
      <w:r>
        <w:rPr>
          <w:rFonts w:ascii="仿宋" w:hAnsi="仿宋" w:eastAsia="仿宋" w:cs="仿宋"/>
          <w:color w:val="auto"/>
          <w:sz w:val="32"/>
          <w:szCs w:val="32"/>
        </w:rPr>
        <w:t>1.</w:t>
      </w:r>
      <w:r>
        <w:rPr>
          <w:rFonts w:hint="eastAsia" w:ascii="仿宋_GB2312" w:hAnsi="仿宋_GB2312" w:eastAsia="仿宋_GB2312" w:cs="仿宋_GB2312"/>
          <w:b/>
          <w:bCs/>
          <w:color w:val="auto"/>
          <w:sz w:val="32"/>
          <w:szCs w:val="32"/>
        </w:rPr>
        <w:t>队伍示范，</w:t>
      </w:r>
      <w:r>
        <w:rPr>
          <w:rFonts w:hint="eastAsia" w:ascii="仿宋_GB2312" w:hAnsi="仿宋_GB2312" w:eastAsia="仿宋_GB2312" w:cs="仿宋_GB2312"/>
          <w:color w:val="auto"/>
          <w:sz w:val="32"/>
          <w:szCs w:val="32"/>
        </w:rPr>
        <w:t>遴选优秀教师，进入校务班子（</w:t>
      </w:r>
      <w:r>
        <w:rPr>
          <w:rFonts w:hint="eastAsia" w:ascii="仿宋_GB2312" w:hAnsi="仿宋_GB2312" w:eastAsia="仿宋_GB2312" w:cs="仿宋_GB2312"/>
          <w:color w:val="auto"/>
          <w:sz w:val="32"/>
          <w:szCs w:val="32"/>
          <w:lang w:val="en-US" w:eastAsia="zh-CN"/>
        </w:rPr>
        <w:t>厂窖镇幸福完小</w:t>
      </w:r>
      <w:r>
        <w:rPr>
          <w:rFonts w:hint="eastAsia" w:ascii="仿宋_GB2312" w:hAnsi="仿宋_GB2312" w:eastAsia="仿宋_GB2312" w:cs="仿宋_GB2312"/>
          <w:color w:val="auto"/>
          <w:sz w:val="32"/>
          <w:szCs w:val="32"/>
        </w:rPr>
        <w:t>），增强凝聚力；网络优质课赛课</w:t>
      </w:r>
      <w:r>
        <w:rPr>
          <w:rFonts w:hint="eastAsia" w:ascii="仿宋_GB2312" w:hAnsi="仿宋_GB2312" w:eastAsia="仿宋_GB2312" w:cs="仿宋_GB2312"/>
          <w:color w:val="auto"/>
          <w:sz w:val="32"/>
          <w:szCs w:val="32"/>
          <w:lang w:val="en-US" w:eastAsia="zh-CN"/>
        </w:rPr>
        <w:t>130</w:t>
      </w:r>
      <w:r>
        <w:rPr>
          <w:rFonts w:hint="eastAsia" w:ascii="仿宋_GB2312" w:hAnsi="仿宋_GB2312" w:eastAsia="仿宋_GB2312" w:cs="仿宋_GB2312"/>
          <w:color w:val="auto"/>
          <w:sz w:val="32"/>
          <w:szCs w:val="32"/>
        </w:rPr>
        <w:t>节次，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名县级以上名师（名班主任、名教师、名教研组、）的示范引导广泛辐射</w:t>
      </w:r>
      <w:r>
        <w:rPr>
          <w:rFonts w:hint="eastAsia" w:ascii="仿宋_GB2312" w:hAnsi="仿宋_GB2312" w:eastAsia="仿宋_GB2312" w:cs="仿宋_GB2312"/>
          <w:color w:val="auto"/>
          <w:sz w:val="32"/>
          <w:szCs w:val="32"/>
        </w:rPr>
        <w:t>；党员教师进社区服务</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余人次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党员教师带头上公开课6余人次</w:t>
      </w:r>
      <w:r>
        <w:rPr>
          <w:rFonts w:hint="eastAsia" w:ascii="仿宋_GB2312" w:hAnsi="仿宋_GB2312" w:eastAsia="仿宋_GB2312" w:cs="仿宋_GB2312"/>
          <w:snapToGrid w:val="0"/>
          <w:color w:val="auto"/>
          <w:kern w:val="0"/>
          <w:sz w:val="32"/>
          <w:szCs w:val="32"/>
          <w:lang w:val="zh-CN"/>
        </w:rPr>
        <w:t>。</w:t>
      </w:r>
    </w:p>
    <w:p>
      <w:pPr>
        <w:spacing w:line="600" w:lineRule="exact"/>
        <w:ind w:firstLine="643" w:firstLineChars="200"/>
        <w:rPr>
          <w:rFonts w:ascii="仿宋_GB2312" w:hAnsi="仿宋_GB2312" w:eastAsia="仿宋_GB2312" w:cs="仿宋_GB2312"/>
          <w:bCs/>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典型带路。</w:t>
      </w:r>
      <w:r>
        <w:rPr>
          <w:rFonts w:hint="eastAsia" w:ascii="仿宋_GB2312" w:hAnsi="仿宋_GB2312" w:eastAsia="仿宋_GB2312" w:cs="仿宋_GB2312"/>
          <w:bCs/>
          <w:color w:val="auto"/>
          <w:sz w:val="32"/>
          <w:szCs w:val="32"/>
        </w:rPr>
        <w:t>学生阅读教学工作得到县级好评，</w:t>
      </w:r>
      <w:r>
        <w:rPr>
          <w:rFonts w:hint="eastAsia" w:ascii="仿宋_GB2312" w:hAnsi="仿宋_GB2312" w:eastAsia="仿宋_GB2312" w:cs="仿宋_GB2312"/>
          <w:bCs/>
          <w:color w:val="auto"/>
          <w:sz w:val="32"/>
          <w:szCs w:val="32"/>
          <w:lang w:val="en-US" w:eastAsia="zh-CN"/>
        </w:rPr>
        <w:t>被县局评为2020年“阅读梦飞翔”先进单位</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学校新闻工作成绩突出，被县局评为2020年新闻工作先进单位。</w:t>
      </w:r>
      <w:r>
        <w:rPr>
          <w:rFonts w:hint="eastAsia" w:ascii="仿宋_GB2312" w:hAnsi="仿宋_GB2312" w:eastAsia="仿宋_GB2312" w:cs="仿宋_GB2312"/>
          <w:bCs/>
          <w:color w:val="auto"/>
          <w:sz w:val="32"/>
          <w:szCs w:val="32"/>
        </w:rPr>
        <w:t>中心学校的党建工作</w:t>
      </w:r>
      <w:r>
        <w:rPr>
          <w:rFonts w:hint="eastAsia" w:ascii="仿宋_GB2312" w:hAnsi="仿宋_GB2312" w:eastAsia="仿宋_GB2312" w:cs="仿宋_GB2312"/>
          <w:bCs/>
          <w:color w:val="auto"/>
          <w:sz w:val="32"/>
          <w:szCs w:val="32"/>
          <w:lang w:val="en-US" w:eastAsia="zh-CN"/>
        </w:rPr>
        <w:t>不断规范，</w:t>
      </w:r>
      <w:r>
        <w:rPr>
          <w:rFonts w:hint="eastAsia" w:ascii="仿宋_GB2312" w:hAnsi="仿宋_GB2312" w:eastAsia="仿宋_GB2312" w:cs="仿宋_GB2312"/>
          <w:bCs/>
          <w:color w:val="auto"/>
          <w:sz w:val="32"/>
          <w:szCs w:val="32"/>
        </w:rPr>
        <w:t>先后</w:t>
      </w:r>
      <w:r>
        <w:rPr>
          <w:rFonts w:hint="eastAsia" w:ascii="仿宋_GB2312" w:hAnsi="仿宋_GB2312" w:eastAsia="仿宋_GB2312" w:cs="仿宋_GB2312"/>
          <w:bCs/>
          <w:color w:val="auto"/>
          <w:sz w:val="32"/>
          <w:szCs w:val="32"/>
          <w:lang w:val="en-US" w:eastAsia="zh-CN"/>
        </w:rPr>
        <w:t>与</w:t>
      </w:r>
      <w:r>
        <w:rPr>
          <w:rFonts w:hint="eastAsia" w:ascii="仿宋_GB2312" w:hAnsi="仿宋_GB2312" w:eastAsia="仿宋_GB2312" w:cs="仿宋_GB2312"/>
          <w:bCs/>
          <w:color w:val="auto"/>
          <w:sz w:val="32"/>
          <w:szCs w:val="32"/>
        </w:rPr>
        <w:t>兄弟单位</w:t>
      </w:r>
      <w:r>
        <w:rPr>
          <w:rFonts w:hint="eastAsia" w:ascii="仿宋_GB2312" w:hAnsi="仿宋_GB2312" w:eastAsia="仿宋_GB2312" w:cs="仿宋_GB2312"/>
          <w:bCs/>
          <w:color w:val="auto"/>
          <w:sz w:val="32"/>
          <w:szCs w:val="32"/>
          <w:lang w:val="en-US" w:eastAsia="zh-CN"/>
        </w:rPr>
        <w:t>进行</w:t>
      </w:r>
      <w:r>
        <w:rPr>
          <w:rFonts w:hint="eastAsia" w:ascii="仿宋_GB2312" w:hAnsi="仿宋_GB2312" w:eastAsia="仿宋_GB2312" w:cs="仿宋_GB2312"/>
          <w:bCs/>
          <w:color w:val="auto"/>
          <w:sz w:val="32"/>
          <w:szCs w:val="32"/>
        </w:rPr>
        <w:t>学习、经验交流达十余批次。</w:t>
      </w:r>
      <w:r>
        <w:rPr>
          <w:rFonts w:hint="eastAsia" w:ascii="仿宋_GB2312" w:hAnsi="仿宋_GB2312" w:eastAsia="仿宋_GB2312" w:cs="仿宋_GB2312"/>
          <w:bCs/>
          <w:color w:val="auto"/>
          <w:sz w:val="32"/>
          <w:szCs w:val="32"/>
          <w:lang w:val="en-US" w:eastAsia="zh-CN"/>
        </w:rPr>
        <w:t>厂窖</w:t>
      </w:r>
      <w:r>
        <w:rPr>
          <w:rFonts w:hint="eastAsia" w:ascii="仿宋_GB2312" w:hAnsi="仿宋_GB2312" w:eastAsia="仿宋_GB2312" w:cs="仿宋_GB2312"/>
          <w:bCs/>
          <w:color w:val="auto"/>
          <w:sz w:val="32"/>
          <w:szCs w:val="32"/>
        </w:rPr>
        <w:t>镇中心</w:t>
      </w:r>
      <w:r>
        <w:rPr>
          <w:rFonts w:hint="eastAsia" w:ascii="仿宋_GB2312" w:hAnsi="仿宋_GB2312" w:eastAsia="仿宋_GB2312" w:cs="仿宋_GB2312"/>
          <w:bCs/>
          <w:color w:val="auto"/>
          <w:sz w:val="32"/>
          <w:szCs w:val="32"/>
          <w:lang w:val="en-US" w:eastAsia="zh-CN"/>
        </w:rPr>
        <w:t>学校</w:t>
      </w:r>
      <w:r>
        <w:rPr>
          <w:rFonts w:hint="eastAsia" w:ascii="仿宋_GB2312" w:hAnsi="仿宋_GB2312" w:eastAsia="仿宋_GB2312" w:cs="仿宋_GB2312"/>
          <w:bCs/>
          <w:color w:val="auto"/>
          <w:sz w:val="32"/>
          <w:szCs w:val="32"/>
        </w:rPr>
        <w:t>安全管理扎实有效，</w:t>
      </w:r>
      <w:r>
        <w:rPr>
          <w:rFonts w:hint="eastAsia" w:ascii="仿宋_GB2312" w:hAnsi="仿宋_GB2312" w:eastAsia="仿宋_GB2312" w:cs="仿宋_GB2312"/>
          <w:bCs/>
          <w:color w:val="auto"/>
          <w:sz w:val="32"/>
          <w:szCs w:val="32"/>
          <w:lang w:val="en-US" w:eastAsia="zh-CN"/>
        </w:rPr>
        <w:t>校车管理措施到位，</w:t>
      </w:r>
      <w:r>
        <w:rPr>
          <w:rFonts w:hint="eastAsia" w:ascii="仿宋_GB2312" w:hAnsi="仿宋_GB2312" w:eastAsia="仿宋_GB2312" w:cs="仿宋_GB2312"/>
          <w:bCs/>
          <w:color w:val="auto"/>
          <w:sz w:val="32"/>
          <w:szCs w:val="32"/>
        </w:rPr>
        <w:t>评为</w:t>
      </w:r>
      <w:r>
        <w:rPr>
          <w:rFonts w:hint="eastAsia" w:ascii="仿宋_GB2312" w:hAnsi="仿宋_GB2312" w:eastAsia="仿宋_GB2312" w:cs="仿宋_GB2312"/>
          <w:bCs/>
          <w:color w:val="auto"/>
          <w:sz w:val="32"/>
          <w:szCs w:val="32"/>
          <w:lang w:val="en-US" w:eastAsia="zh-CN"/>
        </w:rPr>
        <w:t>全县校车工作优秀单位</w:t>
      </w:r>
      <w:r>
        <w:rPr>
          <w:rFonts w:hint="eastAsia" w:ascii="仿宋_GB2312" w:hAnsi="仿宋_GB2312" w:eastAsia="仿宋_GB2312" w:cs="仿宋_GB2312"/>
          <w:bCs/>
          <w:color w:val="auto"/>
          <w:sz w:val="32"/>
          <w:szCs w:val="32"/>
        </w:rPr>
        <w:t>。从安全管理到安全教育活动的开展皆为先进典型，在镇域范围内得到推广。</w:t>
      </w:r>
    </w:p>
    <w:p>
      <w:pPr>
        <w:spacing w:line="538"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rPr>
        <w:t>精准帮扶，</w:t>
      </w:r>
      <w:r>
        <w:rPr>
          <w:rFonts w:hint="eastAsia" w:ascii="仿宋_GB2312" w:hAnsi="仿宋_GB2312" w:eastAsia="仿宋_GB2312" w:cs="仿宋_GB2312"/>
          <w:color w:val="auto"/>
          <w:sz w:val="32"/>
          <w:szCs w:val="32"/>
        </w:rPr>
        <w:t>资助各级各类贫困学子</w:t>
      </w:r>
      <w:r>
        <w:rPr>
          <w:rFonts w:hint="eastAsia" w:ascii="仿宋_GB2312" w:hAnsi="仿宋_GB2312" w:eastAsia="仿宋_GB2312" w:cs="仿宋_GB2312"/>
          <w:color w:val="auto"/>
          <w:sz w:val="32"/>
          <w:szCs w:val="32"/>
          <w:lang w:val="en-US" w:eastAsia="zh-CN"/>
        </w:rPr>
        <w:t>328</w:t>
      </w:r>
      <w:r>
        <w:rPr>
          <w:rFonts w:hint="eastAsia" w:ascii="仿宋_GB2312" w:hAnsi="仿宋_GB2312" w:eastAsia="仿宋_GB2312" w:cs="仿宋_GB2312"/>
          <w:color w:val="auto"/>
          <w:sz w:val="32"/>
          <w:szCs w:val="32"/>
        </w:rPr>
        <w:t>人次，发放资助金</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万余元，</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建档立卡户子女应助尽助、无一人失学辍学，为</w:t>
      </w:r>
      <w:r>
        <w:rPr>
          <w:rFonts w:hint="eastAsia" w:ascii="仿宋" w:hAnsi="仿宋" w:eastAsia="仿宋" w:cs="仿宋"/>
          <w:color w:val="auto"/>
          <w:sz w:val="32"/>
          <w:szCs w:val="32"/>
          <w:lang w:val="en-US" w:eastAsia="zh-CN"/>
        </w:rPr>
        <w:t>6</w:t>
      </w:r>
      <w:r>
        <w:rPr>
          <w:rFonts w:hint="eastAsia" w:ascii="仿宋_GB2312" w:hAnsi="仿宋_GB2312" w:eastAsia="仿宋_GB2312" w:cs="仿宋_GB2312"/>
          <w:color w:val="auto"/>
          <w:sz w:val="32"/>
          <w:szCs w:val="32"/>
        </w:rPr>
        <w:t>名孩子上门送教</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余人次。</w:t>
      </w:r>
    </w:p>
    <w:p>
      <w:pPr>
        <w:spacing w:line="538"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b/>
          <w:bCs/>
          <w:color w:val="auto"/>
          <w:sz w:val="32"/>
          <w:szCs w:val="32"/>
        </w:rPr>
        <w:t>特色发展，</w:t>
      </w:r>
      <w:r>
        <w:rPr>
          <w:rFonts w:hint="eastAsia" w:ascii="仿宋_GB2312" w:hAnsi="仿宋_GB2312" w:eastAsia="仿宋_GB2312" w:cs="仿宋_GB2312"/>
          <w:color w:val="auto"/>
          <w:sz w:val="32"/>
          <w:szCs w:val="32"/>
        </w:rPr>
        <w:t>校园文化、德育、阅读、体艺、劳动和科创等活动多样化开展，党建带团建优队建，阅读节竞赛活动覆盖近近五百人，</w:t>
      </w:r>
      <w:r>
        <w:rPr>
          <w:rFonts w:hint="eastAsia" w:ascii="仿宋_GB2312" w:hAnsi="仿宋_GB2312" w:eastAsia="仿宋_GB2312" w:cs="仿宋_GB2312"/>
          <w:color w:val="auto"/>
          <w:sz w:val="32"/>
          <w:szCs w:val="32"/>
          <w:lang w:val="en-US" w:eastAsia="zh-CN"/>
        </w:rPr>
        <w:t>厂窖镇中学体运队训练开展常态化，2020年全县运动会成绩进入先进行列</w:t>
      </w:r>
      <w:r>
        <w:rPr>
          <w:rFonts w:hint="eastAsia" w:ascii="仿宋_GB2312" w:hAnsi="仿宋_GB2312" w:eastAsia="仿宋_GB2312" w:cs="仿宋_GB2312"/>
          <w:color w:val="auto"/>
          <w:sz w:val="32"/>
          <w:szCs w:val="32"/>
        </w:rPr>
        <w:t>。</w:t>
      </w:r>
    </w:p>
    <w:p>
      <w:pPr>
        <w:pStyle w:val="2"/>
        <w:ind w:firstLine="640" w:firstLineChars="200"/>
        <w:rPr>
          <w:rFonts w:eastAsia="仿宋_GB2312"/>
          <w:color w:val="auto"/>
        </w:rPr>
      </w:pPr>
      <w:r>
        <w:rPr>
          <w:rFonts w:ascii="仿宋_GB2312" w:hAnsi="仿宋_GB2312" w:eastAsia="仿宋_GB2312" w:cs="仿宋_GB2312"/>
          <w:color w:val="auto"/>
          <w:sz w:val="32"/>
          <w:szCs w:val="32"/>
        </w:rPr>
        <w:t>5.</w:t>
      </w:r>
      <w:r>
        <w:rPr>
          <w:rFonts w:hint="eastAsia" w:ascii="仿宋_GB2312" w:hAnsi="仿宋_GB2312" w:eastAsia="仿宋_GB2312" w:cs="仿宋_GB2312"/>
          <w:b/>
          <w:color w:val="auto"/>
          <w:sz w:val="32"/>
          <w:szCs w:val="32"/>
        </w:rPr>
        <w:t>疫情防控零失误。</w:t>
      </w:r>
      <w:r>
        <w:rPr>
          <w:rFonts w:hint="eastAsia" w:ascii="仿宋_GB2312" w:hAnsi="仿宋_GB2312" w:eastAsia="仿宋_GB2312" w:cs="仿宋_GB2312"/>
          <w:color w:val="auto"/>
          <w:sz w:val="32"/>
          <w:szCs w:val="32"/>
        </w:rPr>
        <w:t>制定专门方案、编制预案，教育系统突出“线管、区防、纵联”，抓实“日登记、日巡查、日报告”，</w:t>
      </w:r>
      <w:r>
        <w:rPr>
          <w:rFonts w:hint="eastAsia" w:ascii="仿宋_GB2312" w:hAnsi="仿宋_GB2312" w:eastAsia="仿宋_GB2312" w:cs="仿宋_GB2312"/>
          <w:color w:val="auto"/>
          <w:kern w:val="0"/>
          <w:sz w:val="32"/>
          <w:szCs w:val="32"/>
        </w:rPr>
        <w:t>按照“两案九制”</w:t>
      </w:r>
      <w:r>
        <w:rPr>
          <w:rFonts w:hint="eastAsia" w:ascii="仿宋_GB2312" w:hAnsi="仿宋_GB2312" w:eastAsia="仿宋_GB2312" w:cs="仿宋_GB2312"/>
          <w:color w:val="auto"/>
          <w:sz w:val="32"/>
          <w:szCs w:val="32"/>
        </w:rPr>
        <w:t>做实疫情防控各项工作，</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余名教职工（含食堂从业人员和校车从业人员）参加核酸筛查，全镇师生新冠肺炎零感染、防控零失误。</w:t>
      </w:r>
    </w:p>
    <w:p>
      <w:pPr>
        <w:spacing w:line="538" w:lineRule="exact"/>
        <w:ind w:firstLine="640" w:firstLineChars="200"/>
        <w:rPr>
          <w:color w:val="auto"/>
        </w:rPr>
      </w:pPr>
      <w:r>
        <w:rPr>
          <w:rFonts w:ascii="仿宋_GB2312" w:hAnsi="仿宋_GB2312" w:eastAsia="仿宋_GB2312" w:cs="仿宋_GB2312"/>
          <w:color w:val="auto"/>
          <w:sz w:val="32"/>
          <w:szCs w:val="32"/>
        </w:rPr>
        <w:t>6.</w:t>
      </w:r>
      <w:r>
        <w:rPr>
          <w:rFonts w:hint="eastAsia" w:ascii="仿宋_GB2312" w:hAnsi="仿宋_GB2312" w:eastAsia="仿宋_GB2312" w:cs="仿宋_GB2312"/>
          <w:b/>
          <w:bCs/>
          <w:color w:val="auto"/>
          <w:sz w:val="32"/>
          <w:szCs w:val="32"/>
        </w:rPr>
        <w:t>教育质量稳进。</w:t>
      </w:r>
      <w:r>
        <w:rPr>
          <w:rFonts w:hint="eastAsia" w:ascii="仿宋_GB2312" w:hAnsi="仿宋_GB2312" w:eastAsia="仿宋_GB2312" w:cs="仿宋_GB2312"/>
          <w:color w:val="auto"/>
          <w:sz w:val="32"/>
          <w:szCs w:val="32"/>
        </w:rPr>
        <w:t>坚持“三全育人”、“五育并举”，树立“素质教育在课堂”理念，深化课程改革，精细教学常规，严格教学管理。组建心理健康辅导团队，开展心理疏导、咨询教育达百余人次，完成毕业班学生心理健康普测工作。严格落实毕业班跟踪管理驻校督查。</w:t>
      </w:r>
      <w:r>
        <w:rPr>
          <w:rFonts w:hint="eastAsia" w:ascii="仿宋_GB2312" w:hAnsi="仿宋_GB2312" w:eastAsia="仿宋_GB2312" w:cs="仿宋_GB2312"/>
          <w:color w:val="auto"/>
          <w:sz w:val="32"/>
          <w:szCs w:val="32"/>
          <w:lang w:val="en-US" w:eastAsia="zh-CN"/>
        </w:rPr>
        <w:t>厂窖镇幸福完小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肖家完小等</w:t>
      </w:r>
      <w:r>
        <w:rPr>
          <w:rFonts w:hint="eastAsia" w:ascii="仿宋_GB2312" w:hAnsi="仿宋_GB2312" w:eastAsia="仿宋_GB2312" w:cs="仿宋_GB2312"/>
          <w:color w:val="auto"/>
          <w:sz w:val="32"/>
          <w:szCs w:val="32"/>
        </w:rPr>
        <w:t>学校诸多学科进入县级质量评价先进行列，</w:t>
      </w:r>
      <w:r>
        <w:rPr>
          <w:rFonts w:hint="eastAsia" w:ascii="仿宋_GB2312" w:hAnsi="仿宋_GB2312" w:eastAsia="仿宋_GB2312" w:cs="仿宋_GB2312"/>
          <w:color w:val="auto"/>
          <w:sz w:val="32"/>
          <w:szCs w:val="32"/>
          <w:lang w:val="en-US" w:eastAsia="zh-CN"/>
        </w:rPr>
        <w:t>厂窖镇</w:t>
      </w:r>
      <w:r>
        <w:rPr>
          <w:rFonts w:hint="eastAsia" w:ascii="仿宋_GB2312" w:hAnsi="仿宋_GB2312" w:eastAsia="仿宋_GB2312" w:cs="仿宋_GB2312"/>
          <w:color w:val="auto"/>
          <w:sz w:val="32"/>
          <w:szCs w:val="32"/>
        </w:rPr>
        <w:t>中学教学质量稳步提升。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）环境性效益分析：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环境保护和垃圾分类知识宣传</w:t>
      </w:r>
      <w:r>
        <w:rPr>
          <w:rFonts w:hint="eastAsia" w:ascii="仿宋" w:hAnsi="仿宋" w:eastAsia="仿宋" w:cs="仿宋"/>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）可持续性影响分析：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一系列教育工作的开展</w:t>
      </w:r>
      <w:r>
        <w:rPr>
          <w:rFonts w:hint="eastAsia" w:ascii="仿宋" w:hAnsi="仿宋" w:eastAsia="仿宋" w:cs="仿宋"/>
          <w:color w:val="auto"/>
          <w:sz w:val="32"/>
          <w:szCs w:val="32"/>
          <w:lang w:eastAsia="zh-CN"/>
        </w:rPr>
        <w:t>，将会不断提升</w:t>
      </w:r>
      <w:r>
        <w:rPr>
          <w:rFonts w:hint="eastAsia" w:ascii="仿宋" w:hAnsi="仿宋" w:eastAsia="仿宋" w:cs="仿宋"/>
          <w:color w:val="auto"/>
          <w:sz w:val="32"/>
          <w:szCs w:val="32"/>
          <w:lang w:val="en-US" w:eastAsia="zh-CN"/>
        </w:rPr>
        <w:t>厂窖镇</w:t>
      </w:r>
      <w:r>
        <w:rPr>
          <w:rFonts w:hint="eastAsia" w:ascii="仿宋" w:hAnsi="仿宋" w:eastAsia="仿宋" w:cs="仿宋"/>
          <w:color w:val="auto"/>
          <w:sz w:val="32"/>
          <w:szCs w:val="32"/>
          <w:lang w:eastAsia="zh-CN"/>
        </w:rPr>
        <w:t>人民的</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lang w:eastAsia="zh-CN"/>
        </w:rPr>
        <w:t>素养，积极推动科技创新，从而为</w:t>
      </w:r>
      <w:r>
        <w:rPr>
          <w:rFonts w:hint="eastAsia" w:ascii="仿宋" w:hAnsi="仿宋" w:eastAsia="仿宋" w:cs="仿宋"/>
          <w:color w:val="auto"/>
          <w:sz w:val="32"/>
          <w:szCs w:val="32"/>
          <w:lang w:val="en-US" w:eastAsia="zh-CN"/>
        </w:rPr>
        <w:t>镇域</w:t>
      </w:r>
      <w:r>
        <w:rPr>
          <w:rFonts w:hint="eastAsia" w:ascii="仿宋" w:hAnsi="仿宋" w:eastAsia="仿宋" w:cs="仿宋"/>
          <w:color w:val="auto"/>
          <w:sz w:val="32"/>
          <w:szCs w:val="32"/>
          <w:lang w:eastAsia="zh-CN"/>
        </w:rPr>
        <w:t>经济发展提供</w:t>
      </w:r>
      <w:r>
        <w:rPr>
          <w:rFonts w:hint="eastAsia" w:ascii="仿宋" w:hAnsi="仿宋" w:eastAsia="仿宋" w:cs="仿宋"/>
          <w:color w:val="auto"/>
          <w:sz w:val="32"/>
          <w:szCs w:val="32"/>
          <w:lang w:val="en-US" w:eastAsia="zh-CN"/>
        </w:rPr>
        <w:t>智力支持</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olor w:val="auto"/>
          <w:sz w:val="32"/>
          <w:szCs w:val="32"/>
        </w:rPr>
        <w:t>一是辖区内</w:t>
      </w:r>
      <w:r>
        <w:rPr>
          <w:rFonts w:hint="eastAsia" w:ascii="仿宋" w:hAnsi="仿宋" w:eastAsia="仿宋"/>
          <w:color w:val="auto"/>
          <w:sz w:val="32"/>
          <w:szCs w:val="32"/>
          <w:lang w:val="en-US" w:eastAsia="zh-CN"/>
        </w:rPr>
        <w:t>肖家完小</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汀合完小、幸福完小</w:t>
      </w:r>
      <w:r>
        <w:rPr>
          <w:rFonts w:hint="eastAsia" w:ascii="仿宋" w:hAnsi="仿宋" w:eastAsia="仿宋"/>
          <w:color w:val="auto"/>
          <w:sz w:val="32"/>
          <w:szCs w:val="32"/>
        </w:rPr>
        <w:t>等学校地处偏远，办学条件较差，学生人数少，</w:t>
      </w:r>
      <w:r>
        <w:rPr>
          <w:rFonts w:hint="eastAsia" w:ascii="仿宋" w:hAnsi="仿宋" w:eastAsia="仿宋"/>
          <w:color w:val="auto"/>
          <w:sz w:val="32"/>
          <w:szCs w:val="32"/>
          <w:lang w:val="en-US" w:eastAsia="zh-CN"/>
        </w:rPr>
        <w:t>年轻教师住房不够，</w:t>
      </w:r>
      <w:r>
        <w:rPr>
          <w:rFonts w:hint="eastAsia" w:ascii="仿宋" w:hAnsi="仿宋" w:eastAsia="仿宋"/>
          <w:color w:val="auto"/>
          <w:sz w:val="32"/>
          <w:szCs w:val="32"/>
        </w:rPr>
        <w:t>需要维修项目多</w:t>
      </w:r>
      <w:r>
        <w:rPr>
          <w:rFonts w:hint="eastAsia" w:ascii="仿宋" w:hAnsi="仿宋" w:eastAsia="仿宋"/>
          <w:color w:val="auto"/>
          <w:sz w:val="32"/>
          <w:szCs w:val="32"/>
          <w:lang w:eastAsia="zh-CN"/>
        </w:rPr>
        <w:t>，</w:t>
      </w:r>
      <w:r>
        <w:rPr>
          <w:rFonts w:hint="eastAsia" w:ascii="仿宋" w:hAnsi="仿宋" w:eastAsia="仿宋"/>
          <w:color w:val="auto"/>
          <w:sz w:val="32"/>
          <w:szCs w:val="32"/>
        </w:rPr>
        <w:t>学校公用经费紧张。二是财务制度有待进一步完善，财务人员的业务素质有待提高，业务能力方面亟需培训。</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是教师队伍管理亟待加强。部分学校存在教师结构性缺编现象，亟待引进补充，少数教师法纪观念、师德表现、工作态度和敬业精神与基本要求有差距。</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是学校安全隐患仍然较多，特别是安全管控压力较大。</w:t>
      </w:r>
    </w:p>
    <w:p>
      <w:pPr>
        <w:spacing w:line="600" w:lineRule="exact"/>
        <w:ind w:firstLine="640" w:firstLineChars="200"/>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 xml:space="preserve">五、有关建议 </w:t>
      </w: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要组织中心学校层面的财务负责人进行较为系统的培训，特别是业务能力、财务法律法规方面的培训。</w:t>
      </w: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中心学校层面的财务负责人应从学校诸多的常规管理工作中分离出来，用更多的时间去钻业务、管财务。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根据教育实际情况，适当增加</w:t>
      </w:r>
      <w:r>
        <w:rPr>
          <w:rFonts w:hint="eastAsia" w:ascii="仿宋" w:hAnsi="仿宋" w:eastAsia="仿宋" w:cs="仿宋"/>
          <w:color w:val="auto"/>
          <w:sz w:val="32"/>
          <w:szCs w:val="32"/>
          <w:lang w:val="en-US" w:eastAsia="zh-CN"/>
        </w:rPr>
        <w:t>偏远学校的财政</w:t>
      </w:r>
      <w:r>
        <w:rPr>
          <w:rFonts w:hint="eastAsia" w:ascii="仿宋" w:hAnsi="仿宋" w:eastAsia="仿宋" w:cs="仿宋"/>
          <w:color w:val="auto"/>
          <w:sz w:val="32"/>
          <w:szCs w:val="32"/>
        </w:rPr>
        <w:t>预算。</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南县厂窖镇中心学校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2021年2月28日</w:t>
      </w:r>
    </w:p>
    <w:p>
      <w:pPr>
        <w:pStyle w:val="2"/>
        <w:rPr>
          <w:rFonts w:hint="eastAsia" w:ascii="仿宋" w:hAnsi="仿宋" w:eastAsia="仿宋" w:cs="仿宋"/>
          <w:b w:val="0"/>
          <w:bCs w:val="0"/>
          <w:color w:val="auto"/>
          <w:sz w:val="32"/>
          <w:szCs w:val="32"/>
          <w:lang w:val="en-US" w:eastAsia="zh-CN"/>
        </w:rPr>
      </w:pPr>
    </w:p>
    <w:p>
      <w:pPr>
        <w:jc w:val="center"/>
        <w:rPr>
          <w:rFonts w:hint="eastAsia" w:ascii="黑体" w:eastAsia="黑体"/>
          <w:bCs/>
          <w:color w:val="auto"/>
          <w:sz w:val="36"/>
          <w:szCs w:val="36"/>
          <w:lang w:val="en-US" w:eastAsia="zh-CN"/>
        </w:rPr>
      </w:pPr>
      <w:r>
        <w:rPr>
          <w:rFonts w:hint="eastAsia" w:ascii="仿宋" w:hAnsi="仿宋" w:eastAsia="仿宋" w:cs="仿宋"/>
          <w:b w:val="0"/>
          <w:bCs w:val="0"/>
          <w:color w:val="auto"/>
          <w:sz w:val="32"/>
          <w:szCs w:val="32"/>
          <w:lang w:val="en-US" w:eastAsia="zh-CN"/>
        </w:rPr>
        <w:t>附：</w:t>
      </w:r>
      <w:r>
        <w:rPr>
          <w:rFonts w:hint="eastAsia" w:ascii="黑体" w:eastAsia="黑体"/>
          <w:bCs/>
          <w:color w:val="auto"/>
          <w:sz w:val="36"/>
          <w:szCs w:val="36"/>
        </w:rPr>
        <w:t>南县</w:t>
      </w:r>
      <w:r>
        <w:rPr>
          <w:rFonts w:hint="eastAsia" w:ascii="黑体" w:eastAsia="黑体"/>
          <w:bCs/>
          <w:color w:val="auto"/>
          <w:sz w:val="36"/>
          <w:szCs w:val="36"/>
          <w:lang w:val="en-US" w:eastAsia="zh-CN"/>
        </w:rPr>
        <w:t>厂窖镇中心学校</w:t>
      </w:r>
    </w:p>
    <w:p>
      <w:pPr>
        <w:jc w:val="center"/>
        <w:rPr>
          <w:rFonts w:hint="eastAsia" w:ascii="黑体" w:eastAsia="黑体"/>
          <w:bCs/>
          <w:color w:val="auto"/>
          <w:sz w:val="36"/>
          <w:szCs w:val="36"/>
          <w:lang w:val="en-US" w:eastAsia="zh-CN"/>
        </w:rPr>
      </w:pPr>
      <w:r>
        <w:rPr>
          <w:rFonts w:hint="eastAsia" w:ascii="黑体" w:eastAsia="黑体"/>
          <w:bCs/>
          <w:color w:val="auto"/>
          <w:sz w:val="36"/>
          <w:szCs w:val="36"/>
        </w:rPr>
        <w:t>20</w:t>
      </w:r>
      <w:r>
        <w:rPr>
          <w:rFonts w:hint="eastAsia" w:ascii="黑体" w:eastAsia="黑体"/>
          <w:bCs/>
          <w:color w:val="auto"/>
          <w:sz w:val="36"/>
          <w:szCs w:val="36"/>
          <w:lang w:val="en-US" w:eastAsia="zh-CN"/>
        </w:rPr>
        <w:t>20</w:t>
      </w:r>
      <w:r>
        <w:rPr>
          <w:rFonts w:hint="eastAsia" w:ascii="黑体" w:eastAsia="黑体"/>
          <w:bCs/>
          <w:color w:val="auto"/>
          <w:sz w:val="36"/>
          <w:szCs w:val="36"/>
        </w:rPr>
        <w:t>年部门整体支出绩效自评指标计分表</w:t>
      </w:r>
    </w:p>
    <w:p>
      <w:pPr>
        <w:spacing w:line="300" w:lineRule="exact"/>
        <w:rPr>
          <w:rFonts w:ascii="黑体" w:eastAsia="黑体"/>
          <w:color w:val="auto"/>
          <w:szCs w:val="32"/>
        </w:rPr>
      </w:pPr>
    </w:p>
    <w:tbl>
      <w:tblPr>
        <w:tblStyle w:val="5"/>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rPr>
            </w:pPr>
            <w:r>
              <w:rPr>
                <w:rFonts w:hint="eastAsia" w:ascii="黑体" w:hAnsi="黑体" w:eastAsia="黑体"/>
                <w:bCs/>
                <w:color w:val="auto"/>
                <w:szCs w:val="21"/>
              </w:rPr>
              <w:t>一级</w:t>
            </w:r>
            <w:r>
              <w:rPr>
                <w:rFonts w:hint="eastAsia" w:ascii="黑体" w:hAnsi="黑体" w:eastAsia="黑体"/>
                <w:bCs/>
                <w:color w:val="auto"/>
                <w:szCs w:val="21"/>
              </w:rPr>
              <w:br w:type="textWrapping"/>
            </w:r>
            <w:r>
              <w:rPr>
                <w:rFonts w:hint="eastAsia" w:ascii="黑体" w:hAnsi="黑体" w:eastAsia="黑体"/>
                <w:bCs/>
                <w:color w:val="auto"/>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rPr>
            </w:pPr>
            <w:r>
              <w:rPr>
                <w:rFonts w:hint="eastAsia" w:ascii="黑体" w:hAnsi="黑体" w:eastAsia="黑体"/>
                <w:bCs/>
                <w:color w:val="auto"/>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rPr>
            </w:pPr>
            <w:r>
              <w:rPr>
                <w:rFonts w:hint="eastAsia" w:ascii="黑体" w:hAnsi="黑体" w:eastAsia="黑体"/>
                <w:bCs/>
                <w:color w:val="auto"/>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rPr>
            </w:pPr>
            <w:r>
              <w:rPr>
                <w:rFonts w:hint="eastAsia" w:ascii="黑体" w:hAnsi="黑体" w:eastAsia="黑体"/>
                <w:bCs/>
                <w:color w:val="auto"/>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rPr>
            </w:pPr>
            <w:r>
              <w:rPr>
                <w:rFonts w:hint="eastAsia" w:ascii="黑体" w:hAnsi="黑体" w:eastAsia="黑体"/>
                <w:bCs/>
                <w:color w:val="auto"/>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rPr>
            </w:pPr>
            <w:r>
              <w:rPr>
                <w:rFonts w:hint="eastAsia" w:ascii="黑体" w:hAnsi="黑体" w:eastAsia="黑体"/>
                <w:bCs/>
                <w:color w:val="auto"/>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color w:val="auto"/>
                <w:szCs w:val="21"/>
              </w:rPr>
            </w:pPr>
            <w:r>
              <w:rPr>
                <w:rFonts w:hint="eastAsia" w:ascii="仿宋_GB2312"/>
                <w:color w:val="auto"/>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目标</w:t>
            </w:r>
            <w:r>
              <w:rPr>
                <w:rFonts w:hint="eastAsia" w:ascii="宋体" w:hAnsi="宋体"/>
                <w:color w:val="auto"/>
                <w:sz w:val="18"/>
                <w:szCs w:val="18"/>
              </w:rPr>
              <w:br w:type="textWrapping"/>
            </w:r>
            <w:r>
              <w:rPr>
                <w:rFonts w:hint="eastAsia" w:ascii="宋体" w:hAnsi="宋体"/>
                <w:color w:val="auto"/>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预算</w:t>
            </w:r>
            <w:r>
              <w:rPr>
                <w:rFonts w:hint="eastAsia" w:ascii="宋体" w:hAnsi="宋体"/>
                <w:color w:val="auto"/>
                <w:sz w:val="18"/>
                <w:szCs w:val="18"/>
              </w:rPr>
              <w:br w:type="textWrapping"/>
            </w:r>
            <w:r>
              <w:rPr>
                <w:rFonts w:hint="eastAsia" w:ascii="宋体" w:hAnsi="宋体"/>
                <w:color w:val="auto"/>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“三公经费”</w:t>
            </w:r>
          </w:p>
          <w:p>
            <w:pPr>
              <w:spacing w:line="240" w:lineRule="exact"/>
              <w:jc w:val="center"/>
              <w:rPr>
                <w:rFonts w:ascii="宋体" w:hAnsi="宋体"/>
                <w:color w:val="auto"/>
                <w:sz w:val="18"/>
                <w:szCs w:val="18"/>
              </w:rPr>
            </w:pPr>
            <w:r>
              <w:rPr>
                <w:rFonts w:hint="eastAsia" w:ascii="宋体" w:hAnsi="宋体"/>
                <w:color w:val="auto"/>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color w:val="auto"/>
                <w:szCs w:val="21"/>
              </w:rPr>
            </w:pPr>
            <w:r>
              <w:rPr>
                <w:rFonts w:hint="eastAsia" w:ascii="仿宋_GB2312"/>
                <w:color w:val="auto"/>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预算</w:t>
            </w:r>
            <w:r>
              <w:rPr>
                <w:rFonts w:hint="eastAsia" w:ascii="宋体" w:hAnsi="宋体"/>
                <w:color w:val="auto"/>
                <w:sz w:val="18"/>
                <w:szCs w:val="18"/>
              </w:rPr>
              <w:br w:type="textWrapping"/>
            </w:r>
            <w:r>
              <w:rPr>
                <w:rFonts w:hint="eastAsia" w:ascii="宋体" w:hAnsi="宋体"/>
                <w:color w:val="auto"/>
                <w:sz w:val="18"/>
                <w:szCs w:val="18"/>
              </w:rPr>
              <w:t>执行</w:t>
            </w:r>
          </w:p>
          <w:p>
            <w:pPr>
              <w:spacing w:line="240" w:lineRule="exact"/>
              <w:jc w:val="center"/>
              <w:rPr>
                <w:rFonts w:ascii="宋体" w:hAnsi="宋体"/>
                <w:color w:val="auto"/>
                <w:sz w:val="18"/>
                <w:szCs w:val="18"/>
              </w:rPr>
            </w:pPr>
            <w:r>
              <w:rPr>
                <w:rFonts w:hint="eastAsia" w:ascii="宋体" w:hAnsi="宋体"/>
                <w:color w:val="auto"/>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公用经费</w:t>
            </w:r>
          </w:p>
          <w:p>
            <w:pPr>
              <w:spacing w:line="240" w:lineRule="exact"/>
              <w:jc w:val="center"/>
              <w:rPr>
                <w:rFonts w:ascii="宋体" w:hAnsi="宋体"/>
                <w:color w:val="auto"/>
                <w:sz w:val="18"/>
                <w:szCs w:val="18"/>
              </w:rPr>
            </w:pPr>
            <w:r>
              <w:rPr>
                <w:rFonts w:hint="eastAsia" w:ascii="宋体" w:hAnsi="宋体"/>
                <w:color w:val="auto"/>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政府采购</w:t>
            </w:r>
          </w:p>
          <w:p>
            <w:pPr>
              <w:spacing w:line="240" w:lineRule="exact"/>
              <w:jc w:val="center"/>
              <w:rPr>
                <w:rFonts w:ascii="宋体" w:hAnsi="宋体"/>
                <w:color w:val="auto"/>
                <w:sz w:val="18"/>
                <w:szCs w:val="18"/>
              </w:rPr>
            </w:pPr>
            <w:r>
              <w:rPr>
                <w:rFonts w:hint="eastAsia" w:ascii="宋体" w:hAnsi="宋体"/>
                <w:color w:val="auto"/>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color w:val="auto"/>
                <w:szCs w:val="21"/>
              </w:rPr>
            </w:pPr>
            <w:r>
              <w:rPr>
                <w:rFonts w:hint="eastAsia" w:ascii="仿宋_GB2312"/>
                <w:color w:val="auto"/>
                <w:szCs w:val="21"/>
              </w:rPr>
              <w:t>预算</w:t>
            </w:r>
          </w:p>
          <w:p>
            <w:pPr>
              <w:spacing w:line="240" w:lineRule="exact"/>
              <w:jc w:val="center"/>
              <w:rPr>
                <w:rFonts w:ascii="仿宋_GB2312"/>
                <w:color w:val="auto"/>
                <w:szCs w:val="21"/>
              </w:rPr>
            </w:pPr>
            <w:r>
              <w:rPr>
                <w:rFonts w:hint="eastAsia" w:ascii="仿宋_GB2312"/>
                <w:color w:val="auto"/>
                <w:szCs w:val="21"/>
              </w:rPr>
              <w:t>管理</w:t>
            </w:r>
          </w:p>
          <w:p>
            <w:pPr>
              <w:spacing w:line="240" w:lineRule="exact"/>
              <w:jc w:val="center"/>
              <w:rPr>
                <w:rFonts w:ascii="仿宋_GB2312"/>
                <w:color w:val="auto"/>
                <w:szCs w:val="21"/>
              </w:rPr>
            </w:pPr>
            <w:r>
              <w:rPr>
                <w:rFonts w:hint="eastAsia" w:ascii="仿宋_GB2312"/>
                <w:color w:val="auto"/>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管理制度</w:t>
            </w:r>
          </w:p>
          <w:p>
            <w:pPr>
              <w:spacing w:line="240" w:lineRule="exact"/>
              <w:jc w:val="center"/>
              <w:rPr>
                <w:rFonts w:ascii="宋体" w:hAnsi="宋体"/>
                <w:color w:val="auto"/>
                <w:sz w:val="18"/>
                <w:szCs w:val="18"/>
              </w:rPr>
            </w:pPr>
            <w:r>
              <w:rPr>
                <w:rFonts w:hint="eastAsia" w:ascii="宋体" w:hAnsi="宋体"/>
                <w:color w:val="auto"/>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资金使用</w:t>
            </w:r>
          </w:p>
          <w:p>
            <w:pPr>
              <w:spacing w:line="240" w:lineRule="exact"/>
              <w:jc w:val="center"/>
              <w:rPr>
                <w:rFonts w:ascii="宋体" w:hAnsi="宋体"/>
                <w:color w:val="auto"/>
                <w:sz w:val="18"/>
                <w:szCs w:val="18"/>
              </w:rPr>
            </w:pPr>
            <w:r>
              <w:rPr>
                <w:rFonts w:hint="eastAsia" w:ascii="宋体" w:hAnsi="宋体"/>
                <w:color w:val="auto"/>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rPr>
            </w:pPr>
            <w:r>
              <w:rPr>
                <w:rFonts w:hint="eastAsia" w:ascii="宋体" w:hAnsi="宋体"/>
                <w:color w:val="auto"/>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rPr>
            </w:pPr>
            <w:r>
              <w:rPr>
                <w:rFonts w:hint="eastAsia" w:ascii="宋体" w:hAnsi="宋体"/>
                <w:color w:val="auto"/>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rPr>
            </w:pPr>
            <w:r>
              <w:rPr>
                <w:rFonts w:hint="eastAsia" w:ascii="宋体" w:hAnsi="宋体"/>
                <w:color w:val="auto"/>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bl>
    <w:p>
      <w:pPr>
        <w:rPr>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34911D9"/>
    <w:rsid w:val="03757641"/>
    <w:rsid w:val="043F03D5"/>
    <w:rsid w:val="04D83E87"/>
    <w:rsid w:val="063407A8"/>
    <w:rsid w:val="06CC4B49"/>
    <w:rsid w:val="07CD00D4"/>
    <w:rsid w:val="0D1D090D"/>
    <w:rsid w:val="0E0900B7"/>
    <w:rsid w:val="0E1A7E40"/>
    <w:rsid w:val="143550F0"/>
    <w:rsid w:val="15280C71"/>
    <w:rsid w:val="16242CAF"/>
    <w:rsid w:val="17DD7A86"/>
    <w:rsid w:val="196E5775"/>
    <w:rsid w:val="1AAB5D73"/>
    <w:rsid w:val="1E2958E0"/>
    <w:rsid w:val="207B61C6"/>
    <w:rsid w:val="214D4E40"/>
    <w:rsid w:val="21AC7BEC"/>
    <w:rsid w:val="254B0D83"/>
    <w:rsid w:val="27144D3A"/>
    <w:rsid w:val="288F7F80"/>
    <w:rsid w:val="29BE6774"/>
    <w:rsid w:val="2CBA4487"/>
    <w:rsid w:val="2DF9571A"/>
    <w:rsid w:val="31947C29"/>
    <w:rsid w:val="31AC62A1"/>
    <w:rsid w:val="33BA1F7E"/>
    <w:rsid w:val="3562623D"/>
    <w:rsid w:val="35860272"/>
    <w:rsid w:val="3876293D"/>
    <w:rsid w:val="39FC18A3"/>
    <w:rsid w:val="3DCF6BFA"/>
    <w:rsid w:val="3E407373"/>
    <w:rsid w:val="42DA4ECB"/>
    <w:rsid w:val="457E0B30"/>
    <w:rsid w:val="47367A10"/>
    <w:rsid w:val="4778183C"/>
    <w:rsid w:val="47D3421F"/>
    <w:rsid w:val="489A7C7A"/>
    <w:rsid w:val="4E72041F"/>
    <w:rsid w:val="4F402258"/>
    <w:rsid w:val="522D32BB"/>
    <w:rsid w:val="54577A43"/>
    <w:rsid w:val="54941416"/>
    <w:rsid w:val="5608647C"/>
    <w:rsid w:val="56450DB0"/>
    <w:rsid w:val="59EB3A16"/>
    <w:rsid w:val="5B0862EE"/>
    <w:rsid w:val="5E86300D"/>
    <w:rsid w:val="5EB6693A"/>
    <w:rsid w:val="5F235DDE"/>
    <w:rsid w:val="60B02DE1"/>
    <w:rsid w:val="61081E96"/>
    <w:rsid w:val="616B5187"/>
    <w:rsid w:val="67706EE7"/>
    <w:rsid w:val="67B84C98"/>
    <w:rsid w:val="6CD32DBA"/>
    <w:rsid w:val="6D2908A1"/>
    <w:rsid w:val="6EDB239C"/>
    <w:rsid w:val="6F603154"/>
    <w:rsid w:val="708F7808"/>
    <w:rsid w:val="71014394"/>
    <w:rsid w:val="74FB5D44"/>
    <w:rsid w:val="768C15AF"/>
    <w:rsid w:val="788C0311"/>
    <w:rsid w:val="79E75754"/>
    <w:rsid w:val="7B48722D"/>
    <w:rsid w:val="7D06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2564</Characters>
  <Lines>0</Lines>
  <Paragraphs>0</Paragraphs>
  <TotalTime>0</TotalTime>
  <ScaleCrop>false</ScaleCrop>
  <LinksUpToDate>false</LinksUpToDate>
  <CharactersWithSpaces>2574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2022-05-09T11:49:00Z</cp:lastPrinted>
  <dcterms:modified xsi:type="dcterms:W3CDTF">2022-06-15T08:40:24Z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E2A33873D5C74158B7F7D3823B26CB6D</vt:lpwstr>
  </property>
</Properties>
</file>