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color w:val="000000"/>
          <w:kern w:val="2"/>
          <w:sz w:val="44"/>
          <w:szCs w:val="44"/>
          <w:lang w:val="en-US" w:eastAsia="zh-CN" w:bidi="ar-SA"/>
        </w:rPr>
      </w:pPr>
      <w:r>
        <w:rPr>
          <w:rFonts w:hint="eastAsia" w:ascii="仿宋" w:hAnsi="仿宋" w:eastAsia="仿宋" w:cs="仿宋"/>
          <w:b/>
          <w:bCs/>
          <w:color w:val="000000"/>
          <w:kern w:val="2"/>
          <w:sz w:val="44"/>
          <w:szCs w:val="44"/>
          <w:lang w:val="en-US" w:eastAsia="zh-CN" w:bidi="ar-SA"/>
        </w:rPr>
        <w:t>南县市场监督管理局</w:t>
      </w:r>
    </w:p>
    <w:p>
      <w:pPr>
        <w:spacing w:line="560" w:lineRule="exact"/>
        <w:ind w:firstLine="88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2020年度项目支出绩效评价报告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寰蒋闆呴粦" w:hAnsi="寰蒋闆呴粦" w:eastAsia="寰蒋闆呴粦" w:cs="寰蒋闆呴粦"/>
          <w:b/>
          <w:bCs/>
          <w:caps w:val="0"/>
          <w:color w:val="E73C25"/>
          <w:spacing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南县财政局</w:t>
      </w:r>
      <w:r>
        <w:rPr>
          <w:rFonts w:hint="eastAsia" w:ascii="仿宋" w:hAnsi="仿宋" w:eastAsia="仿宋" w:cs="仿宋"/>
          <w:sz w:val="32"/>
          <w:szCs w:val="32"/>
        </w:rPr>
        <w:t>关于做好20</w:t>
      </w:r>
      <w:r>
        <w:rPr>
          <w:rFonts w:hint="eastAsia" w:ascii="仿宋" w:hAnsi="仿宋" w:eastAsia="仿宋" w:cs="仿宋"/>
          <w:sz w:val="32"/>
          <w:szCs w:val="32"/>
          <w:lang w:val="en-US" w:eastAsia="zh-CN"/>
        </w:rPr>
        <w:t>20</w:t>
      </w:r>
      <w:r>
        <w:rPr>
          <w:rFonts w:hint="eastAsia" w:ascii="仿宋" w:hAnsi="仿宋" w:eastAsia="仿宋" w:cs="仿宋"/>
          <w:sz w:val="32"/>
          <w:szCs w:val="32"/>
        </w:rPr>
        <w:t>年度预算绩效自评工作的通知》</w:t>
      </w:r>
      <w:r>
        <w:rPr>
          <w:rFonts w:hint="eastAsia" w:ascii="仿宋" w:hAnsi="仿宋" w:eastAsia="仿宋" w:cs="仿宋"/>
          <w:sz w:val="32"/>
          <w:szCs w:val="32"/>
          <w:lang w:eastAsia="zh-CN"/>
        </w:rPr>
        <w:t>（</w:t>
      </w:r>
      <w:r>
        <w:rPr>
          <w:rFonts w:hint="eastAsia" w:ascii="仿宋" w:hAnsi="仿宋" w:eastAsia="仿宋" w:cs="仿宋"/>
          <w:sz w:val="32"/>
          <w:szCs w:val="32"/>
        </w:rPr>
        <w:t>南财绩函[20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精神，为进一步规范财政资金管理，牢固树立预算绩效理念，切实提高财政资金使用效率，南县</w:t>
      </w:r>
      <w:r>
        <w:rPr>
          <w:rFonts w:hint="eastAsia" w:ascii="仿宋" w:hAnsi="仿宋" w:eastAsia="仿宋" w:cs="仿宋"/>
          <w:sz w:val="32"/>
          <w:szCs w:val="32"/>
          <w:lang w:eastAsia="zh-CN"/>
        </w:rPr>
        <w:t>市监局</w:t>
      </w:r>
      <w:r>
        <w:rPr>
          <w:rFonts w:hint="eastAsia" w:ascii="仿宋" w:hAnsi="仿宋" w:eastAsia="仿宋" w:cs="仿宋"/>
          <w:sz w:val="32"/>
          <w:szCs w:val="32"/>
        </w:rPr>
        <w:t>党组对</w:t>
      </w:r>
      <w:r>
        <w:rPr>
          <w:rFonts w:hint="eastAsia" w:ascii="仿宋" w:hAnsi="仿宋" w:eastAsia="仿宋" w:cs="仿宋"/>
          <w:sz w:val="32"/>
          <w:szCs w:val="32"/>
          <w:lang w:eastAsia="zh-CN"/>
        </w:rPr>
        <w:t>项目支出绩效评价工作</w:t>
      </w:r>
      <w:r>
        <w:rPr>
          <w:rFonts w:hint="eastAsia" w:ascii="仿宋" w:hAnsi="仿宋" w:eastAsia="仿宋" w:cs="仿宋"/>
          <w:sz w:val="32"/>
          <w:szCs w:val="32"/>
        </w:rPr>
        <w:t>进行了认真的研究和部署，并以财基股牵头组织进行预算资金绩效自评，评价工作得到了局属各单位的积极配合。现将有关情况报告如下: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（一）项目基本情况简介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24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南县市监局2020年参与绩效评价的项目共5个，项目支出预算320万元。其中：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240" w:lineRule="auto"/>
        <w:ind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1、食品药品安全监管110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食品药品生产、流通领域的行政许可、日常</w:t>
      </w:r>
      <w:r>
        <w:rPr>
          <w:rFonts w:hint="eastAsia" w:ascii="仿宋" w:hAnsi="仿宋" w:eastAsia="仿宋" w:cs="仿宋"/>
          <w:color w:val="auto"/>
          <w:sz w:val="32"/>
          <w:szCs w:val="32"/>
          <w:lang w:val="en-US" w:eastAsia="zh-CN"/>
        </w:rPr>
        <w:t>监管、专项整治；食用农产品抽检、购买样品、飞行检查；检测设备和试剂购置；村、乡镇食品药品安全监督、考核、培训等。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市场监管92万元。</w:t>
      </w:r>
      <w:r>
        <w:rPr>
          <w:rFonts w:hint="eastAsia" w:ascii="仿宋" w:hAnsi="仿宋" w:eastAsia="仿宋" w:cs="仿宋"/>
          <w:color w:val="auto"/>
          <w:sz w:val="32"/>
          <w:szCs w:val="32"/>
          <w:lang w:val="en-US" w:eastAsia="zh-CN"/>
        </w:rPr>
        <w:t>用于</w:t>
      </w:r>
      <w:r>
        <w:rPr>
          <w:rFonts w:hint="eastAsia" w:ascii="仿宋" w:hAnsi="仿宋" w:eastAsia="仿宋" w:cs="仿宋"/>
          <w:sz w:val="32"/>
          <w:szCs w:val="32"/>
          <w:lang w:val="en-US" w:eastAsia="zh-CN"/>
        </w:rPr>
        <w:t>全县食品药品、保健食品、酒类食品、化妆品、兽医饲料、农产品、工业产品的抽查检验检测，及其他产品的质量监督检验，委托检验检测，执行强检计量器具和非强检计量器具的检定等，为执法办案和监督管理提供强有力的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3、品牌质量强县30万元。</w:t>
      </w:r>
      <w:r>
        <w:rPr>
          <w:rFonts w:hint="eastAsia" w:ascii="仿宋" w:hAnsi="仿宋" w:eastAsia="仿宋" w:cs="仿宋"/>
          <w:color w:val="auto"/>
          <w:sz w:val="32"/>
          <w:szCs w:val="32"/>
          <w:lang w:val="en-US" w:eastAsia="zh-CN"/>
        </w:rPr>
        <w:t>用于</w:t>
      </w:r>
      <w:r>
        <w:rPr>
          <w:rFonts w:hint="eastAsia" w:ascii="仿宋" w:hAnsi="仿宋" w:eastAsia="仿宋" w:cs="仿宋"/>
          <w:sz w:val="32"/>
          <w:szCs w:val="32"/>
          <w:lang w:val="en-US" w:eastAsia="zh-CN"/>
        </w:rPr>
        <w:t>政府质量强县、质量发展工作；“质量月”活动开展；县长质量奖评选等。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4、打击传销50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用于</w:t>
      </w:r>
      <w:r>
        <w:rPr>
          <w:rFonts w:hint="eastAsia" w:ascii="仿宋" w:hAnsi="仿宋" w:eastAsia="仿宋" w:cs="仿宋"/>
          <w:sz w:val="32"/>
          <w:szCs w:val="32"/>
          <w:lang w:val="en-US" w:eastAsia="zh-CN"/>
        </w:rPr>
        <w:t>做好“无传销乡镇（街道）、村（社区）”建设、加强日常监管和案件查办、开展打击和防范传销专项行动，防止传销进校园等工作。</w:t>
      </w:r>
      <w:r>
        <w:rPr>
          <w:rFonts w:hint="eastAsia" w:ascii="仿宋" w:hAnsi="仿宋" w:eastAsia="仿宋" w:cs="仿宋"/>
          <w:color w:val="auto"/>
          <w:sz w:val="32"/>
          <w:szCs w:val="32"/>
          <w:lang w:val="en-US" w:eastAsia="zh-CN"/>
        </w:rPr>
        <w:t>将传销纳入“扫黑除恶”专项斗争打击范围，维护南县经济和社会稳定、保</w:t>
      </w:r>
      <w:r>
        <w:rPr>
          <w:rFonts w:hint="eastAsia" w:ascii="仿宋" w:hAnsi="仿宋" w:eastAsia="仿宋" w:cs="仿宋"/>
          <w:sz w:val="32"/>
          <w:szCs w:val="32"/>
          <w:lang w:val="en-US" w:eastAsia="zh-CN"/>
        </w:rPr>
        <w:t>障人民群众生命和财产安全作出积极贡献。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5、综合治理经费38</w:t>
      </w:r>
      <w:r>
        <w:rPr>
          <w:rFonts w:hint="eastAsia" w:ascii="仿宋" w:hAnsi="仿宋" w:eastAsia="仿宋" w:cs="仿宋"/>
          <w:sz w:val="32"/>
          <w:szCs w:val="32"/>
        </w:rPr>
        <w:t>万元</w:t>
      </w:r>
      <w:r>
        <w:rPr>
          <w:rFonts w:hint="eastAsia" w:ascii="仿宋" w:hAnsi="仿宋" w:eastAsia="仿宋" w:cs="仿宋"/>
          <w:sz w:val="32"/>
          <w:szCs w:val="32"/>
          <w:lang w:eastAsia="zh-CN"/>
        </w:rPr>
        <w:t>。用于</w:t>
      </w:r>
      <w:r>
        <w:rPr>
          <w:rFonts w:hint="eastAsia" w:ascii="仿宋" w:hAnsi="仿宋" w:eastAsia="仿宋" w:cs="仿宋"/>
          <w:sz w:val="32"/>
          <w:szCs w:val="32"/>
          <w:lang w:val="en-US" w:eastAsia="zh-CN"/>
        </w:rPr>
        <w:t>社会治安、禁毒、维稳、计划生育、扫黑除恶、招商引资、立项争资、突发疫情、机关网络运行及系统维护等。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（二）绩效目标设定及指标完成情况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w:t>
      </w:r>
      <w:r>
        <w:rPr>
          <w:rFonts w:hint="default" w:ascii="仿宋" w:hAnsi="仿宋" w:eastAsia="仿宋" w:cs="仿宋"/>
          <w:sz w:val="32"/>
          <w:szCs w:val="32"/>
          <w:lang w:val="en-US" w:eastAsia="zh-CN"/>
        </w:rPr>
        <w:t>年度我局坚决履行职能职责，有效完成了本年度绩效目标。</w:t>
      </w:r>
      <w:r>
        <w:rPr>
          <w:rFonts w:hint="eastAsia" w:ascii="仿宋" w:hAnsi="仿宋" w:eastAsia="仿宋" w:cs="仿宋"/>
          <w:sz w:val="32"/>
          <w:szCs w:val="32"/>
          <w:lang w:val="en-US" w:eastAsia="zh-CN"/>
        </w:rPr>
        <w:t>立案712</w:t>
      </w:r>
      <w:r>
        <w:rPr>
          <w:rFonts w:hint="default" w:ascii="仿宋" w:hAnsi="仿宋" w:eastAsia="仿宋" w:cs="仿宋"/>
          <w:sz w:val="32"/>
          <w:szCs w:val="32"/>
          <w:lang w:val="en-US" w:eastAsia="zh-CN"/>
        </w:rPr>
        <w:t>起，</w:t>
      </w:r>
      <w:r>
        <w:rPr>
          <w:rFonts w:hint="default" w:ascii="仿宋" w:hAnsi="仿宋" w:eastAsia="仿宋" w:cs="仿宋"/>
          <w:color w:val="auto"/>
          <w:sz w:val="32"/>
          <w:szCs w:val="32"/>
          <w:lang w:val="en-US" w:eastAsia="zh-CN"/>
        </w:rPr>
        <w:t>立案查处率100%，</w:t>
      </w:r>
      <w:r>
        <w:rPr>
          <w:rFonts w:hint="eastAsia" w:ascii="仿宋" w:hAnsi="仿宋" w:eastAsia="仿宋" w:cs="仿宋"/>
          <w:sz w:val="32"/>
          <w:szCs w:val="32"/>
          <w:lang w:val="en-US" w:eastAsia="zh-CN"/>
        </w:rPr>
        <w:t>结案650起，</w:t>
      </w:r>
      <w:r>
        <w:rPr>
          <w:rFonts w:hint="default" w:ascii="仿宋" w:hAnsi="仿宋" w:eastAsia="仿宋" w:cs="仿宋"/>
          <w:sz w:val="32"/>
          <w:szCs w:val="32"/>
          <w:lang w:val="en-US" w:eastAsia="zh-CN"/>
        </w:rPr>
        <w:t>罚没入库</w:t>
      </w:r>
      <w:r>
        <w:rPr>
          <w:rFonts w:hint="eastAsia" w:ascii="仿宋" w:hAnsi="仿宋" w:eastAsia="仿宋" w:cs="仿宋"/>
          <w:sz w:val="32"/>
          <w:szCs w:val="32"/>
          <w:lang w:val="en-US" w:eastAsia="zh-CN"/>
        </w:rPr>
        <w:t>1181.45</w:t>
      </w:r>
      <w:r>
        <w:rPr>
          <w:rFonts w:hint="default"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食品药品安全监管</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严格规范了食品药品经营行为，不断提高了食品药品安全保障能力和水平，推动了我县食品安全整体形势持续稳定向好，提升了人民群众对食品安全的满意度，确保全县食品药品安全监管工作顺利开展。监督检查覆盖率100%；不合格检查处置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市场监管项目：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采用现代化市场监管手段，提升交通顽瘴痼疾、禁捕退捕、消费维权、假冒伪劣、禁磷、疫情防控、传销等重点工作的治理能力，</w:t>
      </w:r>
      <w:r>
        <w:rPr>
          <w:rFonts w:hint="eastAsia" w:ascii="仿宋" w:hAnsi="仿宋" w:eastAsia="仿宋" w:cs="仿宋"/>
          <w:sz w:val="32"/>
          <w:szCs w:val="32"/>
          <w:lang w:val="en-US" w:eastAsia="zh-CN"/>
        </w:rPr>
        <w:t>促进市场主体健康发展，积极服务县域经济发展。违法行为立案查处率100%。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品牌质量强县项目：指导支持各类市场主体培育驰名商标，加强注册商标专用权保护，提升企业核心竞争力，促进我县经济又好又快发展。2020年底，我县专利申请数量395件，有效发明专利75件，商标申请数量942件，授权注册商标840件，总计有效注册商标4634件。</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在获批“南县小龙虾、南洲稻虾米”等6个国家地理标志证明商标的基础上，今年11月再成功获得“南县稻虾米”国家地理标志证明商标，进一步擦亮了南县发展品牌兴县的“新名片”。同时，我县成功获批“国家稻虾生态产业标准化示范区”项目建设，并成功申报了省级标准化试点示范项目和2020年市级标准化试点示范项目。促使我县稻虾产业种养面积进一步扩大，综合产值达到160亿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打击传销项目：规范和维护各类市场经营秩序，依法查处违法直销和传销案件、不正当竞争、商业贿赂、走私贩私等各类经济违法行为。在各类市场主体中倡导守法经营、公平竞争理念，努力打造“公平、守信、安全、放心”的市场环境，为我县经济稳增长、促和谐作出应有贡献。违法行为立案查处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综合治理经费项目：维护社会稳定，全年无进京上访户。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 w:lineRule="atLeast"/>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（一）绩效评价目的</w:t>
      </w:r>
      <w:r>
        <w:rPr>
          <w:rFonts w:hint="eastAsia" w:ascii="仿宋" w:hAnsi="仿宋" w:eastAsia="仿宋" w:cs="仿宋"/>
          <w:kern w:val="2"/>
          <w:sz w:val="32"/>
          <w:szCs w:val="32"/>
          <w:lang w:val="en-US" w:eastAsia="zh-CN" w:bidi="ar-SA"/>
        </w:rPr>
        <w:t>：通过对市监局项目专项资金的绩效评价，了解市监局项目的资金来源、使用和管理情况、项目组织和实施情况，检验项目投入是否达到预期目标，总结经验，分析问题，强化项目资金管理，进一步提升预算项目资金使用成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 w:lineRule="atLeast"/>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（二）资金到位情况：</w:t>
      </w:r>
      <w:r>
        <w:rPr>
          <w:rFonts w:hint="eastAsia" w:ascii="仿宋" w:hAnsi="仿宋" w:eastAsia="仿宋" w:cs="仿宋"/>
          <w:kern w:val="2"/>
          <w:sz w:val="32"/>
          <w:szCs w:val="32"/>
          <w:lang w:val="en-US" w:eastAsia="zh-CN" w:bidi="ar-SA"/>
        </w:rPr>
        <w:t>2020年部门预算专项资金共计320万元，实际到位资金320万元，资金到位率100%。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（三）资金使用情况：</w:t>
      </w:r>
      <w:r>
        <w:rPr>
          <w:rFonts w:hint="eastAsia" w:ascii="仿宋" w:hAnsi="仿宋" w:eastAsia="仿宋" w:cs="仿宋"/>
          <w:b w:val="0"/>
          <w:bCs w:val="0"/>
          <w:kern w:val="2"/>
          <w:sz w:val="32"/>
          <w:szCs w:val="32"/>
          <w:lang w:val="en-US" w:eastAsia="zh-CN" w:bidi="ar-SA"/>
        </w:rPr>
        <w:t>专项资金共计支出320万元，全部用于各项工作的开展。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）项目组织情况分析：</w:t>
      </w:r>
      <w:r>
        <w:rPr>
          <w:rFonts w:hint="eastAsia" w:ascii="仿宋" w:hAnsi="仿宋" w:eastAsia="仿宋" w:cs="仿宋"/>
          <w:sz w:val="32"/>
          <w:szCs w:val="32"/>
        </w:rPr>
        <w:t>成立了绩效评价小组，对有关文件进行了科学分析研究，制定了绩效评价工作方案。评价小组采用查阅凭证和资料、审计等形式进行考评</w:t>
      </w:r>
      <w:r>
        <w:rPr>
          <w:rFonts w:hint="eastAsia" w:ascii="仿宋" w:hAnsi="仿宋" w:eastAsia="仿宋" w:cs="仿宋"/>
          <w:sz w:val="32"/>
          <w:szCs w:val="32"/>
          <w:lang w:eastAsia="zh-CN"/>
        </w:rPr>
        <w:t>。</w:t>
      </w:r>
      <w:r>
        <w:rPr>
          <w:rFonts w:hint="eastAsia" w:ascii="仿宋" w:hAnsi="仿宋" w:eastAsia="仿宋" w:cs="仿宋"/>
          <w:sz w:val="32"/>
          <w:szCs w:val="32"/>
        </w:rPr>
        <w:t>根据考评情况，对收集的资料进行整理、汇总分析，并依据前期制定的绩效评价指标体系进行了评分，形成综合报告。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）项目管理情况分析：</w:t>
      </w:r>
      <w:r>
        <w:rPr>
          <w:rFonts w:hint="eastAsia" w:ascii="仿宋" w:hAnsi="仿宋" w:eastAsia="仿宋" w:cs="仿宋"/>
          <w:sz w:val="32"/>
          <w:szCs w:val="32"/>
        </w:rPr>
        <w:t>在项目资金使用管理上，我们一直按照国家财经法规和内部财务管理制度的规定开支。资金结付有完整的审批程序和手续，</w:t>
      </w:r>
      <w:r>
        <w:rPr>
          <w:rFonts w:hint="eastAsia" w:ascii="仿宋" w:hAnsi="仿宋" w:eastAsia="仿宋" w:cs="仿宋"/>
          <w:sz w:val="32"/>
          <w:szCs w:val="32"/>
          <w:lang w:eastAsia="zh-CN"/>
        </w:rPr>
        <w:t>严格</w:t>
      </w:r>
      <w:r>
        <w:rPr>
          <w:rFonts w:hint="eastAsia" w:ascii="仿宋" w:hAnsi="仿宋" w:eastAsia="仿宋" w:cs="仿宋"/>
          <w:sz w:val="32"/>
          <w:szCs w:val="32"/>
        </w:rPr>
        <w:t>按照财经制度的有关要求，做到专款专用</w:t>
      </w:r>
      <w:r>
        <w:rPr>
          <w:rFonts w:hint="eastAsia" w:ascii="仿宋" w:hAnsi="仿宋" w:eastAsia="仿宋" w:cs="仿宋"/>
          <w:sz w:val="32"/>
          <w:szCs w:val="32"/>
          <w:lang w:eastAsia="zh-CN"/>
        </w:rPr>
        <w:t>，</w:t>
      </w:r>
      <w:r>
        <w:rPr>
          <w:rFonts w:hint="eastAsia" w:ascii="仿宋" w:hAnsi="仿宋" w:eastAsia="仿宋" w:cs="仿宋"/>
          <w:sz w:val="32"/>
          <w:szCs w:val="32"/>
        </w:rPr>
        <w:t>单位分管领导对资金的使用进行全程监督，保证资金使用的合规性。资金使用无截留、挤占、挪用、虚列支出等情况。为确保专项</w:t>
      </w:r>
      <w:r>
        <w:rPr>
          <w:rFonts w:hint="eastAsia" w:ascii="仿宋" w:hAnsi="仿宋" w:eastAsia="仿宋" w:cs="仿宋"/>
          <w:sz w:val="32"/>
          <w:szCs w:val="32"/>
          <w:lang w:eastAsia="zh-CN"/>
        </w:rPr>
        <w:t>顺利</w:t>
      </w:r>
      <w:r>
        <w:rPr>
          <w:rFonts w:hint="eastAsia" w:ascii="仿宋" w:hAnsi="仿宋" w:eastAsia="仿宋" w:cs="仿宋"/>
          <w:sz w:val="32"/>
          <w:szCs w:val="32"/>
        </w:rPr>
        <w:t>实施而制定</w:t>
      </w:r>
      <w:r>
        <w:rPr>
          <w:rFonts w:hint="eastAsia" w:ascii="仿宋" w:hAnsi="仿宋" w:eastAsia="仿宋" w:cs="仿宋"/>
          <w:sz w:val="32"/>
          <w:szCs w:val="32"/>
          <w:lang w:eastAsia="zh-CN"/>
        </w:rPr>
        <w:t>了</w:t>
      </w:r>
      <w:r>
        <w:rPr>
          <w:rFonts w:hint="eastAsia" w:ascii="仿宋" w:hAnsi="仿宋" w:eastAsia="仿宋" w:cs="仿宋"/>
          <w:sz w:val="32"/>
          <w:szCs w:val="32"/>
        </w:rPr>
        <w:t>制度和措施，如《20</w:t>
      </w:r>
      <w:r>
        <w:rPr>
          <w:rFonts w:hint="eastAsia" w:ascii="仿宋" w:hAnsi="仿宋" w:eastAsia="仿宋" w:cs="仿宋"/>
          <w:sz w:val="32"/>
          <w:szCs w:val="32"/>
          <w:lang w:val="en-US" w:eastAsia="zh-CN"/>
        </w:rPr>
        <w:t>20</w:t>
      </w:r>
      <w:r>
        <w:rPr>
          <w:rFonts w:hint="eastAsia" w:ascii="仿宋" w:hAnsi="仿宋" w:eastAsia="仿宋" w:cs="仿宋"/>
          <w:sz w:val="32"/>
          <w:szCs w:val="32"/>
        </w:rPr>
        <w:t>年财务管理办法》、《</w:t>
      </w:r>
      <w:r>
        <w:rPr>
          <w:rFonts w:hint="eastAsia" w:ascii="仿宋" w:hAnsi="仿宋" w:eastAsia="仿宋" w:cs="仿宋"/>
          <w:sz w:val="32"/>
          <w:szCs w:val="32"/>
          <w:lang w:val="en-US" w:eastAsia="zh-CN"/>
        </w:rPr>
        <w:t>专项</w:t>
      </w:r>
      <w:r>
        <w:rPr>
          <w:rFonts w:hint="eastAsia" w:ascii="仿宋" w:hAnsi="仿宋" w:eastAsia="仿宋" w:cs="仿宋"/>
          <w:sz w:val="32"/>
          <w:szCs w:val="32"/>
        </w:rPr>
        <w:t>资金管理</w:t>
      </w:r>
      <w:r>
        <w:rPr>
          <w:rFonts w:hint="eastAsia" w:ascii="仿宋" w:hAnsi="仿宋" w:eastAsia="仿宋" w:cs="仿宋"/>
          <w:sz w:val="32"/>
          <w:szCs w:val="32"/>
          <w:lang w:val="en-US" w:eastAsia="zh-CN"/>
        </w:rPr>
        <w:t>制度</w:t>
      </w:r>
      <w:r>
        <w:rPr>
          <w:rFonts w:hint="eastAsia" w:ascii="仿宋" w:hAnsi="仿宋" w:eastAsia="仿宋" w:cs="仿宋"/>
          <w:sz w:val="32"/>
          <w:szCs w:val="32"/>
        </w:rPr>
        <w:t>》、《联审会签制度》等。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三、项目绩效情况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根据南财绩函[20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号文件精神，关于以上项目资金的绩效</w:t>
      </w:r>
      <w:r>
        <w:rPr>
          <w:rFonts w:hint="eastAsia" w:ascii="仿宋" w:hAnsi="仿宋" w:eastAsia="仿宋" w:cs="仿宋"/>
          <w:sz w:val="32"/>
          <w:szCs w:val="32"/>
          <w:lang w:eastAsia="zh-CN"/>
        </w:rPr>
        <w:t>情况有</w:t>
      </w:r>
      <w:r>
        <w:rPr>
          <w:rFonts w:hint="eastAsia" w:ascii="仿宋" w:hAnsi="仿宋" w:eastAsia="仿宋" w:cs="仿宋"/>
          <w:sz w:val="32"/>
          <w:szCs w:val="32"/>
        </w:rPr>
        <w:t>以下几点：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项目立项依据为《中华人民共和国食品安全法》</w:t>
      </w:r>
      <w:r>
        <w:rPr>
          <w:rFonts w:hint="eastAsia" w:ascii="仿宋" w:hAnsi="仿宋" w:eastAsia="仿宋" w:cs="仿宋"/>
          <w:sz w:val="32"/>
          <w:szCs w:val="32"/>
          <w:lang w:eastAsia="zh-CN"/>
        </w:rPr>
        <w:t>、</w:t>
      </w:r>
      <w:r>
        <w:rPr>
          <w:rFonts w:hint="eastAsia" w:ascii="仿宋" w:hAnsi="仿宋" w:eastAsia="仿宋" w:cs="仿宋"/>
          <w:sz w:val="32"/>
          <w:szCs w:val="32"/>
        </w:rPr>
        <w:t>《湖南省食品生产加工管理条例》和《行政许可法》</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相关</w:t>
      </w:r>
      <w:r>
        <w:rPr>
          <w:rFonts w:hint="eastAsia" w:ascii="仿宋" w:hAnsi="仿宋" w:eastAsia="仿宋" w:cs="仿宋"/>
          <w:color w:val="auto"/>
          <w:sz w:val="32"/>
          <w:szCs w:val="32"/>
          <w:lang w:val="en-US" w:eastAsia="zh-CN"/>
        </w:rPr>
        <w:t>法律法规</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项目实施进度计划开始时间为20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月1日，计划完成时间为</w:t>
      </w:r>
      <w:r>
        <w:rPr>
          <w:rFonts w:hint="eastAsia" w:ascii="仿宋" w:hAnsi="仿宋" w:eastAsia="仿宋" w:cs="仿宋"/>
          <w:sz w:val="32"/>
          <w:szCs w:val="32"/>
          <w:lang w:val="en-US" w:eastAsia="zh-CN"/>
        </w:rPr>
        <w:t>2020</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项目长期绩效目标是通过对各类相关产品的检测</w:t>
      </w:r>
      <w:r>
        <w:rPr>
          <w:rFonts w:hint="eastAsia" w:ascii="仿宋" w:hAnsi="仿宋" w:eastAsia="仿宋" w:cs="仿宋"/>
          <w:sz w:val="32"/>
          <w:szCs w:val="32"/>
          <w:lang w:eastAsia="zh-CN"/>
        </w:rPr>
        <w:t>，确保</w:t>
      </w:r>
      <w:r>
        <w:rPr>
          <w:rFonts w:hint="eastAsia" w:ascii="仿宋" w:hAnsi="仿宋" w:eastAsia="仿宋" w:cs="仿宋"/>
          <w:sz w:val="32"/>
          <w:szCs w:val="32"/>
        </w:rPr>
        <w:t>相关产品在长时间里保持高质量</w:t>
      </w:r>
      <w:r>
        <w:rPr>
          <w:rFonts w:hint="eastAsia" w:ascii="仿宋" w:hAnsi="仿宋" w:eastAsia="仿宋" w:cs="仿宋"/>
          <w:sz w:val="32"/>
          <w:szCs w:val="32"/>
          <w:lang w:eastAsia="zh-CN"/>
        </w:rPr>
        <w:t>；</w:t>
      </w:r>
      <w:r>
        <w:rPr>
          <w:rFonts w:hint="eastAsia" w:ascii="仿宋" w:hAnsi="仿宋" w:eastAsia="仿宋" w:cs="仿宋"/>
          <w:sz w:val="32"/>
          <w:szCs w:val="32"/>
        </w:rPr>
        <w:t>通过规范市场管理领域</w:t>
      </w:r>
      <w:r>
        <w:rPr>
          <w:rFonts w:hint="eastAsia" w:ascii="仿宋" w:hAnsi="仿宋" w:eastAsia="仿宋" w:cs="仿宋"/>
          <w:sz w:val="32"/>
          <w:szCs w:val="32"/>
          <w:lang w:eastAsia="zh-CN"/>
        </w:rPr>
        <w:t>，充分保障</w:t>
      </w:r>
      <w:r>
        <w:rPr>
          <w:rFonts w:hint="eastAsia" w:ascii="仿宋" w:hAnsi="仿宋" w:eastAsia="仿宋" w:cs="仿宋"/>
          <w:sz w:val="32"/>
          <w:szCs w:val="32"/>
        </w:rPr>
        <w:t>行政许可在市场领域中的权威性。</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项目年度绩效目标主要是在本年度内扩大食药品产品的安全类别和范围，使食药品安全监管率在本年度达到</w:t>
      </w:r>
      <w:r>
        <w:rPr>
          <w:rFonts w:hint="eastAsia" w:ascii="仿宋" w:hAnsi="仿宋" w:eastAsia="仿宋" w:cs="仿宋"/>
          <w:sz w:val="32"/>
          <w:szCs w:val="32"/>
          <w:lang w:val="en-US" w:eastAsia="zh-CN"/>
        </w:rPr>
        <w:t>90</w:t>
      </w:r>
      <w:r>
        <w:rPr>
          <w:rFonts w:hint="eastAsia" w:ascii="仿宋" w:hAnsi="仿宋" w:eastAsia="仿宋" w:cs="仿宋"/>
          <w:sz w:val="32"/>
          <w:szCs w:val="32"/>
        </w:rPr>
        <w:t>%以上</w:t>
      </w:r>
      <w:r>
        <w:rPr>
          <w:rFonts w:hint="eastAsia" w:ascii="仿宋" w:hAnsi="仿宋" w:eastAsia="仿宋" w:cs="仿宋"/>
          <w:sz w:val="32"/>
          <w:szCs w:val="32"/>
          <w:lang w:eastAsia="zh-CN"/>
        </w:rPr>
        <w:t>；</w:t>
      </w:r>
      <w:r>
        <w:rPr>
          <w:rFonts w:hint="eastAsia" w:ascii="仿宋" w:hAnsi="仿宋" w:eastAsia="仿宋" w:cs="仿宋"/>
          <w:sz w:val="32"/>
          <w:szCs w:val="32"/>
        </w:rPr>
        <w:t>同时，搞好市场监管，</w:t>
      </w:r>
      <w:r>
        <w:rPr>
          <w:rFonts w:hint="eastAsia" w:ascii="仿宋" w:hAnsi="仿宋" w:eastAsia="仿宋" w:cs="仿宋"/>
          <w:sz w:val="32"/>
          <w:szCs w:val="32"/>
          <w:lang w:eastAsia="zh-CN"/>
        </w:rPr>
        <w:t>做好</w:t>
      </w:r>
      <w:r>
        <w:rPr>
          <w:rFonts w:hint="eastAsia" w:ascii="仿宋" w:hAnsi="仿宋" w:eastAsia="仿宋" w:cs="仿宋"/>
          <w:sz w:val="32"/>
          <w:szCs w:val="32"/>
        </w:rPr>
        <w:t>普通许可、特许、核准、登记</w:t>
      </w:r>
      <w:r>
        <w:rPr>
          <w:rFonts w:hint="eastAsia" w:ascii="仿宋" w:hAnsi="仿宋" w:eastAsia="仿宋" w:cs="仿宋"/>
          <w:sz w:val="32"/>
          <w:szCs w:val="32"/>
          <w:lang w:eastAsia="zh-CN"/>
        </w:rPr>
        <w:t>等</w:t>
      </w:r>
      <w:r>
        <w:rPr>
          <w:rFonts w:hint="eastAsia" w:ascii="仿宋" w:hAnsi="仿宋" w:eastAsia="仿宋" w:cs="仿宋"/>
          <w:sz w:val="32"/>
          <w:szCs w:val="32"/>
        </w:rPr>
        <w:t>工作。</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项目年度绩效指标</w:t>
      </w:r>
      <w:r>
        <w:rPr>
          <w:rFonts w:hint="eastAsia" w:ascii="仿宋" w:hAnsi="仿宋" w:eastAsia="仿宋" w:cs="仿宋"/>
          <w:sz w:val="32"/>
          <w:szCs w:val="32"/>
          <w:lang w:eastAsia="zh-CN"/>
        </w:rPr>
        <w:t>值</w:t>
      </w:r>
      <w:r>
        <w:rPr>
          <w:rFonts w:hint="eastAsia" w:ascii="仿宋" w:hAnsi="仿宋" w:eastAsia="仿宋" w:cs="仿宋"/>
          <w:sz w:val="32"/>
          <w:szCs w:val="32"/>
        </w:rPr>
        <w:t>有提升</w:t>
      </w:r>
      <w:r>
        <w:rPr>
          <w:rFonts w:hint="eastAsia" w:ascii="仿宋" w:hAnsi="仿宋" w:eastAsia="仿宋" w:cs="仿宋"/>
          <w:sz w:val="32"/>
          <w:szCs w:val="32"/>
          <w:lang w:eastAsia="zh-CN"/>
        </w:rPr>
        <w:t>：</w:t>
      </w:r>
      <w:r>
        <w:rPr>
          <w:rFonts w:hint="eastAsia" w:ascii="仿宋" w:hAnsi="仿宋" w:eastAsia="仿宋" w:cs="仿宋"/>
          <w:sz w:val="32"/>
          <w:szCs w:val="32"/>
        </w:rPr>
        <w:t>从产出的角度来看，以上项目资金涉及的几个大类在数量指标、质量指标、时效指标、成本指标方面</w:t>
      </w:r>
      <w:r>
        <w:rPr>
          <w:rFonts w:hint="eastAsia" w:ascii="仿宋" w:hAnsi="仿宋" w:eastAsia="仿宋" w:cs="仿宋"/>
          <w:sz w:val="32"/>
          <w:szCs w:val="32"/>
          <w:lang w:eastAsia="zh-CN"/>
        </w:rPr>
        <w:t>，</w:t>
      </w:r>
      <w:r>
        <w:rPr>
          <w:rFonts w:hint="eastAsia" w:ascii="仿宋" w:hAnsi="仿宋" w:eastAsia="仿宋" w:cs="仿宋"/>
          <w:sz w:val="32"/>
          <w:szCs w:val="32"/>
        </w:rPr>
        <w:t>指标值的合格率、检测率一般在95%-99%之间</w:t>
      </w:r>
      <w:r>
        <w:rPr>
          <w:rFonts w:hint="eastAsia" w:ascii="仿宋" w:hAnsi="仿宋" w:eastAsia="仿宋" w:cs="仿宋"/>
          <w:sz w:val="32"/>
          <w:szCs w:val="32"/>
          <w:lang w:eastAsia="zh-CN"/>
        </w:rPr>
        <w:t>；</w:t>
      </w:r>
      <w:r>
        <w:rPr>
          <w:rFonts w:hint="eastAsia" w:ascii="仿宋" w:hAnsi="仿宋" w:eastAsia="仿宋" w:cs="仿宋"/>
          <w:sz w:val="32"/>
          <w:szCs w:val="32"/>
        </w:rPr>
        <w:t>从效益的角度来看，几个大类涉及的经济效益指标、社会效益指标、生态效益指标、可持续影响指标、满意度指标方面</w:t>
      </w:r>
      <w:r>
        <w:rPr>
          <w:rFonts w:hint="eastAsia" w:ascii="仿宋" w:hAnsi="仿宋" w:eastAsia="仿宋" w:cs="仿宋"/>
          <w:sz w:val="32"/>
          <w:szCs w:val="32"/>
          <w:lang w:eastAsia="zh-CN"/>
        </w:rPr>
        <w:t>，</w:t>
      </w:r>
      <w:r>
        <w:rPr>
          <w:rFonts w:hint="eastAsia" w:ascii="仿宋" w:hAnsi="仿宋" w:eastAsia="仿宋" w:cs="仿宋"/>
          <w:sz w:val="32"/>
          <w:szCs w:val="32"/>
        </w:rPr>
        <w:t>指标值的利用率、安全性、满意度一般在95%-98%之间。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自查和自我评估，我局专项资金管理能严格遵守财经纪律和财务制度，但仍然存在专项经费实际使用不精细的地方。在今后的专项经费管理中，我们将进一步细化专项资金预算申报，做到合理安排资金，提高专项资金使用效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建议一到二年组织一次项目资金绩效评价的专业知识讲座和培训，让大家</w:t>
      </w:r>
      <w:r>
        <w:rPr>
          <w:rFonts w:hint="eastAsia" w:ascii="仿宋" w:hAnsi="仿宋" w:eastAsia="仿宋" w:cs="仿宋"/>
          <w:sz w:val="32"/>
          <w:szCs w:val="32"/>
          <w:lang w:eastAsia="zh-CN"/>
        </w:rPr>
        <w:t>深入学习与</w:t>
      </w:r>
      <w:r>
        <w:rPr>
          <w:rFonts w:hint="eastAsia" w:ascii="仿宋" w:hAnsi="仿宋" w:eastAsia="仿宋" w:cs="仿宋"/>
          <w:sz w:val="32"/>
          <w:szCs w:val="32"/>
        </w:rPr>
        <w:t>绩效评价</w:t>
      </w:r>
      <w:r>
        <w:rPr>
          <w:rFonts w:hint="eastAsia" w:ascii="仿宋" w:hAnsi="仿宋" w:eastAsia="仿宋" w:cs="仿宋"/>
          <w:sz w:val="32"/>
          <w:szCs w:val="32"/>
          <w:lang w:eastAsia="zh-CN"/>
        </w:rPr>
        <w:t>相关知识。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320" w:firstLineChars="1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南县</w:t>
      </w:r>
      <w:r>
        <w:rPr>
          <w:rFonts w:hint="eastAsia" w:ascii="仿宋" w:hAnsi="仿宋" w:eastAsia="仿宋" w:cs="仿宋"/>
          <w:sz w:val="32"/>
          <w:szCs w:val="32"/>
          <w:lang w:eastAsia="zh-CN"/>
        </w:rPr>
        <w:t>市场</w:t>
      </w:r>
      <w:r>
        <w:rPr>
          <w:rFonts w:hint="eastAsia" w:ascii="仿宋" w:hAnsi="仿宋" w:eastAsia="仿宋" w:cs="仿宋"/>
          <w:sz w:val="32"/>
          <w:szCs w:val="32"/>
        </w:rPr>
        <w:t>监督管理局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bCs/>
          <w:i w:val="0"/>
          <w:caps w:val="0"/>
          <w:color w:val="auto"/>
          <w:spacing w:val="0"/>
          <w:sz w:val="48"/>
          <w:szCs w:val="48"/>
          <w:shd w:val="clear" w:fill="FFFFFF"/>
        </w:rPr>
      </w:pPr>
    </w:p>
    <w:p>
      <w:pPr>
        <w:rPr>
          <w:rFonts w:hint="eastAsia" w:ascii="仿宋" w:hAnsi="仿宋" w:eastAsia="仿宋" w:cs="仿宋"/>
          <w:b/>
          <w:bCs/>
          <w:i w:val="0"/>
          <w:caps w:val="0"/>
          <w:color w:val="auto"/>
          <w:spacing w:val="0"/>
          <w:sz w:val="44"/>
          <w:szCs w:val="44"/>
          <w:shd w:val="clear" w:fill="FFFFFF"/>
        </w:rPr>
      </w:pPr>
    </w:p>
    <w:p>
      <w:pPr>
        <w:rPr>
          <w:rFonts w:hint="eastAsia" w:ascii="仿宋" w:hAnsi="仿宋" w:eastAsia="仿宋" w:cs="仿宋"/>
          <w:b/>
          <w:bCs/>
          <w:i w:val="0"/>
          <w:caps w:val="0"/>
          <w:color w:val="auto"/>
          <w:spacing w:val="0"/>
          <w:sz w:val="44"/>
          <w:szCs w:val="44"/>
          <w:shd w:val="clear" w:fill="FFFFFF"/>
        </w:rPr>
      </w:pPr>
    </w:p>
    <w:p>
      <w:pPr>
        <w:rPr>
          <w:rFonts w:hint="eastAsia" w:ascii="仿宋" w:hAnsi="仿宋" w:eastAsia="仿宋" w:cs="仿宋"/>
          <w:b/>
          <w:bCs/>
          <w:i w:val="0"/>
          <w:caps w:val="0"/>
          <w:color w:val="auto"/>
          <w:spacing w:val="0"/>
          <w:sz w:val="44"/>
          <w:szCs w:val="44"/>
          <w:shd w:val="clear" w:fill="FFFFFF"/>
        </w:rPr>
      </w:pPr>
    </w:p>
    <w:p>
      <w:pPr>
        <w:rPr>
          <w:rFonts w:hint="eastAsia" w:ascii="仿宋" w:hAnsi="仿宋" w:eastAsia="仿宋" w:cs="仿宋"/>
          <w:b/>
          <w:bCs/>
          <w:i w:val="0"/>
          <w:caps w:val="0"/>
          <w:color w:val="auto"/>
          <w:spacing w:val="0"/>
          <w:sz w:val="44"/>
          <w:szCs w:val="44"/>
          <w:shd w:val="clear" w:fill="FFFFFF"/>
        </w:rPr>
      </w:pPr>
    </w:p>
    <w:p>
      <w:pPr>
        <w:rPr>
          <w:rFonts w:hint="eastAsia" w:ascii="仿宋" w:hAnsi="仿宋" w:eastAsia="仿宋" w:cs="仿宋"/>
          <w:b/>
          <w:bCs/>
          <w:i w:val="0"/>
          <w:caps w:val="0"/>
          <w:color w:val="auto"/>
          <w:spacing w:val="0"/>
          <w:sz w:val="44"/>
          <w:szCs w:val="44"/>
          <w:shd w:val="clear" w:fill="FFFFFF"/>
        </w:rPr>
      </w:pPr>
    </w:p>
    <w:p>
      <w:pPr>
        <w:rPr>
          <w:rFonts w:hint="eastAsia" w:ascii="仿宋" w:hAnsi="仿宋" w:eastAsia="仿宋" w:cs="仿宋"/>
          <w:b/>
          <w:bCs/>
          <w:i w:val="0"/>
          <w:caps w:val="0"/>
          <w:color w:val="auto"/>
          <w:spacing w:val="0"/>
          <w:sz w:val="44"/>
          <w:szCs w:val="44"/>
          <w:shd w:val="clear" w:fill="FFFFFF"/>
        </w:rPr>
      </w:pPr>
    </w:p>
    <w:p>
      <w:pPr>
        <w:spacing w:line="6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5"/>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widowControl/>
              <w:spacing w:line="260" w:lineRule="exact"/>
              <w:jc w:val="both"/>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目标</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内容</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过程</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依据</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程序</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办法</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结果</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到位率</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使用</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组织</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组织</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机构</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242" w:leftChars="20" w:hanging="200" w:hangingChars="1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制度</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绩效</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产出</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数量</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质量</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成本</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single" w:color="auto" w:sz="4" w:space="0"/>
              <w:left w:val="nil"/>
              <w:bottom w:val="single" w:color="auto" w:sz="4" w:space="0"/>
              <w:right w:val="single" w:color="auto" w:sz="4" w:space="0"/>
            </w:tcBorders>
            <w:vAlign w:val="center"/>
          </w:tcPr>
          <w:p>
            <w:pPr>
              <w:widowControl/>
              <w:spacing w:line="260" w:lineRule="exact"/>
              <w:ind w:firstLine="400"/>
              <w:rPr>
                <w:rFonts w:hint="eastAsia" w:ascii="仿宋_GB2312" w:hAnsi="宋体" w:eastAsia="仿宋_GB2312" w:cs="宋体"/>
                <w:color w:val="000000"/>
                <w:kern w:val="0"/>
                <w:sz w:val="20"/>
                <w:szCs w:val="20"/>
              </w:rPr>
            </w:pP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效果</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经济</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社会</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环境</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可持续影响</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服务</w:t>
            </w:r>
          </w:p>
          <w:p>
            <w:pPr>
              <w:widowControl/>
              <w:spacing w:line="260" w:lineRule="exact"/>
              <w:jc w:val="both"/>
              <w:rPr>
                <w:rFonts w:hint="eastAsia" w:ascii="仿宋_GB2312" w:hAnsi="宋体"/>
                <w:color w:val="000000"/>
                <w:kern w:val="0"/>
                <w:sz w:val="20"/>
                <w:szCs w:val="20"/>
              </w:rPr>
            </w:pPr>
            <w:r>
              <w:rPr>
                <w:rFonts w:hint="eastAsia" w:ascii="仿宋_GB2312" w:hAnsi="宋体"/>
                <w:color w:val="000000"/>
                <w:kern w:val="0"/>
                <w:sz w:val="20"/>
                <w:szCs w:val="20"/>
              </w:rPr>
              <w:t>对象满意度</w:t>
            </w:r>
          </w:p>
          <w:p>
            <w:pPr>
              <w:widowControl/>
              <w:spacing w:line="260" w:lineRule="exact"/>
              <w:jc w:val="both"/>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both"/>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ind w:firstLine="640"/>
        <w:rPr>
          <w:rFonts w:hint="eastAsia" w:ascii="仿宋_GB2312" w:hAnsi="宋体"/>
          <w:color w:val="000000"/>
        </w:rPr>
      </w:pPr>
      <w:r>
        <w:rPr>
          <w:rFonts w:hint="eastAsia" w:ascii="仿宋_GB2312" w:hAnsi="宋体"/>
          <w:color w:val="000000"/>
        </w:rPr>
        <w:t xml:space="preserve"> </w:t>
      </w:r>
    </w:p>
    <w:p>
      <w:pPr>
        <w:rPr>
          <w:rFonts w:hint="eastAsia" w:ascii="仿宋" w:hAnsi="仿宋" w:eastAsia="仿宋" w:cs="仿宋"/>
          <w:b/>
          <w:bCs/>
          <w:i w:val="0"/>
          <w:caps w:val="0"/>
          <w:color w:val="auto"/>
          <w:spacing w:val="0"/>
          <w:sz w:val="44"/>
          <w:szCs w:val="44"/>
          <w:shd w:val="clear" w:fill="FFFFFF"/>
        </w:rPr>
      </w:pPr>
      <w:bookmarkStart w:id="0" w:name="_GoBack"/>
      <w:bookmarkEnd w:id="0"/>
    </w:p>
    <w:p>
      <w:pPr>
        <w:rPr>
          <w:rFonts w:hint="eastAsia" w:ascii="仿宋" w:hAnsi="仿宋" w:eastAsia="仿宋" w:cs="仿宋"/>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D514F"/>
    <w:multiLevelType w:val="singleLevel"/>
    <w:tmpl w:val="27AD514F"/>
    <w:lvl w:ilvl="0" w:tentative="0">
      <w:start w:val="1"/>
      <w:numFmt w:val="decimal"/>
      <w:suff w:val="nothing"/>
      <w:lvlText w:val="%1、"/>
      <w:lvlJc w:val="left"/>
    </w:lvl>
  </w:abstractNum>
  <w:abstractNum w:abstractNumId="1">
    <w:nsid w:val="614DA8E5"/>
    <w:multiLevelType w:val="singleLevel"/>
    <w:tmpl w:val="614DA8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63BF5"/>
    <w:rsid w:val="02271842"/>
    <w:rsid w:val="022F6BB9"/>
    <w:rsid w:val="025E1859"/>
    <w:rsid w:val="041A696D"/>
    <w:rsid w:val="044B3117"/>
    <w:rsid w:val="0BAB04D9"/>
    <w:rsid w:val="0D6E6EA8"/>
    <w:rsid w:val="101A3CD9"/>
    <w:rsid w:val="125E150C"/>
    <w:rsid w:val="1514410A"/>
    <w:rsid w:val="151D1911"/>
    <w:rsid w:val="16885EC4"/>
    <w:rsid w:val="191867DD"/>
    <w:rsid w:val="19F94B1E"/>
    <w:rsid w:val="1B5878EF"/>
    <w:rsid w:val="1D233FE7"/>
    <w:rsid w:val="21DE5213"/>
    <w:rsid w:val="2287088A"/>
    <w:rsid w:val="23F91006"/>
    <w:rsid w:val="24EF3CF8"/>
    <w:rsid w:val="25666234"/>
    <w:rsid w:val="26042964"/>
    <w:rsid w:val="26296A75"/>
    <w:rsid w:val="263938D0"/>
    <w:rsid w:val="2B39649B"/>
    <w:rsid w:val="2CD40B68"/>
    <w:rsid w:val="2D496964"/>
    <w:rsid w:val="2ED92E71"/>
    <w:rsid w:val="30E8353D"/>
    <w:rsid w:val="32134CC9"/>
    <w:rsid w:val="333F2EC2"/>
    <w:rsid w:val="3A125A74"/>
    <w:rsid w:val="3B1044B3"/>
    <w:rsid w:val="3CA513A0"/>
    <w:rsid w:val="3D711FB1"/>
    <w:rsid w:val="3EE56F1D"/>
    <w:rsid w:val="3F2A2234"/>
    <w:rsid w:val="400261DF"/>
    <w:rsid w:val="406D74F7"/>
    <w:rsid w:val="41165376"/>
    <w:rsid w:val="423212C0"/>
    <w:rsid w:val="481B1DE1"/>
    <w:rsid w:val="50FC46B5"/>
    <w:rsid w:val="532902BD"/>
    <w:rsid w:val="542F3891"/>
    <w:rsid w:val="57B45EE9"/>
    <w:rsid w:val="5A152E3D"/>
    <w:rsid w:val="5FB9746F"/>
    <w:rsid w:val="61594D1D"/>
    <w:rsid w:val="62551EEC"/>
    <w:rsid w:val="69233C22"/>
    <w:rsid w:val="69F46A7D"/>
    <w:rsid w:val="6A10412F"/>
    <w:rsid w:val="6B5C416C"/>
    <w:rsid w:val="6BBB670F"/>
    <w:rsid w:val="6C777028"/>
    <w:rsid w:val="6D7F72B6"/>
    <w:rsid w:val="711D6178"/>
    <w:rsid w:val="713D5F78"/>
    <w:rsid w:val="71E97E74"/>
    <w:rsid w:val="74BA6885"/>
    <w:rsid w:val="77A63BF5"/>
    <w:rsid w:val="77C045F0"/>
    <w:rsid w:val="78C52553"/>
    <w:rsid w:val="7A2E4512"/>
    <w:rsid w:val="7B926917"/>
    <w:rsid w:val="7C6376A9"/>
    <w:rsid w:val="7D625068"/>
    <w:rsid w:val="7E232425"/>
    <w:rsid w:val="7E67414A"/>
    <w:rsid w:val="7F3A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2514</Words>
  <Characters>2631</Characters>
  <Lines>0</Lines>
  <Paragraphs>0</Paragraphs>
  <TotalTime>0</TotalTime>
  <ScaleCrop>false</ScaleCrop>
  <LinksUpToDate>false</LinksUpToDate>
  <CharactersWithSpaces>2705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2021-03-17T00:54:00Z</dcterms:created>
  <dc:creator>艳子</dc:creator>
  <cp:lastModifiedBy>Administrator</cp:lastModifiedBy>
  <dcterms:modified xsi:type="dcterms:W3CDTF">2022-04-22T08:10:52Z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eyJoZGlkIjoiNzIwMTg5MWM0OWY0NWYyZmJkM2UyMDI5MTc2ZmEwMDEifQ==</vt:lpwstr>
  </property>
  <property fmtid="{D5CDD505-2E9C-101B-9397-08002B2CF9AE}" pid="4" name="ICV">
    <vt:lpwstr>851960CF14174517B1576A39F895B77F</vt:lpwstr>
  </property>
</Properties>
</file>