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r>
        <w:rPr>
          <w:rStyle w:val="15"/>
          <w:rFonts w:ascii="仿宋" w:hAnsi="仿宋" w:eastAsia="仿宋" w:cs="仿宋"/>
          <w:sz w:val="36"/>
          <w:szCs w:val="36"/>
        </w:rPr>
        <w:t>2020</w:t>
      </w:r>
      <w:r>
        <w:rPr>
          <w:rStyle w:val="15"/>
          <w:rFonts w:hint="eastAsia" w:ascii="仿宋" w:hAnsi="仿宋" w:eastAsia="仿宋" w:cs="仿宋"/>
          <w:sz w:val="36"/>
          <w:szCs w:val="36"/>
        </w:rPr>
        <w:t>年度南县司法局公共法律服务</w:t>
      </w:r>
    </w:p>
    <w:p>
      <w:pPr>
        <w:spacing w:line="420" w:lineRule="exact"/>
        <w:jc w:val="center"/>
        <w:rPr>
          <w:rFonts w:ascii="仿宋" w:hAnsi="仿宋" w:eastAsia="仿宋" w:cs="仿宋"/>
          <w:b/>
          <w:sz w:val="44"/>
          <w:szCs w:val="44"/>
        </w:rPr>
      </w:pPr>
    </w:p>
    <w:p>
      <w:pPr>
        <w:jc w:val="center"/>
        <w:rPr>
          <w:rFonts w:ascii="仿宋" w:hAnsi="仿宋" w:eastAsia="仿宋" w:cs="仿宋"/>
          <w:sz w:val="36"/>
          <w:szCs w:val="36"/>
        </w:rPr>
      </w:pPr>
      <w:r>
        <w:rPr>
          <w:rStyle w:val="15"/>
          <w:rFonts w:hint="eastAsia" w:ascii="仿宋" w:hAnsi="仿宋" w:eastAsia="仿宋" w:cs="仿宋"/>
          <w:sz w:val="36"/>
          <w:szCs w:val="36"/>
        </w:rPr>
        <w:t>财政专项资金绩效评价报告</w:t>
      </w:r>
    </w:p>
    <w:p>
      <w:pPr>
        <w:spacing w:line="420" w:lineRule="exact"/>
        <w:jc w:val="center"/>
        <w:rPr>
          <w:rFonts w:ascii="仿宋" w:hAnsi="仿宋" w:eastAsia="仿宋" w:cs="仿宋"/>
          <w:b/>
          <w:sz w:val="24"/>
        </w:rPr>
      </w:pPr>
    </w:p>
    <w:p>
      <w:pPr>
        <w:jc w:val="center"/>
        <w:rPr>
          <w:rFonts w:ascii="仿宋" w:hAnsi="仿宋" w:eastAsia="仿宋" w:cs="仿宋"/>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4"/>
          <w:cols w:space="720" w:num="1"/>
          <w:titlePg/>
          <w:docGrid w:linePitch="326" w:charSpace="0"/>
        </w:sectPr>
      </w:pPr>
      <w:r>
        <w:rPr>
          <w:rFonts w:hint="eastAsia" w:ascii="仿宋" w:hAnsi="仿宋" w:eastAsia="仿宋" w:cs="仿宋"/>
          <w:sz w:val="28"/>
          <w:szCs w:val="28"/>
        </w:rPr>
        <w:t>勤信湘专字【20</w:t>
      </w:r>
      <w:r>
        <w:rPr>
          <w:rFonts w:ascii="仿宋" w:hAnsi="仿宋" w:eastAsia="仿宋" w:cs="仿宋"/>
          <w:sz w:val="28"/>
          <w:szCs w:val="28"/>
        </w:rPr>
        <w:t>21</w:t>
      </w:r>
      <w:r>
        <w:rPr>
          <w:rFonts w:hint="eastAsia" w:ascii="仿宋" w:hAnsi="仿宋" w:eastAsia="仿宋" w:cs="仿宋"/>
          <w:sz w:val="28"/>
          <w:szCs w:val="28"/>
        </w:rPr>
        <w:t>】第</w:t>
      </w:r>
      <w:r>
        <w:rPr>
          <w:rFonts w:hint="eastAsia" w:ascii="仿宋" w:hAnsi="仿宋" w:eastAsia="仿宋" w:cs="仿宋"/>
          <w:sz w:val="28"/>
          <w:szCs w:val="28"/>
          <w:lang w:val="en-US" w:eastAsia="zh-CN"/>
        </w:rPr>
        <w:t>0059</w:t>
      </w:r>
      <w:r>
        <w:rPr>
          <w:rFonts w:hint="eastAsia" w:ascii="仿宋" w:hAnsi="仿宋" w:eastAsia="仿宋" w:cs="仿宋"/>
          <w:sz w:val="28"/>
          <w:szCs w:val="28"/>
        </w:rPr>
        <w:t>号</w:t>
      </w:r>
    </w:p>
    <w:p>
      <w:pPr>
        <w:spacing w:line="320" w:lineRule="exact"/>
        <w:rPr>
          <w:rFonts w:ascii="仿宋" w:hAnsi="仿宋" w:eastAsia="仿宋" w:cs="仿宋"/>
          <w:spacing w:val="20"/>
          <w:sz w:val="28"/>
        </w:rPr>
      </w:pPr>
      <w:r>
        <w:rPr>
          <w:rFonts w:hint="eastAsia" w:ascii="仿宋" w:hAnsi="仿宋" w:eastAsia="仿宋" w:cs="仿宋"/>
          <w:spacing w:val="20"/>
          <w:sz w:val="28"/>
        </w:rPr>
        <w:t>中勤万信会计师事务所(特殊普通合伙)湖南分所</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地址：湖南省长沙市天心区芙蓉中路三段2</w:t>
      </w:r>
      <w:r>
        <w:rPr>
          <w:rFonts w:ascii="仿宋" w:hAnsi="仿宋" w:eastAsia="仿宋" w:cs="仿宋"/>
        </w:rPr>
        <w:t>66号弘林大厦</w:t>
      </w:r>
      <w:r>
        <w:rPr>
          <w:rFonts w:hint="eastAsia" w:ascii="仿宋" w:hAnsi="仿宋" w:eastAsia="仿宋" w:cs="仿宋"/>
        </w:rPr>
        <w:t>7</w:t>
      </w:r>
      <w:r>
        <w:rPr>
          <w:rFonts w:ascii="仿宋" w:hAnsi="仿宋" w:eastAsia="仿宋" w:cs="仿宋"/>
        </w:rPr>
        <w:t>07房</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电话：0731-82561635</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传真：0731-82561635-8001</w:t>
      </w:r>
    </w:p>
    <w:p>
      <w:pPr>
        <w:pStyle w:val="9"/>
        <w:pBdr>
          <w:bottom w:val="none" w:color="auto" w:sz="0" w:space="0"/>
        </w:pBdr>
        <w:jc w:val="both"/>
        <w:rPr>
          <w:rFonts w:ascii="仿宋" w:hAnsi="仿宋" w:eastAsia="仿宋" w:cs="仿宋"/>
        </w:rPr>
      </w:pPr>
      <w:r>
        <w:rPr>
          <w:rFonts w:hint="eastAsia" w:ascii="仿宋" w:hAnsi="仿宋" w:eastAsia="仿宋" w:cs="仿宋"/>
        </w:rPr>
        <w:t>邮编：41000</w:t>
      </w:r>
      <w:r>
        <w:rPr>
          <w:rFonts w:ascii="仿宋" w:hAnsi="仿宋" w:eastAsia="仿宋" w:cs="仿宋"/>
        </w:rPr>
        <w:t>0</w:t>
      </w:r>
    </w:p>
    <w:p>
      <w:pPr>
        <w:jc w:val="center"/>
        <w:rPr>
          <w:rStyle w:val="15"/>
          <w:rFonts w:ascii="仿宋" w:hAnsi="仿宋" w:eastAsia="仿宋" w:cs="仿宋"/>
          <w:i/>
          <w:sz w:val="32"/>
          <w:szCs w:val="32"/>
        </w:rPr>
      </w:pPr>
      <w:r>
        <w:rPr>
          <w:rFonts w:ascii="仿宋" w:hAnsi="仿宋" w:eastAsia="仿宋" w:cs="仿宋"/>
          <w:i/>
        </w:rPr>
        <w:pict>
          <v:line id="直接连接符 1" o:spid="_x0000_s1028" o:spt="20" style="position:absolute;left:0pt;flip:y;margin-left:-0.05pt;margin-top:3.45pt;height:0pt;width:174pt;z-index:251659264;mso-width-relative:page;mso-height-relative:page;" coordsize="21600,21600" o:gfxdata="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A4nav0wAAAAcBAAAPAAAAAAAAAAEAIAAA&#10;ACIAAABkcnMvZG93bnJldi54bWxQSwECFAAUAAAACACHTuJAxZpIwdgBAACUAwAADgAAAAAAAAAB&#10;ACAAAAAiAQAAZHJzL2Uyb0RvYy54bWxQSwUGAAAAAAYABgBZAQAAbAUAAAAA&#10;">
            <v:path arrowok="t"/>
            <v:fill focussize="0,0"/>
            <v:stroke/>
            <v:imagedata o:title=""/>
            <o:lock v:ext="edit"/>
          </v:line>
        </w:pict>
      </w:r>
    </w:p>
    <w:p>
      <w:pPr>
        <w:jc w:val="center"/>
        <w:rPr>
          <w:rStyle w:val="15"/>
          <w:rFonts w:ascii="仿宋" w:hAnsi="仿宋" w:eastAsia="仿宋" w:cs="仿宋"/>
          <w:sz w:val="36"/>
          <w:szCs w:val="36"/>
        </w:rPr>
      </w:pPr>
      <w:r>
        <w:rPr>
          <w:rStyle w:val="15"/>
          <w:rFonts w:hint="eastAsia" w:ascii="仿宋" w:hAnsi="仿宋" w:eastAsia="仿宋" w:cs="仿宋"/>
          <w:sz w:val="36"/>
          <w:szCs w:val="36"/>
        </w:rPr>
        <w:t>20</w:t>
      </w:r>
      <w:r>
        <w:rPr>
          <w:rStyle w:val="15"/>
          <w:rFonts w:ascii="仿宋" w:hAnsi="仿宋" w:eastAsia="仿宋" w:cs="仿宋"/>
          <w:sz w:val="36"/>
          <w:szCs w:val="36"/>
        </w:rPr>
        <w:t>20</w:t>
      </w:r>
      <w:r>
        <w:rPr>
          <w:rStyle w:val="15"/>
          <w:rFonts w:hint="eastAsia" w:ascii="仿宋" w:hAnsi="仿宋" w:eastAsia="仿宋" w:cs="仿宋"/>
          <w:sz w:val="36"/>
          <w:szCs w:val="36"/>
        </w:rPr>
        <w:t>年度南县司法局公共法律服务</w:t>
      </w:r>
    </w:p>
    <w:p>
      <w:pPr>
        <w:jc w:val="center"/>
        <w:rPr>
          <w:rFonts w:ascii="仿宋" w:hAnsi="仿宋" w:eastAsia="仿宋" w:cs="仿宋"/>
          <w:sz w:val="36"/>
          <w:szCs w:val="36"/>
        </w:rPr>
      </w:pPr>
      <w:r>
        <w:rPr>
          <w:rStyle w:val="15"/>
          <w:rFonts w:hint="eastAsia" w:ascii="仿宋" w:hAnsi="仿宋" w:eastAsia="仿宋" w:cs="仿宋"/>
          <w:sz w:val="36"/>
          <w:szCs w:val="36"/>
        </w:rPr>
        <w:t>财政专项资金绩效评价报告</w:t>
      </w:r>
    </w:p>
    <w:p>
      <w:pPr>
        <w:jc w:val="right"/>
        <w:rPr>
          <w:rFonts w:ascii="仿宋" w:hAnsi="仿宋" w:eastAsia="仿宋" w:cs="仿宋"/>
          <w:sz w:val="24"/>
        </w:rPr>
      </w:pPr>
      <w:r>
        <w:rPr>
          <w:rFonts w:hint="eastAsia" w:ascii="仿宋" w:hAnsi="仿宋" w:eastAsia="仿宋" w:cs="仿宋"/>
          <w:sz w:val="24"/>
        </w:rPr>
        <w:t>勤信湘专字【20</w:t>
      </w:r>
      <w:r>
        <w:rPr>
          <w:rFonts w:ascii="仿宋" w:hAnsi="仿宋" w:eastAsia="仿宋" w:cs="仿宋"/>
          <w:sz w:val="24"/>
        </w:rPr>
        <w:t>21</w:t>
      </w:r>
      <w:r>
        <w:rPr>
          <w:rFonts w:hint="eastAsia" w:ascii="仿宋" w:hAnsi="仿宋" w:eastAsia="仿宋" w:cs="仿宋"/>
          <w:sz w:val="24"/>
        </w:rPr>
        <w:t>】第00</w:t>
      </w:r>
      <w:r>
        <w:rPr>
          <w:rFonts w:hint="eastAsia" w:ascii="仿宋" w:hAnsi="仿宋" w:eastAsia="仿宋" w:cs="仿宋"/>
          <w:sz w:val="24"/>
          <w:lang w:val="en-US" w:eastAsia="zh-CN"/>
        </w:rPr>
        <w:t>59</w:t>
      </w:r>
      <w:bookmarkStart w:id="0" w:name="_GoBack"/>
      <w:bookmarkEnd w:id="0"/>
      <w:r>
        <w:rPr>
          <w:rFonts w:hint="eastAsia" w:ascii="仿宋" w:hAnsi="仿宋" w:eastAsia="仿宋" w:cs="仿宋"/>
          <w:sz w:val="24"/>
        </w:rPr>
        <w:t>号</w:t>
      </w:r>
    </w:p>
    <w:p>
      <w:pPr>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为贯彻落实全面实施预算绩效管理的要求，规范和加强财政专项资金的管理，提高专项资金的使用效益，根据《中共中央国务院关于全面实施预算绩效管理的意见》（中发〔2018〕34号）、《项目支出绩效评价管理办法》（财预〔2020〕10号）、《中共湖南省委办公厅湖南省人民政府办公厅关于全面实施预算绩效管理的实施意见》（湘办发〔2019〕10号）和《南县人民政府关于全面推进预算绩效管理的意见》（南政发〔2014〕7号）等文件要求，受南县财政局委托，中勤万信会计师事务所湖南分所于20</w:t>
      </w:r>
      <w:r>
        <w:rPr>
          <w:rFonts w:ascii="仿宋" w:hAnsi="仿宋" w:eastAsia="仿宋" w:cs="仿宋"/>
          <w:sz w:val="32"/>
          <w:szCs w:val="32"/>
        </w:rPr>
        <w:t>21</w:t>
      </w:r>
      <w:r>
        <w:rPr>
          <w:rFonts w:hint="eastAsia" w:ascii="仿宋" w:hAnsi="仿宋" w:eastAsia="仿宋" w:cs="仿宋"/>
          <w:sz w:val="32"/>
          <w:szCs w:val="32"/>
        </w:rPr>
        <w:t>年</w:t>
      </w:r>
      <w:r>
        <w:rPr>
          <w:rFonts w:ascii="仿宋" w:hAnsi="仿宋" w:eastAsia="仿宋" w:cs="仿宋"/>
          <w:sz w:val="32"/>
          <w:szCs w:val="32"/>
        </w:rPr>
        <w:t>5</w:t>
      </w:r>
      <w:r>
        <w:rPr>
          <w:rFonts w:hint="eastAsia" w:ascii="仿宋" w:hAnsi="仿宋" w:eastAsia="仿宋" w:cs="仿宋"/>
          <w:sz w:val="32"/>
          <w:szCs w:val="32"/>
        </w:rPr>
        <w:t>月</w:t>
      </w:r>
      <w:r>
        <w:rPr>
          <w:rFonts w:ascii="仿宋" w:hAnsi="仿宋" w:eastAsia="仿宋" w:cs="仿宋"/>
          <w:sz w:val="32"/>
          <w:szCs w:val="32"/>
        </w:rPr>
        <w:t>12</w:t>
      </w:r>
      <w:r>
        <w:rPr>
          <w:rFonts w:hint="eastAsia" w:ascii="仿宋" w:hAnsi="仿宋" w:eastAsia="仿宋" w:cs="仿宋"/>
          <w:sz w:val="32"/>
          <w:szCs w:val="32"/>
        </w:rPr>
        <w:t>日至</w:t>
      </w:r>
      <w:r>
        <w:rPr>
          <w:rFonts w:ascii="仿宋" w:hAnsi="仿宋" w:eastAsia="仿宋" w:cs="仿宋"/>
          <w:sz w:val="32"/>
          <w:szCs w:val="32"/>
        </w:rPr>
        <w:t>6</w:t>
      </w:r>
      <w:r>
        <w:rPr>
          <w:rFonts w:hint="eastAsia" w:ascii="仿宋" w:hAnsi="仿宋" w:eastAsia="仿宋" w:cs="仿宋"/>
          <w:sz w:val="32"/>
          <w:szCs w:val="32"/>
        </w:rPr>
        <w:t>月</w:t>
      </w:r>
      <w:r>
        <w:rPr>
          <w:rFonts w:ascii="仿宋" w:hAnsi="仿宋" w:eastAsia="仿宋" w:cs="仿宋"/>
          <w:sz w:val="32"/>
          <w:szCs w:val="32"/>
        </w:rPr>
        <w:t>3</w:t>
      </w:r>
      <w:r>
        <w:rPr>
          <w:rFonts w:hint="eastAsia" w:ascii="仿宋" w:hAnsi="仿宋" w:eastAsia="仿宋" w:cs="仿宋"/>
          <w:sz w:val="32"/>
          <w:szCs w:val="32"/>
        </w:rPr>
        <w:t>日对20</w:t>
      </w:r>
      <w:r>
        <w:rPr>
          <w:rFonts w:ascii="仿宋" w:hAnsi="仿宋" w:eastAsia="仿宋" w:cs="仿宋"/>
          <w:sz w:val="32"/>
          <w:szCs w:val="32"/>
        </w:rPr>
        <w:t>20</w:t>
      </w:r>
      <w:r>
        <w:rPr>
          <w:rFonts w:hint="eastAsia" w:ascii="仿宋" w:hAnsi="仿宋" w:eastAsia="仿宋" w:cs="仿宋"/>
          <w:sz w:val="32"/>
          <w:szCs w:val="32"/>
        </w:rPr>
        <w:t>年度南县司法局公共法律服务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项目绩效评价情况报告如下：</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numPr>
          <w:ilvl w:val="0"/>
          <w:numId w:val="2"/>
        </w:numPr>
        <w:spacing w:before="0" w:after="0" w:line="580" w:lineRule="exact"/>
        <w:rPr>
          <w:rFonts w:ascii="仿宋" w:hAnsi="仿宋" w:eastAsia="仿宋" w:cs="仿宋"/>
        </w:rPr>
      </w:pPr>
      <w:r>
        <w:rPr>
          <w:rFonts w:hint="eastAsia" w:ascii="仿宋" w:hAnsi="仿宋" w:eastAsia="仿宋" w:cs="仿宋"/>
        </w:rPr>
        <w:t>项目基本情况</w:t>
      </w:r>
    </w:p>
    <w:p>
      <w:pPr>
        <w:ind w:firstLine="640" w:firstLineChars="200"/>
        <w:rPr>
          <w:rFonts w:ascii="仿宋" w:hAnsi="仿宋" w:eastAsia="仿宋" w:cs="仿宋"/>
          <w:sz w:val="32"/>
          <w:szCs w:val="32"/>
        </w:rPr>
      </w:pPr>
      <w:r>
        <w:rPr>
          <w:rFonts w:hint="eastAsia" w:ascii="仿宋" w:hAnsi="仿宋" w:eastAsia="仿宋" w:cs="仿宋"/>
          <w:sz w:val="32"/>
          <w:szCs w:val="32"/>
        </w:rPr>
        <w:t>法律援助是指</w:t>
      </w:r>
      <w:r>
        <w:rPr>
          <w:rFonts w:ascii="仿宋" w:hAnsi="仿宋" w:eastAsia="仿宋" w:cs="仿宋"/>
          <w:sz w:val="32"/>
          <w:szCs w:val="32"/>
        </w:rPr>
        <w:t>由政府设立的法律援助机构组织法律援助人员，为经济困难或者特殊案件的人给予减免收费提供法律服务的一项法律保障制度。公共法律服务专项的主要内容：（</w:t>
      </w:r>
      <w:r>
        <w:rPr>
          <w:rFonts w:hint="eastAsia" w:ascii="仿宋" w:hAnsi="仿宋" w:eastAsia="仿宋" w:cs="仿宋"/>
          <w:sz w:val="32"/>
          <w:szCs w:val="32"/>
        </w:rPr>
        <w:t>1</w:t>
      </w:r>
      <w:r>
        <w:rPr>
          <w:rFonts w:ascii="仿宋" w:hAnsi="仿宋" w:eastAsia="仿宋" w:cs="仿宋"/>
          <w:sz w:val="32"/>
          <w:szCs w:val="32"/>
        </w:rPr>
        <w:t>）负责受理、审查、审批法律援助案件；（</w:t>
      </w:r>
      <w:r>
        <w:rPr>
          <w:rFonts w:hint="eastAsia" w:ascii="仿宋" w:hAnsi="仿宋" w:eastAsia="仿宋" w:cs="仿宋"/>
          <w:sz w:val="32"/>
          <w:szCs w:val="32"/>
        </w:rPr>
        <w:t>2</w:t>
      </w:r>
      <w:r>
        <w:rPr>
          <w:rFonts w:ascii="仿宋" w:hAnsi="仿宋" w:eastAsia="仿宋" w:cs="仿宋"/>
          <w:sz w:val="32"/>
          <w:szCs w:val="32"/>
        </w:rPr>
        <w:t>）负责监督、回访法律援助案件办理情况；（</w:t>
      </w:r>
      <w:r>
        <w:rPr>
          <w:rFonts w:hint="eastAsia" w:ascii="仿宋" w:hAnsi="仿宋" w:eastAsia="仿宋" w:cs="仿宋"/>
          <w:sz w:val="32"/>
          <w:szCs w:val="32"/>
        </w:rPr>
        <w:t>3</w:t>
      </w:r>
      <w:r>
        <w:rPr>
          <w:rFonts w:ascii="仿宋" w:hAnsi="仿宋" w:eastAsia="仿宋" w:cs="仿宋"/>
          <w:sz w:val="32"/>
          <w:szCs w:val="32"/>
        </w:rPr>
        <w:t>）负责法律援助办结案件的补贴审定、公式；（</w:t>
      </w:r>
      <w:r>
        <w:rPr>
          <w:rFonts w:hint="eastAsia" w:ascii="仿宋" w:hAnsi="仿宋" w:eastAsia="仿宋" w:cs="仿宋"/>
          <w:sz w:val="32"/>
          <w:szCs w:val="32"/>
        </w:rPr>
        <w:t>4</w:t>
      </w:r>
      <w:r>
        <w:rPr>
          <w:rFonts w:ascii="仿宋" w:hAnsi="仿宋" w:eastAsia="仿宋" w:cs="仿宋"/>
          <w:sz w:val="32"/>
          <w:szCs w:val="32"/>
        </w:rPr>
        <w:t>）负责法律咨询、法律服务等相关工作；（5）负责法律援助中心律师注册、年检、培训工作；（</w:t>
      </w:r>
      <w:r>
        <w:rPr>
          <w:rFonts w:hint="eastAsia" w:ascii="仿宋" w:hAnsi="仿宋" w:eastAsia="仿宋" w:cs="仿宋"/>
          <w:sz w:val="32"/>
          <w:szCs w:val="32"/>
        </w:rPr>
        <w:t>6</w:t>
      </w:r>
      <w:r>
        <w:rPr>
          <w:rFonts w:ascii="仿宋" w:hAnsi="仿宋" w:eastAsia="仿宋" w:cs="仿宋"/>
          <w:sz w:val="32"/>
          <w:szCs w:val="32"/>
        </w:rPr>
        <w:t>）负责法律宣传等相关工作；（</w:t>
      </w:r>
      <w:r>
        <w:rPr>
          <w:rFonts w:hint="eastAsia" w:ascii="仿宋" w:hAnsi="仿宋" w:eastAsia="仿宋" w:cs="仿宋"/>
          <w:sz w:val="32"/>
          <w:szCs w:val="32"/>
        </w:rPr>
        <w:t>7</w:t>
      </w:r>
      <w:r>
        <w:rPr>
          <w:rFonts w:ascii="仿宋" w:hAnsi="仿宋" w:eastAsia="仿宋" w:cs="仿宋"/>
          <w:sz w:val="32"/>
          <w:szCs w:val="32"/>
        </w:rPr>
        <w:t>）负责公共法律服务中心及上级交办的其他工作。</w:t>
      </w:r>
    </w:p>
    <w:p>
      <w:pPr>
        <w:ind w:firstLine="640" w:firstLineChars="200"/>
        <w:rPr>
          <w:rFonts w:ascii="仿宋" w:hAnsi="仿宋" w:eastAsia="仿宋" w:cs="仿宋"/>
          <w:sz w:val="32"/>
          <w:szCs w:val="32"/>
        </w:rPr>
      </w:pPr>
      <w:r>
        <w:rPr>
          <w:rFonts w:ascii="仿宋" w:hAnsi="仿宋" w:eastAsia="仿宋" w:cs="仿宋"/>
          <w:sz w:val="32"/>
          <w:szCs w:val="32"/>
        </w:rPr>
        <w:t>南县司法局公共法律服务专项资金主要用于受理公民法律咨询，承办协调县直法律服务机构和社会志愿者办理法律援助案件，保证法律援助工作的正常开展提供经费保障，包含用于完成为办理法律援助案件的律师按要求发放补贴；培训和宣传经费；因办理法律援助案件产生的其他必要开支。</w:t>
      </w:r>
    </w:p>
    <w:p>
      <w:pPr>
        <w:pStyle w:val="3"/>
        <w:numPr>
          <w:ilvl w:val="0"/>
          <w:numId w:val="2"/>
        </w:numPr>
        <w:spacing w:before="0" w:after="0" w:line="580" w:lineRule="exact"/>
        <w:rPr>
          <w:rFonts w:ascii="仿宋" w:hAnsi="仿宋" w:eastAsia="仿宋" w:cs="仿宋"/>
        </w:rPr>
      </w:pPr>
      <w:r>
        <w:rPr>
          <w:rFonts w:ascii="仿宋" w:hAnsi="仿宋" w:eastAsia="仿宋" w:cs="仿宋"/>
        </w:rPr>
        <w:t>绩效目标</w:t>
      </w:r>
    </w:p>
    <w:p>
      <w:pPr>
        <w:ind w:firstLine="640" w:firstLineChars="200"/>
        <w:rPr>
          <w:rFonts w:ascii="仿宋" w:hAnsi="仿宋" w:eastAsia="仿宋" w:cs="仿宋"/>
          <w:sz w:val="32"/>
          <w:szCs w:val="32"/>
        </w:rPr>
      </w:pPr>
      <w:r>
        <w:rPr>
          <w:rFonts w:hint="eastAsia" w:ascii="仿宋" w:hAnsi="仿宋" w:eastAsia="仿宋" w:cs="仿宋"/>
          <w:sz w:val="32"/>
          <w:szCs w:val="32"/>
        </w:rPr>
        <w:t>南县司法局的公共法律服务专项是为保证法律援助工作的正常开展提供经费保障，依法受理法律援助申请，最大限度的为全县困难群众免费提供法律援助、法律咨询，维护社会和谐稳定。</w:t>
      </w:r>
    </w:p>
    <w:p>
      <w:pPr>
        <w:numPr>
          <w:ilvl w:val="0"/>
          <w:numId w:val="1"/>
        </w:numPr>
        <w:spacing w:line="580" w:lineRule="exact"/>
        <w:outlineLvl w:val="0"/>
        <w:rPr>
          <w:rFonts w:ascii="黑体" w:hAnsi="黑体" w:eastAsia="黑体" w:cs="仿宋"/>
          <w:b/>
          <w:bCs/>
          <w:kern w:val="44"/>
          <w:sz w:val="32"/>
          <w:szCs w:val="44"/>
        </w:rPr>
      </w:pPr>
      <w:r>
        <w:rPr>
          <w:rFonts w:hint="eastAsia" w:ascii="黑体" w:hAnsi="黑体" w:eastAsia="黑体" w:cs="仿宋"/>
          <w:b/>
          <w:bCs/>
          <w:kern w:val="44"/>
          <w:sz w:val="32"/>
          <w:szCs w:val="44"/>
        </w:rPr>
        <w:t>绩效评价工作情况</w:t>
      </w:r>
    </w:p>
    <w:p>
      <w:pPr>
        <w:numPr>
          <w:ilvl w:val="0"/>
          <w:numId w:val="3"/>
        </w:numPr>
        <w:spacing w:line="580" w:lineRule="exact"/>
        <w:outlineLvl w:val="1"/>
        <w:rPr>
          <w:rFonts w:ascii="仿宋" w:hAnsi="仿宋" w:eastAsia="仿宋" w:cs="仿宋"/>
          <w:b/>
          <w:bCs/>
          <w:sz w:val="32"/>
          <w:szCs w:val="32"/>
        </w:rPr>
      </w:pPr>
      <w:r>
        <w:rPr>
          <w:rFonts w:hint="eastAsia" w:ascii="仿宋" w:hAnsi="仿宋" w:eastAsia="仿宋" w:cs="仿宋"/>
          <w:b/>
          <w:bCs/>
          <w:sz w:val="32"/>
          <w:szCs w:val="32"/>
        </w:rPr>
        <w:t>绩效评价目的</w:t>
      </w:r>
    </w:p>
    <w:p>
      <w:pPr>
        <w:ind w:firstLine="640" w:firstLineChars="200"/>
        <w:rPr>
          <w:rFonts w:ascii="仿宋" w:hAnsi="仿宋" w:eastAsia="仿宋" w:cs="仿宋"/>
          <w:sz w:val="32"/>
          <w:szCs w:val="32"/>
        </w:rPr>
      </w:pPr>
      <w:r>
        <w:rPr>
          <w:rFonts w:hint="eastAsia" w:ascii="仿宋" w:hAnsi="仿宋" w:eastAsia="仿宋" w:cs="仿宋"/>
          <w:sz w:val="32"/>
          <w:szCs w:val="32"/>
        </w:rPr>
        <w:t>通过对南县司法局2020年公共法律服务专项资金的绩效评价，全面跟踪公共法律服务专项资金的来源、使用和管理情况；项目的申报、项目的审批、项目的组织实施及事后的考核情况；评价公共法律服务专项资金使用是否达到预期目标，资金使用是否有效益；总结经验，分析问题，强化公共法律服务专项资金的管理，为以后公共法律服务专项资金的管理和预算安排提供参考依据。</w:t>
      </w:r>
    </w:p>
    <w:p>
      <w:pPr>
        <w:numPr>
          <w:ilvl w:val="0"/>
          <w:numId w:val="3"/>
        </w:numPr>
        <w:spacing w:line="580" w:lineRule="exact"/>
        <w:outlineLvl w:val="1"/>
        <w:rPr>
          <w:rFonts w:ascii="仿宋" w:hAnsi="仿宋" w:eastAsia="仿宋" w:cs="仿宋"/>
          <w:b/>
          <w:bCs/>
          <w:sz w:val="32"/>
          <w:szCs w:val="32"/>
        </w:rPr>
      </w:pPr>
      <w:r>
        <w:rPr>
          <w:rFonts w:hint="eastAsia" w:ascii="仿宋" w:hAnsi="仿宋" w:eastAsia="仿宋" w:cs="仿宋"/>
          <w:b/>
          <w:bCs/>
          <w:sz w:val="32"/>
          <w:szCs w:val="32"/>
        </w:rPr>
        <w:t>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遵循科学公正、统筹兼顾、激励约束、公开透明原则。</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财政部《财政支出绩效评价管理暂行办法》（财预〔2011〕285号）、《湖南省预算绩效管理工作规程（试行）》（湘财绩〔2013〕28号）、《湖南省人民政府关于全面推进预算绩效管理的意见》（湘政发〔2012〕33号）、</w:t>
      </w:r>
      <w:r>
        <w:rPr>
          <w:rFonts w:hint="eastAsia" w:ascii="Times New Roman" w:hAnsi="Times New Roman" w:eastAsia="仿宋" w:cs="Times New Roman"/>
          <w:sz w:val="32"/>
          <w:szCs w:val="32"/>
          <w:shd w:val="clear" w:color="auto" w:fill="FFFFFF"/>
        </w:rPr>
        <w:t>《关于对2020年度专项资金开展重点绩效评价工作的通知》（南财绩函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）等政策文件</w:t>
      </w:r>
      <w:r>
        <w:rPr>
          <w:rFonts w:hint="eastAsia" w:ascii="仿宋" w:hAnsi="仿宋" w:eastAsia="仿宋" w:cs="仿宋"/>
          <w:sz w:val="32"/>
          <w:szCs w:val="32"/>
        </w:rPr>
        <w:t>，按照相关性、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制定评价指标体系。指标体系分项目申请、资金分配、资金使用管理、项目实施过程和项目成果和效益六个部分，根据项目实施的具体情况对个性指标进行了调整细化形成南县《2020年度司法局公共法律服务项目资金绩效评价指标评价表》（附件</w:t>
      </w:r>
      <w:r>
        <w:rPr>
          <w:rFonts w:ascii="仿宋" w:hAnsi="仿宋" w:eastAsia="仿宋" w:cs="仿宋"/>
          <w:sz w:val="32"/>
          <w:szCs w:val="32"/>
        </w:rPr>
        <w:t>2</w:t>
      </w:r>
      <w:r>
        <w:rPr>
          <w:rFonts w:hint="eastAsia" w:ascii="仿宋" w:hAnsi="仿宋" w:eastAsia="仿宋" w:cs="仿宋"/>
          <w:sz w:val="32"/>
          <w:szCs w:val="32"/>
        </w:rPr>
        <w:t>）。</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p>
    <w:p>
      <w:pPr>
        <w:spacing w:line="630" w:lineRule="exact"/>
        <w:ind w:firstLine="640" w:firstLineChars="200"/>
        <w:rPr>
          <w:rFonts w:ascii="Times New Roman" w:hAnsi="Times New Roman" w:eastAsia="仿宋"/>
          <w:sz w:val="32"/>
          <w:szCs w:val="32"/>
        </w:rPr>
      </w:pPr>
      <w:r>
        <w:rPr>
          <w:rFonts w:hint="eastAsia" w:ascii="仿宋" w:hAnsi="仿宋" w:eastAsia="仿宋" w:cs="仿宋"/>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5月下旬前往南县司法局</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4、绩效评价工作实施过程</w:t>
      </w:r>
    </w:p>
    <w:p>
      <w:pPr>
        <w:spacing w:line="630" w:lineRule="exact"/>
        <w:ind w:firstLine="640" w:firstLineChars="200"/>
        <w:rPr>
          <w:rFonts w:ascii="仿宋" w:hAnsi="仿宋" w:eastAsia="仿宋" w:cs="仿宋"/>
          <w:sz w:val="32"/>
          <w:szCs w:val="32"/>
        </w:rPr>
      </w:pPr>
      <w:r>
        <w:rPr>
          <w:rFonts w:ascii="Times New Roman" w:hAnsi="Times New Roman" w:eastAsia="仿宋"/>
          <w:sz w:val="32"/>
          <w:szCs w:val="32"/>
        </w:rPr>
        <w:t>通过现场评价，</w:t>
      </w: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深入项目实施单位，实地查看项目现场，查阅相关资料，获取了大量一手资料，结合项目单位自评情况，通过对项目进行统计分析，采用定量与定性相结合的方法，</w:t>
      </w:r>
      <w:r>
        <w:rPr>
          <w:rFonts w:hint="eastAsia" w:ascii="Times New Roman" w:hAnsi="Times New Roman" w:eastAsia="仿宋"/>
          <w:sz w:val="32"/>
          <w:szCs w:val="32"/>
        </w:rPr>
        <w:t>形成评价结论，根据南县《</w:t>
      </w:r>
      <w:r>
        <w:rPr>
          <w:rFonts w:hint="eastAsia" w:ascii="仿宋" w:hAnsi="仿宋" w:eastAsia="仿宋" w:cs="仿宋"/>
          <w:sz w:val="32"/>
          <w:szCs w:val="32"/>
        </w:rPr>
        <w:t>2020年度司法局公共法律服务项目资金绩效评价指标评价表</w:t>
      </w:r>
      <w:r>
        <w:rPr>
          <w:rFonts w:hint="eastAsia" w:ascii="Times New Roman" w:hAnsi="Times New Roman" w:eastAsia="仿宋"/>
          <w:sz w:val="32"/>
          <w:szCs w:val="32"/>
        </w:rPr>
        <w:t>》进行评分，最终形成书面报告。</w:t>
      </w:r>
    </w:p>
    <w:p>
      <w:pPr>
        <w:numPr>
          <w:ilvl w:val="0"/>
          <w:numId w:val="1"/>
        </w:numPr>
        <w:spacing w:line="580" w:lineRule="exact"/>
        <w:outlineLvl w:val="0"/>
        <w:rPr>
          <w:rFonts w:ascii="黑体" w:hAnsi="黑体" w:eastAsia="黑体" w:cs="仿宋"/>
          <w:b/>
          <w:bCs/>
          <w:kern w:val="44"/>
          <w:sz w:val="32"/>
          <w:szCs w:val="44"/>
        </w:rPr>
      </w:pPr>
      <w:r>
        <w:rPr>
          <w:rFonts w:hint="eastAsia" w:ascii="黑体" w:hAnsi="黑体" w:eastAsia="黑体" w:cs="仿宋"/>
          <w:b/>
          <w:bCs/>
          <w:kern w:val="44"/>
          <w:sz w:val="32"/>
          <w:szCs w:val="44"/>
        </w:rPr>
        <w:t>现场评价专项资金的基本情况</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（一）项目资金到位情况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南县司法局20</w:t>
      </w:r>
      <w:r>
        <w:rPr>
          <w:rFonts w:ascii="仿宋" w:hAnsi="仿宋" w:eastAsia="仿宋" w:cs="仿宋"/>
          <w:sz w:val="32"/>
          <w:szCs w:val="32"/>
        </w:rPr>
        <w:t>20</w:t>
      </w:r>
      <w:r>
        <w:rPr>
          <w:rFonts w:hint="eastAsia" w:ascii="仿宋" w:hAnsi="仿宋" w:eastAsia="仿宋" w:cs="仿宋"/>
          <w:sz w:val="32"/>
          <w:szCs w:val="32"/>
        </w:rPr>
        <w:t>年度公共法律服务专项资金批准预算</w:t>
      </w:r>
      <w:r>
        <w:rPr>
          <w:rFonts w:ascii="仿宋" w:hAnsi="仿宋" w:eastAsia="仿宋" w:cs="仿宋"/>
          <w:sz w:val="32"/>
          <w:szCs w:val="32"/>
        </w:rPr>
        <w:t>37.8</w:t>
      </w:r>
      <w:r>
        <w:rPr>
          <w:rFonts w:hint="eastAsia" w:ascii="仿宋" w:hAnsi="仿宋" w:eastAsia="仿宋" w:cs="仿宋"/>
          <w:sz w:val="32"/>
          <w:szCs w:val="32"/>
        </w:rPr>
        <w:t>万元。截止2020年12月31日实际到位资金合计</w:t>
      </w:r>
      <w:r>
        <w:rPr>
          <w:rFonts w:ascii="仿宋" w:hAnsi="仿宋" w:eastAsia="仿宋" w:cs="仿宋"/>
          <w:sz w:val="32"/>
          <w:szCs w:val="32"/>
        </w:rPr>
        <w:t>37.8</w:t>
      </w:r>
      <w:r>
        <w:rPr>
          <w:rFonts w:hint="eastAsia" w:ascii="仿宋" w:hAnsi="仿宋" w:eastAsia="仿宋" w:cs="仿宋"/>
          <w:sz w:val="32"/>
          <w:szCs w:val="32"/>
        </w:rPr>
        <w:t>万元，该专项资金全部为县财政本级专项，资金到位率100%。。</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（二）项目资金使用情况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2020年县财政局已拨付公共法律服务专项资金</w:t>
      </w:r>
      <w:r>
        <w:rPr>
          <w:rFonts w:ascii="仿宋" w:hAnsi="仿宋" w:eastAsia="仿宋" w:cs="仿宋"/>
          <w:sz w:val="32"/>
          <w:szCs w:val="32"/>
        </w:rPr>
        <w:t>37.8</w:t>
      </w:r>
      <w:r>
        <w:rPr>
          <w:rFonts w:hint="eastAsia" w:ascii="仿宋" w:hAnsi="仿宋" w:eastAsia="仿宋" w:cs="仿宋"/>
          <w:sz w:val="32"/>
          <w:szCs w:val="32"/>
        </w:rPr>
        <w:t>万元，实际支出</w:t>
      </w:r>
      <w:r>
        <w:rPr>
          <w:rFonts w:ascii="仿宋" w:hAnsi="仿宋" w:eastAsia="仿宋" w:cs="仿宋"/>
          <w:sz w:val="32"/>
          <w:szCs w:val="32"/>
        </w:rPr>
        <w:t>18.90</w:t>
      </w:r>
      <w:r>
        <w:rPr>
          <w:rFonts w:hint="eastAsia" w:ascii="仿宋" w:hAnsi="仿宋" w:eastAsia="仿宋" w:cs="仿宋"/>
          <w:sz w:val="32"/>
          <w:szCs w:val="32"/>
        </w:rPr>
        <w:t>万元，预算完成率</w:t>
      </w:r>
      <w:r>
        <w:rPr>
          <w:rFonts w:ascii="仿宋" w:hAnsi="仿宋" w:eastAsia="仿宋" w:cs="仿宋"/>
          <w:sz w:val="32"/>
          <w:szCs w:val="32"/>
        </w:rPr>
        <w:t>50.01</w:t>
      </w:r>
      <w:r>
        <w:rPr>
          <w:rFonts w:hint="eastAsia" w:ascii="仿宋" w:hAnsi="仿宋" w:eastAsia="仿宋" w:cs="仿宋"/>
          <w:sz w:val="32"/>
          <w:szCs w:val="32"/>
        </w:rPr>
        <w:t>%，剩余资金已被司法局统筹使用。具体支出列示如下表：</w:t>
      </w:r>
    </w:p>
    <w:tbl>
      <w:tblPr>
        <w:tblStyle w:val="12"/>
        <w:tblW w:w="9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23"/>
              <w:jc w:val="center"/>
              <w:rPr>
                <w:rFonts w:ascii="仿宋" w:hAnsi="仿宋" w:eastAsia="仿宋" w:cs="仿宋"/>
                <w:kern w:val="2"/>
                <w:sz w:val="32"/>
                <w:szCs w:val="32"/>
              </w:rPr>
            </w:pPr>
            <w:r>
              <w:rPr>
                <w:rFonts w:hint="eastAsia" w:ascii="仿宋" w:hAnsi="仿宋" w:eastAsia="仿宋" w:cs="仿宋"/>
                <w:kern w:val="2"/>
                <w:sz w:val="32"/>
                <w:szCs w:val="32"/>
              </w:rPr>
              <w:t>资金用途</w:t>
            </w:r>
          </w:p>
        </w:tc>
        <w:tc>
          <w:tcPr>
            <w:tcW w:w="3961" w:type="dxa"/>
            <w:vAlign w:val="center"/>
          </w:tcPr>
          <w:p>
            <w:pPr>
              <w:pStyle w:val="23"/>
              <w:jc w:val="center"/>
              <w:rPr>
                <w:rFonts w:ascii="仿宋" w:hAnsi="仿宋" w:eastAsia="仿宋" w:cs="仿宋"/>
                <w:kern w:val="2"/>
                <w:sz w:val="32"/>
                <w:szCs w:val="32"/>
              </w:rPr>
            </w:pPr>
            <w:r>
              <w:rPr>
                <w:rFonts w:hint="eastAsia" w:ascii="仿宋" w:hAnsi="仿宋" w:eastAsia="仿宋" w:cs="仿宋"/>
                <w:kern w:val="2"/>
                <w:sz w:val="32"/>
                <w:szCs w:val="32"/>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办公用房维修</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37,659.00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律师值班补助</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36,700.00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印刷费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32,432.00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办公费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26,030.00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公职人员值班补助</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21,600.00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公务接待餐费及加班餐费、会议费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11,884.00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律师办案补贴</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8,500.00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差旅费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4,788.00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租车费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4,090.00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培训费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2,928.00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电话费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2,312.40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助残</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合计</w:t>
            </w:r>
          </w:p>
        </w:tc>
        <w:tc>
          <w:tcPr>
            <w:tcW w:w="3961" w:type="dxa"/>
            <w:vAlign w:val="center"/>
          </w:tcPr>
          <w:p>
            <w:pPr>
              <w:pStyle w:val="23"/>
              <w:jc w:val="right"/>
              <w:rPr>
                <w:rFonts w:ascii="仿宋" w:hAnsi="仿宋" w:eastAsia="仿宋" w:cs="仿宋"/>
                <w:kern w:val="2"/>
                <w:sz w:val="32"/>
                <w:szCs w:val="32"/>
              </w:rPr>
            </w:pPr>
            <w:r>
              <w:rPr>
                <w:rFonts w:ascii="仿宋" w:hAnsi="仿宋" w:eastAsia="仿宋" w:cs="仿宋"/>
                <w:kern w:val="2"/>
                <w:sz w:val="32"/>
                <w:szCs w:val="32"/>
              </w:rPr>
              <w:t>189,023.40</w:t>
            </w:r>
          </w:p>
        </w:tc>
      </w:tr>
    </w:tbl>
    <w:p>
      <w:pPr>
        <w:pStyle w:val="35"/>
        <w:numPr>
          <w:ilvl w:val="0"/>
          <w:numId w:val="3"/>
        </w:numPr>
        <w:ind w:firstLineChars="0"/>
        <w:rPr>
          <w:rFonts w:ascii="仿宋" w:hAnsi="仿宋" w:eastAsia="仿宋" w:cs="仿宋"/>
          <w:bCs/>
          <w:sz w:val="32"/>
          <w:szCs w:val="32"/>
        </w:rPr>
      </w:pPr>
      <w:r>
        <w:rPr>
          <w:rFonts w:ascii="仿宋" w:hAnsi="仿宋" w:eastAsia="仿宋" w:cs="仿宋"/>
          <w:bCs/>
          <w:sz w:val="32"/>
          <w:szCs w:val="32"/>
        </w:rPr>
        <w:t>项目资金管理情况</w:t>
      </w:r>
    </w:p>
    <w:p>
      <w:pPr>
        <w:ind w:firstLine="640" w:firstLineChars="200"/>
        <w:rPr>
          <w:rFonts w:ascii="仿宋" w:hAnsi="仿宋" w:eastAsia="仿宋" w:cs="仿宋"/>
          <w:bCs/>
          <w:sz w:val="32"/>
          <w:szCs w:val="32"/>
        </w:rPr>
      </w:pPr>
      <w:r>
        <w:rPr>
          <w:rFonts w:hint="eastAsia" w:ascii="仿宋" w:hAnsi="仿宋" w:eastAsia="仿宋" w:cs="仿宋"/>
          <w:bCs/>
          <w:sz w:val="32"/>
          <w:szCs w:val="32"/>
        </w:rPr>
        <w:t>南县司法局未制定公共法律服务专项资金管理办法，财务管理制度有待加强，公共法律服务专项资金进行了单独的会计核算。</w:t>
      </w:r>
    </w:p>
    <w:p>
      <w:pPr>
        <w:numPr>
          <w:ilvl w:val="0"/>
          <w:numId w:val="1"/>
        </w:numPr>
        <w:spacing w:line="580" w:lineRule="exact"/>
        <w:outlineLvl w:val="0"/>
        <w:rPr>
          <w:rFonts w:ascii="黑体" w:hAnsi="黑体" w:eastAsia="黑体" w:cs="仿宋"/>
          <w:b/>
          <w:bCs/>
          <w:kern w:val="44"/>
          <w:sz w:val="32"/>
          <w:szCs w:val="44"/>
        </w:rPr>
      </w:pPr>
      <w:r>
        <w:rPr>
          <w:rFonts w:ascii="黑体" w:hAnsi="黑体" w:eastAsia="黑体" w:cs="仿宋"/>
          <w:b/>
          <w:bCs/>
          <w:kern w:val="44"/>
          <w:sz w:val="32"/>
          <w:szCs w:val="44"/>
        </w:rPr>
        <w:t>绩效评价结论</w:t>
      </w:r>
    </w:p>
    <w:p>
      <w:pPr>
        <w:ind w:firstLine="640" w:firstLineChars="200"/>
        <w:rPr>
          <w:rFonts w:ascii="仿宋" w:hAnsi="仿宋" w:eastAsia="仿宋" w:cs="仿宋"/>
          <w:bCs/>
          <w:sz w:val="32"/>
          <w:szCs w:val="32"/>
        </w:rPr>
      </w:pPr>
      <w:r>
        <w:rPr>
          <w:rFonts w:ascii="仿宋" w:hAnsi="仿宋" w:eastAsia="仿宋" w:cs="仿宋"/>
          <w:bCs/>
          <w:sz w:val="32"/>
          <w:szCs w:val="32"/>
        </w:rPr>
        <w:t>根据本次专项资金绩效评价指标体系，从项目决策、过程、产出、效益四个维度进行评分，公共法律服务专项资金绩效评价综合得分为78分，绩效等级为“</w:t>
      </w:r>
      <w:r>
        <w:rPr>
          <w:rFonts w:hint="eastAsia" w:ascii="仿宋" w:hAnsi="仿宋" w:eastAsia="仿宋" w:cs="仿宋"/>
          <w:bCs/>
          <w:sz w:val="32"/>
          <w:szCs w:val="32"/>
        </w:rPr>
        <w:t>合格</w:t>
      </w:r>
      <w:r>
        <w:rPr>
          <w:rFonts w:ascii="仿宋" w:hAnsi="仿宋" w:eastAsia="仿宋" w:cs="仿宋"/>
          <w:bCs/>
          <w:sz w:val="32"/>
          <w:szCs w:val="32"/>
        </w:rPr>
        <w:t>”。</w:t>
      </w:r>
      <w:r>
        <w:rPr>
          <w:rFonts w:hint="eastAsia"/>
        </w:rPr>
        <w:t xml:space="preserve"> </w:t>
      </w:r>
      <w:r>
        <w:rPr>
          <w:rFonts w:hint="eastAsia" w:ascii="仿宋" w:hAnsi="仿宋" w:eastAsia="仿宋" w:cs="仿宋"/>
          <w:bCs/>
          <w:sz w:val="32"/>
          <w:szCs w:val="32"/>
        </w:rPr>
        <w:t>其中项目决算总分20分，评价得分</w:t>
      </w:r>
      <w:r>
        <w:rPr>
          <w:rFonts w:ascii="仿宋" w:hAnsi="仿宋" w:eastAsia="仿宋" w:cs="仿宋"/>
          <w:bCs/>
          <w:sz w:val="32"/>
          <w:szCs w:val="32"/>
        </w:rPr>
        <w:t>12</w:t>
      </w:r>
      <w:r>
        <w:rPr>
          <w:rFonts w:hint="eastAsia" w:ascii="仿宋" w:hAnsi="仿宋" w:eastAsia="仿宋" w:cs="仿宋"/>
          <w:bCs/>
          <w:sz w:val="32"/>
          <w:szCs w:val="32"/>
        </w:rPr>
        <w:t>分，主要扣分原因为绩效目标未量化、无年度工作计划、缺乏行之有效的专项资金管理办法、无资金分配计划；项目管理总分25分，评价得分1</w:t>
      </w:r>
      <w:r>
        <w:rPr>
          <w:rFonts w:ascii="仿宋" w:hAnsi="仿宋" w:eastAsia="仿宋" w:cs="仿宋"/>
          <w:bCs/>
          <w:sz w:val="32"/>
          <w:szCs w:val="32"/>
        </w:rPr>
        <w:t>4</w:t>
      </w:r>
      <w:r>
        <w:rPr>
          <w:rFonts w:hint="eastAsia" w:ascii="仿宋" w:hAnsi="仿宋" w:eastAsia="仿宋" w:cs="仿宋"/>
          <w:bCs/>
          <w:sz w:val="32"/>
          <w:szCs w:val="32"/>
        </w:rPr>
        <w:t>分，主要扣分原因为部分项目资金存在挤占现象、部分会计核算欠规范、项目未有年度计划、未制定项目管理制度；项目绩效总分55分，评价得分</w:t>
      </w:r>
      <w:r>
        <w:rPr>
          <w:rFonts w:ascii="仿宋" w:hAnsi="仿宋" w:eastAsia="仿宋" w:cs="仿宋"/>
          <w:bCs/>
          <w:sz w:val="32"/>
          <w:szCs w:val="32"/>
        </w:rPr>
        <w:t>52</w:t>
      </w:r>
      <w:r>
        <w:rPr>
          <w:rFonts w:hint="eastAsia" w:ascii="仿宋" w:hAnsi="仿宋" w:eastAsia="仿宋" w:cs="仿宋"/>
          <w:bCs/>
          <w:sz w:val="32"/>
          <w:szCs w:val="32"/>
        </w:rPr>
        <w:t>分，主要扣分原因为绩效目标未量化，未设置项目产出数量。</w:t>
      </w:r>
      <w:r>
        <w:rPr>
          <w:rFonts w:ascii="仿宋" w:hAnsi="仿宋" w:eastAsia="仿宋" w:cs="仿宋"/>
          <w:bCs/>
          <w:sz w:val="32"/>
          <w:szCs w:val="32"/>
        </w:rPr>
        <w:t>具体评分见附件2。</w:t>
      </w:r>
    </w:p>
    <w:p>
      <w:pPr>
        <w:pStyle w:val="2"/>
        <w:spacing w:before="0" w:after="0" w:line="580" w:lineRule="exact"/>
        <w:ind w:firstLine="640" w:firstLineChars="200"/>
        <w:rPr>
          <w:kern w:val="32"/>
        </w:rPr>
      </w:pPr>
      <w:r>
        <w:rPr>
          <w:rFonts w:hint="eastAsia"/>
          <w:kern w:val="32"/>
        </w:rPr>
        <w:t>五、专项资金主要绩效</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（一）加大援助力度，实现应援尽援</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为强化服务覆盖，南县积极扩大民生事项救援范围，加强对特殊群体服务，开通绿色通道。对建档立卡贫困户、低保户、残疾人、五保户免除经济困难审查。2</w:t>
      </w:r>
      <w:r>
        <w:rPr>
          <w:rFonts w:ascii="仿宋" w:hAnsi="仿宋" w:eastAsia="仿宋" w:cs="仿宋"/>
          <w:sz w:val="32"/>
          <w:szCs w:val="32"/>
        </w:rPr>
        <w:t>020年，南县法律援助中心全年受理法律援助案件</w:t>
      </w:r>
      <w:r>
        <w:rPr>
          <w:rFonts w:hint="eastAsia" w:ascii="仿宋" w:hAnsi="仿宋" w:eastAsia="仿宋" w:cs="仿宋"/>
          <w:sz w:val="32"/>
          <w:szCs w:val="32"/>
        </w:rPr>
        <w:t>2</w:t>
      </w:r>
      <w:r>
        <w:rPr>
          <w:rFonts w:ascii="仿宋" w:hAnsi="仿宋" w:eastAsia="仿宋" w:cs="仿宋"/>
          <w:sz w:val="32"/>
          <w:szCs w:val="32"/>
        </w:rPr>
        <w:t>60件，其中民事</w:t>
      </w:r>
      <w:r>
        <w:rPr>
          <w:rFonts w:hint="eastAsia" w:ascii="仿宋" w:hAnsi="仿宋" w:eastAsia="仿宋" w:cs="仿宋"/>
          <w:sz w:val="32"/>
          <w:szCs w:val="32"/>
        </w:rPr>
        <w:t>1</w:t>
      </w:r>
      <w:r>
        <w:rPr>
          <w:rFonts w:ascii="仿宋" w:hAnsi="仿宋" w:eastAsia="仿宋" w:cs="仿宋"/>
          <w:sz w:val="32"/>
          <w:szCs w:val="32"/>
        </w:rPr>
        <w:t>90件，刑事</w:t>
      </w:r>
      <w:r>
        <w:rPr>
          <w:rFonts w:hint="eastAsia" w:ascii="仿宋" w:hAnsi="仿宋" w:eastAsia="仿宋" w:cs="仿宋"/>
          <w:sz w:val="32"/>
          <w:szCs w:val="32"/>
        </w:rPr>
        <w:t>6</w:t>
      </w:r>
      <w:r>
        <w:rPr>
          <w:rFonts w:ascii="仿宋" w:hAnsi="仿宋" w:eastAsia="仿宋" w:cs="仿宋"/>
          <w:sz w:val="32"/>
          <w:szCs w:val="32"/>
        </w:rPr>
        <w:t>9件，行政</w:t>
      </w:r>
      <w:r>
        <w:rPr>
          <w:rFonts w:hint="eastAsia" w:ascii="仿宋" w:hAnsi="仿宋" w:eastAsia="仿宋" w:cs="仿宋"/>
          <w:sz w:val="32"/>
          <w:szCs w:val="32"/>
        </w:rPr>
        <w:t>1件。民事法律援助方面，律师承办法律援助案件量占法律援助案件总量的9</w:t>
      </w:r>
      <w:r>
        <w:rPr>
          <w:rFonts w:ascii="仿宋" w:hAnsi="仿宋" w:eastAsia="仿宋" w:cs="仿宋"/>
          <w:sz w:val="32"/>
          <w:szCs w:val="32"/>
        </w:rPr>
        <w:t>0%以上。刑事法律援助方面，对于符合通知辩护条件法律援助的犯罪嫌疑人、被告人，法律援助机构指派律师提供辩护比例达</w:t>
      </w:r>
      <w:r>
        <w:rPr>
          <w:rFonts w:hint="eastAsia" w:ascii="仿宋" w:hAnsi="仿宋" w:eastAsia="仿宋" w:cs="仿宋"/>
          <w:sz w:val="32"/>
          <w:szCs w:val="32"/>
        </w:rPr>
        <w:t>1</w:t>
      </w:r>
      <w:r>
        <w:rPr>
          <w:rFonts w:ascii="仿宋" w:hAnsi="仿宋" w:eastAsia="仿宋" w:cs="仿宋"/>
          <w:sz w:val="32"/>
          <w:szCs w:val="32"/>
        </w:rPr>
        <w:t xml:space="preserve">00%，确保受援人及时获取有效的法律帮助。 </w:t>
      </w:r>
    </w:p>
    <w:p>
      <w:pPr>
        <w:spacing w:line="630" w:lineRule="exact"/>
        <w:ind w:left="643"/>
        <w:rPr>
          <w:rFonts w:ascii="仿宋" w:hAnsi="仿宋" w:eastAsia="仿宋" w:cs="仿宋"/>
          <w:sz w:val="32"/>
          <w:szCs w:val="32"/>
        </w:rPr>
      </w:pPr>
      <w:r>
        <w:rPr>
          <w:rFonts w:hint="eastAsia" w:ascii="仿宋" w:hAnsi="仿宋" w:eastAsia="仿宋" w:cs="仿宋"/>
          <w:sz w:val="32"/>
          <w:szCs w:val="32"/>
        </w:rPr>
        <w:t>（二）注重解答咨询，满足法律需求</w:t>
      </w:r>
    </w:p>
    <w:p>
      <w:pPr>
        <w:pStyle w:val="35"/>
        <w:spacing w:line="630" w:lineRule="exact"/>
        <w:ind w:firstLine="640"/>
        <w:rPr>
          <w:rFonts w:ascii="仿宋" w:hAnsi="仿宋" w:eastAsia="仿宋" w:cs="仿宋"/>
          <w:sz w:val="32"/>
          <w:szCs w:val="32"/>
        </w:rPr>
      </w:pPr>
      <w:r>
        <w:rPr>
          <w:rFonts w:ascii="仿宋" w:hAnsi="仿宋" w:eastAsia="仿宋" w:cs="仿宋"/>
          <w:sz w:val="32"/>
          <w:szCs w:val="32"/>
        </w:rPr>
        <w:t>通过</w:t>
      </w:r>
      <w:r>
        <w:rPr>
          <w:rFonts w:hint="eastAsia" w:ascii="仿宋" w:hAnsi="仿宋" w:eastAsia="仿宋" w:cs="仿宋"/>
          <w:sz w:val="32"/>
          <w:szCs w:val="32"/>
        </w:rPr>
        <w:t>1</w:t>
      </w:r>
      <w:r>
        <w:rPr>
          <w:rFonts w:ascii="仿宋" w:hAnsi="仿宋" w:eastAsia="仿宋" w:cs="仿宋"/>
          <w:sz w:val="32"/>
          <w:szCs w:val="32"/>
        </w:rPr>
        <w:t>2348法律服务热线，全方位，全时空解答群众法律咨询，2020年南县利用公共法律服务中心实体、如法网和热线平台为群众解答咨询</w:t>
      </w:r>
      <w:r>
        <w:rPr>
          <w:rFonts w:hint="eastAsia" w:ascii="仿宋" w:hAnsi="仿宋" w:eastAsia="仿宋" w:cs="仿宋"/>
          <w:sz w:val="32"/>
          <w:szCs w:val="32"/>
        </w:rPr>
        <w:t>3</w:t>
      </w:r>
      <w:r>
        <w:rPr>
          <w:rFonts w:ascii="仿宋" w:hAnsi="仿宋" w:eastAsia="仿宋" w:cs="仿宋"/>
          <w:sz w:val="32"/>
          <w:szCs w:val="32"/>
        </w:rPr>
        <w:t>263条。</w:t>
      </w:r>
    </w:p>
    <w:p>
      <w:pPr>
        <w:pStyle w:val="35"/>
        <w:numPr>
          <w:ilvl w:val="0"/>
          <w:numId w:val="2"/>
        </w:numPr>
        <w:spacing w:line="630" w:lineRule="exact"/>
        <w:ind w:firstLineChars="0"/>
        <w:rPr>
          <w:rFonts w:ascii="仿宋" w:hAnsi="仿宋" w:eastAsia="仿宋" w:cs="仿宋"/>
          <w:sz w:val="32"/>
          <w:szCs w:val="32"/>
        </w:rPr>
      </w:pPr>
      <w:r>
        <w:rPr>
          <w:rFonts w:hint="eastAsia" w:ascii="仿宋" w:hAnsi="仿宋" w:eastAsia="仿宋" w:cs="仿宋"/>
          <w:sz w:val="32"/>
          <w:szCs w:val="32"/>
        </w:rPr>
        <w:t>开展公共法律服务集中宣传活动</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组织司法行政干警、律师、基层法律服务工作者和公共法律服务志愿者8</w:t>
      </w:r>
      <w:r>
        <w:rPr>
          <w:rFonts w:ascii="仿宋" w:hAnsi="仿宋" w:eastAsia="仿宋" w:cs="仿宋"/>
          <w:sz w:val="32"/>
          <w:szCs w:val="32"/>
        </w:rPr>
        <w:t>0余人，成立</w:t>
      </w:r>
      <w:r>
        <w:rPr>
          <w:rFonts w:hint="eastAsia" w:ascii="仿宋" w:hAnsi="仿宋" w:eastAsia="仿宋" w:cs="仿宋"/>
          <w:sz w:val="32"/>
          <w:szCs w:val="32"/>
        </w:rPr>
        <w:t>7支普法小分队，深入汽车站、建筑工地、企业、农贸市场，针对农民工最关注的劳动合同、劳动报酬、社会保险、工伤保险等重点问题，通过以案释法等多种形式宣传解读《保障农民工工资支付条例》，进一步提升农民工对劳动合同签订、社保缴纳等相关法律问题的认知和了解，帮助引导农民工朋友通过法律途径捍卫合法权益。活动共发放《保障农民工工资支付条例》解读和农名工维权手册1</w:t>
      </w:r>
      <w:r>
        <w:rPr>
          <w:rFonts w:ascii="仿宋" w:hAnsi="仿宋" w:eastAsia="仿宋" w:cs="仿宋"/>
          <w:sz w:val="32"/>
          <w:szCs w:val="32"/>
        </w:rPr>
        <w:t>0000余份，在建筑工地等位置张贴悬挂横幅标语</w:t>
      </w:r>
      <w:r>
        <w:rPr>
          <w:rFonts w:hint="eastAsia" w:ascii="仿宋" w:hAnsi="仿宋" w:eastAsia="仿宋" w:cs="仿宋"/>
          <w:sz w:val="32"/>
          <w:szCs w:val="32"/>
        </w:rPr>
        <w:t>1</w:t>
      </w:r>
      <w:r>
        <w:rPr>
          <w:rFonts w:ascii="仿宋" w:hAnsi="仿宋" w:eastAsia="仿宋" w:cs="仿宋"/>
          <w:sz w:val="32"/>
          <w:szCs w:val="32"/>
        </w:rPr>
        <w:t>20余条。同时出动宣传车</w:t>
      </w:r>
      <w:r>
        <w:rPr>
          <w:rFonts w:hint="eastAsia" w:ascii="仿宋" w:hAnsi="仿宋" w:eastAsia="仿宋" w:cs="仿宋"/>
          <w:sz w:val="32"/>
          <w:szCs w:val="32"/>
        </w:rPr>
        <w:t>1</w:t>
      </w:r>
      <w:r>
        <w:rPr>
          <w:rFonts w:ascii="仿宋" w:hAnsi="仿宋" w:eastAsia="仿宋" w:cs="仿宋"/>
          <w:sz w:val="32"/>
          <w:szCs w:val="32"/>
        </w:rPr>
        <w:t>8台，每天早中晚三次，在县城、各乡镇村（社区）向全体市民广播宣传《保障农民工工资支付条例》。</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进一步加大法律援助宣传力度，扩大法律援助覆盖面，针对农民工、下岗工人、残疾人等散发法律援助宣传单和便民联系卡</w:t>
      </w:r>
      <w:r>
        <w:rPr>
          <w:rFonts w:hint="eastAsia" w:ascii="仿宋" w:hAnsi="仿宋" w:eastAsia="仿宋" w:cs="仿宋"/>
          <w:sz w:val="32"/>
          <w:szCs w:val="32"/>
        </w:rPr>
        <w:t>1</w:t>
      </w:r>
      <w:r>
        <w:rPr>
          <w:rFonts w:ascii="仿宋" w:hAnsi="仿宋" w:eastAsia="仿宋" w:cs="仿宋"/>
          <w:sz w:val="32"/>
          <w:szCs w:val="32"/>
        </w:rPr>
        <w:t>5000余份，面对面宣传法律援助基本知识</w:t>
      </w:r>
      <w:r>
        <w:rPr>
          <w:rFonts w:hint="eastAsia" w:ascii="仿宋" w:hAnsi="仿宋" w:eastAsia="仿宋" w:cs="仿宋"/>
          <w:sz w:val="32"/>
          <w:szCs w:val="32"/>
        </w:rPr>
        <w:t>6</w:t>
      </w:r>
      <w:r>
        <w:rPr>
          <w:rFonts w:ascii="仿宋" w:hAnsi="仿宋" w:eastAsia="仿宋" w:cs="仿宋"/>
          <w:sz w:val="32"/>
          <w:szCs w:val="32"/>
        </w:rPr>
        <w:t>00余人次。广泛开展法律援助宣传，大大扩大了法律援助的社会影响和覆盖面。</w:t>
      </w:r>
    </w:p>
    <w:p>
      <w:pPr>
        <w:pStyle w:val="2"/>
        <w:spacing w:before="0" w:after="0" w:line="580" w:lineRule="exact"/>
        <w:ind w:firstLine="640" w:firstLineChars="200"/>
        <w:rPr>
          <w:kern w:val="32"/>
        </w:rPr>
      </w:pPr>
      <w:r>
        <w:rPr>
          <w:rFonts w:hint="eastAsia"/>
          <w:kern w:val="32"/>
        </w:rPr>
        <w:t>六、存在的主要问题及建议</w:t>
      </w:r>
    </w:p>
    <w:p>
      <w:pPr>
        <w:spacing w:line="61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(一)存在的主要问题</w:t>
      </w:r>
    </w:p>
    <w:p>
      <w:pPr>
        <w:ind w:firstLine="964" w:firstLineChars="300"/>
        <w:rPr>
          <w:rFonts w:ascii="仿宋" w:hAnsi="仿宋" w:eastAsia="仿宋" w:cs="仿宋"/>
          <w:b/>
          <w:bCs/>
          <w:sz w:val="32"/>
          <w:szCs w:val="32"/>
        </w:rPr>
      </w:pPr>
      <w:r>
        <w:rPr>
          <w:rFonts w:hint="eastAsia" w:ascii="仿宋" w:hAnsi="仿宋" w:eastAsia="仿宋" w:cs="仿宋"/>
          <w:b/>
          <w:bCs/>
          <w:sz w:val="32"/>
          <w:szCs w:val="32"/>
        </w:rPr>
        <w:t>1、专项资金预算编制粗放，专项资金管理制度不健全</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专项资金的预算编制未细化，无具体支出明细。司法局未对取得的公共法律服务专项资金制定专门的资金管理办法，对于专项资金的支出范围未有明确的界定，哪些开支能在专项资金中列支，哪些不能在专项资金中列支，缺乏相关政策文件依据。如列支的华阁公共法律服务工作站办公用房维修支出3</w:t>
      </w:r>
      <w:r>
        <w:rPr>
          <w:rFonts w:ascii="仿宋" w:hAnsi="仿宋" w:eastAsia="仿宋" w:cs="仿宋"/>
          <w:sz w:val="32"/>
          <w:szCs w:val="32"/>
        </w:rPr>
        <w:t>7,659.00元是否属于该专项支出范围，评价组无法界定。</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2、超范围使用专项资金</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在公共法律服务专项</w:t>
      </w:r>
      <w:r>
        <w:rPr>
          <w:rFonts w:hint="eastAsia" w:ascii="仿宋" w:hAnsi="仿宋" w:eastAsia="仿宋" w:cs="仿宋"/>
          <w:sz w:val="32"/>
          <w:szCs w:val="32"/>
        </w:rPr>
        <w:t>核算的</w:t>
      </w:r>
      <w:r>
        <w:rPr>
          <w:rFonts w:ascii="仿宋" w:hAnsi="仿宋" w:eastAsia="仿宋" w:cs="仿宋"/>
          <w:sz w:val="32"/>
          <w:szCs w:val="32"/>
        </w:rPr>
        <w:t>资金支出为189,023.40元，专项结余的</w:t>
      </w:r>
      <w:r>
        <w:rPr>
          <w:rFonts w:hint="eastAsia" w:ascii="仿宋" w:hAnsi="仿宋" w:eastAsia="仿宋" w:cs="仿宋"/>
          <w:sz w:val="32"/>
          <w:szCs w:val="32"/>
        </w:rPr>
        <w:t>1</w:t>
      </w:r>
      <w:r>
        <w:rPr>
          <w:rFonts w:ascii="仿宋" w:hAnsi="仿宋" w:eastAsia="仿宋" w:cs="仿宋"/>
          <w:sz w:val="32"/>
          <w:szCs w:val="32"/>
        </w:rPr>
        <w:t>88,976.60元被统筹使用，被评价单位解释是由于部分专项支出应纳入公用经费，所以导致公用经费挤占专项资金使用。由此看出，预算编制粗放，专项资金管理办法欠缺，哪些在该专项中列支未明确界定。部分支出与本专项无关，也列支在本专项，如其他部门电话费支出，食堂网线费用支出。</w:t>
      </w:r>
    </w:p>
    <w:p>
      <w:pPr>
        <w:spacing w:line="630" w:lineRule="exact"/>
        <w:ind w:firstLine="643" w:firstLineChars="200"/>
        <w:rPr>
          <w:rFonts w:ascii="仿宋" w:hAnsi="仿宋" w:eastAsia="仿宋" w:cs="仿宋"/>
          <w:b/>
          <w:bCs/>
          <w:sz w:val="32"/>
          <w:szCs w:val="32"/>
        </w:rPr>
      </w:pPr>
      <w:r>
        <w:rPr>
          <w:rFonts w:ascii="仿宋" w:hAnsi="仿宋" w:eastAsia="仿宋" w:cs="仿宋"/>
          <w:b/>
          <w:bCs/>
          <w:sz w:val="32"/>
          <w:szCs w:val="32"/>
        </w:rPr>
        <w:t>3</w:t>
      </w:r>
      <w:r>
        <w:rPr>
          <w:rFonts w:hint="eastAsia" w:ascii="仿宋" w:hAnsi="仿宋" w:eastAsia="仿宋" w:cs="仿宋"/>
          <w:b/>
          <w:bCs/>
          <w:sz w:val="32"/>
          <w:szCs w:val="32"/>
        </w:rPr>
        <w:t>、会计核算不规范</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（1）公务接待未有接待函</w:t>
      </w:r>
      <w:r>
        <w:rPr>
          <w:rFonts w:ascii="仿宋" w:hAnsi="仿宋" w:eastAsia="仿宋" w:cs="仿宋"/>
          <w:sz w:val="32"/>
          <w:szCs w:val="32"/>
        </w:rPr>
        <w:t>。</w:t>
      </w:r>
      <w:r>
        <w:rPr>
          <w:rFonts w:hint="eastAsia" w:ascii="仿宋" w:hAnsi="仿宋" w:eastAsia="仿宋" w:cs="仿宋"/>
          <w:sz w:val="32"/>
          <w:szCs w:val="32"/>
        </w:rPr>
        <w:t>部分公务接待未见相关公务接待函，如（1）2020年6月5号凭证，公务接待餐费支出4</w:t>
      </w:r>
      <w:r>
        <w:rPr>
          <w:rFonts w:ascii="仿宋" w:hAnsi="仿宋" w:eastAsia="仿宋" w:cs="仿宋"/>
          <w:sz w:val="32"/>
          <w:szCs w:val="32"/>
        </w:rPr>
        <w:t>,</w:t>
      </w:r>
      <w:r>
        <w:rPr>
          <w:rFonts w:hint="eastAsia" w:ascii="仿宋" w:hAnsi="仿宋" w:eastAsia="仿宋" w:cs="仿宋"/>
          <w:sz w:val="32"/>
          <w:szCs w:val="32"/>
        </w:rPr>
        <w:t>551</w:t>
      </w:r>
      <w:r>
        <w:rPr>
          <w:rFonts w:ascii="仿宋" w:hAnsi="仿宋" w:eastAsia="仿宋" w:cs="仿宋"/>
          <w:sz w:val="32"/>
          <w:szCs w:val="32"/>
        </w:rPr>
        <w:t>.00</w:t>
      </w:r>
      <w:r>
        <w:rPr>
          <w:rFonts w:hint="eastAsia" w:ascii="仿宋" w:hAnsi="仿宋" w:eastAsia="仿宋" w:cs="仿宋"/>
          <w:sz w:val="32"/>
          <w:szCs w:val="32"/>
        </w:rPr>
        <w:t>元，未见公务接待的公函，（2）2020年12月2号凭证，公务接待餐费支出2</w:t>
      </w:r>
      <w:r>
        <w:rPr>
          <w:rFonts w:ascii="仿宋" w:hAnsi="仿宋" w:eastAsia="仿宋" w:cs="仿宋"/>
          <w:sz w:val="32"/>
          <w:szCs w:val="32"/>
        </w:rPr>
        <w:t>,</w:t>
      </w:r>
      <w:r>
        <w:rPr>
          <w:rFonts w:hint="eastAsia" w:ascii="仿宋" w:hAnsi="仿宋" w:eastAsia="仿宋" w:cs="仿宋"/>
          <w:sz w:val="32"/>
          <w:szCs w:val="32"/>
        </w:rPr>
        <w:t>472</w:t>
      </w:r>
      <w:r>
        <w:rPr>
          <w:rFonts w:ascii="仿宋" w:hAnsi="仿宋" w:eastAsia="仿宋" w:cs="仿宋"/>
          <w:sz w:val="32"/>
          <w:szCs w:val="32"/>
        </w:rPr>
        <w:t>.00</w:t>
      </w:r>
      <w:r>
        <w:rPr>
          <w:rFonts w:hint="eastAsia" w:ascii="仿宋" w:hAnsi="仿宋" w:eastAsia="仿宋" w:cs="仿宋"/>
          <w:sz w:val="32"/>
          <w:szCs w:val="32"/>
        </w:rPr>
        <w:t>元，未见公务接待公函。根据相关规定，公务外出确需接待的，派出单位应当向接待单位发出公函，告知内容、行程和人员。</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（2）费用审核不严谨。部分报销费用不及时，存在跨期报销的情况，如2020年6月39号凭证，青少年普法宣传资料印刷6</w:t>
      </w:r>
      <w:r>
        <w:rPr>
          <w:rFonts w:ascii="仿宋" w:hAnsi="仿宋" w:eastAsia="仿宋" w:cs="仿宋"/>
          <w:sz w:val="32"/>
          <w:szCs w:val="32"/>
        </w:rPr>
        <w:t>,</w:t>
      </w:r>
      <w:r>
        <w:rPr>
          <w:rFonts w:hint="eastAsia" w:ascii="仿宋" w:hAnsi="仿宋" w:eastAsia="仿宋" w:cs="仿宋"/>
          <w:sz w:val="32"/>
          <w:szCs w:val="32"/>
        </w:rPr>
        <w:t>210</w:t>
      </w:r>
      <w:r>
        <w:rPr>
          <w:rFonts w:ascii="仿宋" w:hAnsi="仿宋" w:eastAsia="仿宋" w:cs="仿宋"/>
          <w:sz w:val="32"/>
          <w:szCs w:val="32"/>
        </w:rPr>
        <w:t>.00</w:t>
      </w:r>
      <w:r>
        <w:rPr>
          <w:rFonts w:hint="eastAsia" w:ascii="仿宋" w:hAnsi="仿宋" w:eastAsia="仿宋" w:cs="仿宋"/>
          <w:sz w:val="32"/>
          <w:szCs w:val="32"/>
        </w:rPr>
        <w:t>元，发票日期为2019年12月10日，印刷明细单上的日期为10月17日.（2）部分加班餐费支出，超标准支付，根据南县落实八项规定精神政策摘编，加班餐费报销标准，人均40元/餐，部分餐费支出超标准支付。如2020年6月5号凭证，加班餐费支出1</w:t>
      </w:r>
      <w:r>
        <w:rPr>
          <w:rFonts w:ascii="仿宋" w:hAnsi="仿宋" w:eastAsia="仿宋" w:cs="仿宋"/>
          <w:sz w:val="32"/>
          <w:szCs w:val="32"/>
        </w:rPr>
        <w:t>,</w:t>
      </w:r>
      <w:r>
        <w:rPr>
          <w:rFonts w:hint="eastAsia" w:ascii="仿宋" w:hAnsi="仿宋" w:eastAsia="仿宋" w:cs="仿宋"/>
          <w:sz w:val="32"/>
          <w:szCs w:val="32"/>
        </w:rPr>
        <w:t>861</w:t>
      </w:r>
      <w:r>
        <w:rPr>
          <w:rFonts w:ascii="仿宋" w:hAnsi="仿宋" w:eastAsia="仿宋" w:cs="仿宋"/>
          <w:sz w:val="32"/>
          <w:szCs w:val="32"/>
        </w:rPr>
        <w:t>.00</w:t>
      </w:r>
      <w:r>
        <w:rPr>
          <w:rFonts w:hint="eastAsia" w:ascii="仿宋" w:hAnsi="仿宋" w:eastAsia="仿宋" w:cs="仿宋"/>
          <w:sz w:val="32"/>
          <w:szCs w:val="32"/>
        </w:rPr>
        <w:t>元，其中2020年1月22日6人用餐消费357</w:t>
      </w:r>
      <w:r>
        <w:rPr>
          <w:rFonts w:ascii="仿宋" w:hAnsi="仿宋" w:eastAsia="仿宋" w:cs="仿宋"/>
          <w:sz w:val="32"/>
          <w:szCs w:val="32"/>
        </w:rPr>
        <w:t>.00</w:t>
      </w:r>
      <w:r>
        <w:rPr>
          <w:rFonts w:hint="eastAsia" w:ascii="仿宋" w:hAnsi="仿宋" w:eastAsia="仿宋" w:cs="仿宋"/>
          <w:sz w:val="32"/>
          <w:szCs w:val="32"/>
        </w:rPr>
        <w:t>元， 2020年4月20日7人用餐消费500</w:t>
      </w:r>
      <w:r>
        <w:rPr>
          <w:rFonts w:ascii="仿宋" w:hAnsi="仿宋" w:eastAsia="仿宋" w:cs="仿宋"/>
          <w:sz w:val="32"/>
          <w:szCs w:val="32"/>
        </w:rPr>
        <w:t>.00</w:t>
      </w:r>
      <w:r>
        <w:rPr>
          <w:rFonts w:hint="eastAsia" w:ascii="仿宋" w:hAnsi="仿宋" w:eastAsia="仿宋" w:cs="仿宋"/>
          <w:sz w:val="32"/>
          <w:szCs w:val="32"/>
        </w:rPr>
        <w:t>元。</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（二）有关建议</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1、制定专项资金管理办法</w:t>
      </w:r>
    </w:p>
    <w:p>
      <w:pPr>
        <w:ind w:firstLine="640" w:firstLineChars="200"/>
        <w:rPr>
          <w:rFonts w:ascii="仿宋" w:hAnsi="仿宋" w:eastAsia="仿宋" w:cs="仿宋"/>
          <w:sz w:val="32"/>
          <w:szCs w:val="32"/>
        </w:rPr>
      </w:pPr>
      <w:r>
        <w:rPr>
          <w:rFonts w:hint="eastAsia" w:ascii="仿宋" w:hAnsi="仿宋" w:eastAsia="仿宋" w:cs="仿宋"/>
          <w:sz w:val="32"/>
          <w:szCs w:val="32"/>
        </w:rPr>
        <w:t>制定专项资金管理办法，明确专项资金的使用范围，能有效的防止专项资金使用不规范的情形发生。严格执行专款专用原则，规范专项资金的使用范围，杜绝变相挤占、挪用或者超范围使用专项资金。</w:t>
      </w:r>
    </w:p>
    <w:p>
      <w:pPr>
        <w:pStyle w:val="3"/>
        <w:spacing w:before="0" w:after="0" w:line="580" w:lineRule="exact"/>
        <w:ind w:firstLine="643" w:firstLineChars="200"/>
        <w:rPr>
          <w:rFonts w:ascii="仿宋" w:hAnsi="仿宋" w:eastAsia="仿宋" w:cs="仿宋"/>
          <w:b w:val="0"/>
          <w:bCs w:val="0"/>
        </w:rPr>
      </w:pPr>
      <w:r>
        <w:rPr>
          <w:rFonts w:hint="eastAsia" w:ascii="仿宋" w:hAnsi="仿宋" w:eastAsia="仿宋" w:cs="仿宋"/>
        </w:rPr>
        <w:t>2、加强预算管理，细化资金分配，加强资金监管</w:t>
      </w:r>
    </w:p>
    <w:p>
      <w:pPr>
        <w:ind w:firstLine="640" w:firstLineChars="200"/>
        <w:rPr>
          <w:rFonts w:ascii="仿宋" w:hAnsi="仿宋" w:eastAsia="仿宋" w:cs="仿宋"/>
          <w:sz w:val="32"/>
          <w:szCs w:val="32"/>
        </w:rPr>
      </w:pPr>
      <w:r>
        <w:rPr>
          <w:rFonts w:hint="eastAsia" w:ascii="仿宋" w:hAnsi="仿宋" w:eastAsia="仿宋" w:cs="仿宋"/>
          <w:sz w:val="32"/>
          <w:szCs w:val="32"/>
        </w:rPr>
        <w:t>在预算管理中明确专项资金的用途及资金分配情况，对于专项资金的分配和管理，做到有据可依。参考往年公共法律服务专项资金的支出情况，进一步细化部门年初预算，提高预算编制的准确性和科学性。</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3、完善专项资金核算的基础工作</w:t>
      </w:r>
    </w:p>
    <w:p>
      <w:pPr>
        <w:spacing w:line="58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建议会计人员加强对原始单据的审核，对于附件不齐全的原始凭证不予报销。</w:t>
      </w:r>
    </w:p>
    <w:p>
      <w:pPr>
        <w:pStyle w:val="2"/>
        <w:spacing w:before="0" w:after="0" w:line="580" w:lineRule="exact"/>
        <w:ind w:firstLine="640" w:firstLineChars="200"/>
        <w:rPr>
          <w:kern w:val="32"/>
        </w:rPr>
      </w:pPr>
      <w:r>
        <w:rPr>
          <w:rFonts w:hint="eastAsia"/>
          <w:kern w:val="32"/>
        </w:rPr>
        <w:t>七、报告附件</w:t>
      </w:r>
    </w:p>
    <w:p>
      <w:pPr>
        <w:ind w:firstLine="640" w:firstLineChars="200"/>
        <w:rPr>
          <w:rFonts w:ascii="仿宋" w:hAnsi="仿宋" w:eastAsia="仿宋" w:cs="仿宋"/>
          <w:sz w:val="32"/>
          <w:szCs w:val="32"/>
        </w:rPr>
      </w:pPr>
      <w:r>
        <w:rPr>
          <w:rFonts w:hint="eastAsia" w:ascii="仿宋" w:hAnsi="仿宋" w:eastAsia="仿宋" w:cs="仿宋"/>
          <w:sz w:val="32"/>
          <w:szCs w:val="32"/>
        </w:rPr>
        <w:t>附件1：南县2020年司法局公共法律服务专项资金基础数据表</w:t>
      </w:r>
    </w:p>
    <w:p>
      <w:pPr>
        <w:ind w:firstLine="640" w:firstLineChars="200"/>
        <w:rPr>
          <w:rFonts w:ascii="仿宋" w:hAnsi="仿宋" w:eastAsia="仿宋" w:cs="仿宋"/>
          <w:sz w:val="32"/>
          <w:szCs w:val="32"/>
        </w:rPr>
      </w:pPr>
      <w:r>
        <w:rPr>
          <w:rFonts w:ascii="仿宋" w:hAnsi="仿宋" w:eastAsia="仿宋" w:cs="仿宋"/>
          <w:sz w:val="32"/>
          <w:szCs w:val="32"/>
        </w:rPr>
        <w:t>附件2</w:t>
      </w:r>
      <w:r>
        <w:rPr>
          <w:rFonts w:hint="eastAsia" w:ascii="仿宋" w:hAnsi="仿宋" w:eastAsia="仿宋" w:cs="仿宋"/>
          <w:sz w:val="32"/>
          <w:szCs w:val="32"/>
        </w:rPr>
        <w:t>：南县2020年度司法局公共法律服务项目资金绩效评价指标评价表</w:t>
      </w: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sz w:val="32"/>
          <w:szCs w:val="32"/>
        </w:rPr>
      </w:pPr>
      <w:r>
        <w:rPr>
          <w:rFonts w:hint="eastAsia" w:ascii="仿宋" w:hAnsi="仿宋" w:eastAsia="仿宋" w:cs="仿宋"/>
          <w:iCs/>
          <w:snapToGrid w:val="0"/>
          <w:kern w:val="0"/>
          <w:sz w:val="28"/>
          <w:szCs w:val="28"/>
        </w:rPr>
        <w:t xml:space="preserve">                                  二〇二一年六月二十六日</w:t>
      </w:r>
    </w:p>
    <w:sectPr>
      <w:headerReference r:id="rId9" w:type="default"/>
      <w:footerReference r:id="rId11" w:type="default"/>
      <w:headerReference r:id="rId10"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8"/>
          <w:jc w:val="center"/>
        </w:pPr>
        <w:r>
          <w:fldChar w:fldCharType="begin"/>
        </w:r>
        <w:r>
          <w:instrText xml:space="preserve">PAGE   \* MERGEFORMAT</w:instrText>
        </w:r>
        <w:r>
          <w:fldChar w:fldCharType="separate"/>
        </w:r>
        <w:r>
          <w:rPr>
            <w:lang w:val="zh-CN"/>
          </w:rPr>
          <w:t>6</w:t>
        </w:r>
        <w:r>
          <w:rPr>
            <w:lang w:val="zh-CN"/>
          </w:rPr>
          <w:fldChar w:fldCharType="end"/>
        </w:r>
      </w:p>
    </w:sdtContent>
  </w:sdt>
  <w:p>
    <w:pPr>
      <w:pStyle w:val="8"/>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2E71"/>
    <w:multiLevelType w:val="multilevel"/>
    <w:tmpl w:val="263D2E71"/>
    <w:lvl w:ilvl="0" w:tentative="0">
      <w:start w:val="1"/>
      <w:numFmt w:val="japaneseCounting"/>
      <w:lvlText w:val="%1、"/>
      <w:lvlJc w:val="left"/>
      <w:pPr>
        <w:ind w:left="1303" w:hanging="66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305312C6"/>
    <w:multiLevelType w:val="multilevel"/>
    <w:tmpl w:val="305312C6"/>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2">
    <w:nsid w:val="4ED914F8"/>
    <w:multiLevelType w:val="multilevel"/>
    <w:tmpl w:val="4ED914F8"/>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C2"/>
    <w:rsid w:val="000107DB"/>
    <w:rsid w:val="00010B09"/>
    <w:rsid w:val="0001156B"/>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A8F"/>
    <w:rsid w:val="00021C70"/>
    <w:rsid w:val="00021D7D"/>
    <w:rsid w:val="00022043"/>
    <w:rsid w:val="00022A23"/>
    <w:rsid w:val="00022A45"/>
    <w:rsid w:val="00022C5A"/>
    <w:rsid w:val="00022DF8"/>
    <w:rsid w:val="0002312F"/>
    <w:rsid w:val="000232DC"/>
    <w:rsid w:val="0002377D"/>
    <w:rsid w:val="00023851"/>
    <w:rsid w:val="00023F02"/>
    <w:rsid w:val="0002419C"/>
    <w:rsid w:val="000241AE"/>
    <w:rsid w:val="00024517"/>
    <w:rsid w:val="0002469B"/>
    <w:rsid w:val="00024720"/>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18F"/>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5E9"/>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2CC"/>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73"/>
    <w:rsid w:val="000E5B8E"/>
    <w:rsid w:val="000E5BAF"/>
    <w:rsid w:val="000E6278"/>
    <w:rsid w:val="000E643E"/>
    <w:rsid w:val="000E6519"/>
    <w:rsid w:val="000E67FD"/>
    <w:rsid w:val="000E6C31"/>
    <w:rsid w:val="000E6E6C"/>
    <w:rsid w:val="000E7349"/>
    <w:rsid w:val="000E7618"/>
    <w:rsid w:val="000F0444"/>
    <w:rsid w:val="000F0C45"/>
    <w:rsid w:val="000F1056"/>
    <w:rsid w:val="000F15DC"/>
    <w:rsid w:val="000F15E8"/>
    <w:rsid w:val="000F1C5E"/>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836"/>
    <w:rsid w:val="00132BB7"/>
    <w:rsid w:val="00132F35"/>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8A5"/>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283"/>
    <w:rsid w:val="00157519"/>
    <w:rsid w:val="00157C3D"/>
    <w:rsid w:val="00157DE5"/>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2A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B41"/>
    <w:rsid w:val="001E6DE6"/>
    <w:rsid w:val="001E703E"/>
    <w:rsid w:val="001E7569"/>
    <w:rsid w:val="001E7700"/>
    <w:rsid w:val="001E7CE6"/>
    <w:rsid w:val="001F039A"/>
    <w:rsid w:val="001F055F"/>
    <w:rsid w:val="001F06A5"/>
    <w:rsid w:val="001F0B85"/>
    <w:rsid w:val="001F0B9D"/>
    <w:rsid w:val="001F114B"/>
    <w:rsid w:val="001F200A"/>
    <w:rsid w:val="001F2032"/>
    <w:rsid w:val="001F2059"/>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50CA"/>
    <w:rsid w:val="0020522C"/>
    <w:rsid w:val="002054CC"/>
    <w:rsid w:val="00205AFA"/>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6B5A"/>
    <w:rsid w:val="00227B33"/>
    <w:rsid w:val="00227D41"/>
    <w:rsid w:val="00230522"/>
    <w:rsid w:val="00230AA2"/>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1D3"/>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BD4"/>
    <w:rsid w:val="00251D7C"/>
    <w:rsid w:val="00252227"/>
    <w:rsid w:val="002524C2"/>
    <w:rsid w:val="00252632"/>
    <w:rsid w:val="00252F7B"/>
    <w:rsid w:val="00253378"/>
    <w:rsid w:val="0025370A"/>
    <w:rsid w:val="00253B63"/>
    <w:rsid w:val="00253E01"/>
    <w:rsid w:val="0025403E"/>
    <w:rsid w:val="00254593"/>
    <w:rsid w:val="0025461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13"/>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5845"/>
    <w:rsid w:val="002959CE"/>
    <w:rsid w:val="00296350"/>
    <w:rsid w:val="00296B66"/>
    <w:rsid w:val="00296BCD"/>
    <w:rsid w:val="00296E0E"/>
    <w:rsid w:val="00296E5F"/>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B69"/>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4C"/>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587"/>
    <w:rsid w:val="002D0A1F"/>
    <w:rsid w:val="002D0F93"/>
    <w:rsid w:val="002D1AF9"/>
    <w:rsid w:val="002D1C9B"/>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0A3"/>
    <w:rsid w:val="002F310A"/>
    <w:rsid w:val="002F35EF"/>
    <w:rsid w:val="002F36E8"/>
    <w:rsid w:val="002F4034"/>
    <w:rsid w:val="002F423B"/>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776"/>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AE4"/>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AED"/>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D"/>
    <w:rsid w:val="00360A6B"/>
    <w:rsid w:val="00360B76"/>
    <w:rsid w:val="00361708"/>
    <w:rsid w:val="00361B81"/>
    <w:rsid w:val="00362060"/>
    <w:rsid w:val="00362128"/>
    <w:rsid w:val="00362213"/>
    <w:rsid w:val="003622D1"/>
    <w:rsid w:val="003632D7"/>
    <w:rsid w:val="003632FB"/>
    <w:rsid w:val="003633BE"/>
    <w:rsid w:val="003634F7"/>
    <w:rsid w:val="00363539"/>
    <w:rsid w:val="003635C1"/>
    <w:rsid w:val="00363C95"/>
    <w:rsid w:val="0036420C"/>
    <w:rsid w:val="0036445E"/>
    <w:rsid w:val="00364479"/>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7DC"/>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3AA"/>
    <w:rsid w:val="003A5406"/>
    <w:rsid w:val="003A5732"/>
    <w:rsid w:val="003A5B8C"/>
    <w:rsid w:val="003A5EDA"/>
    <w:rsid w:val="003A5EF8"/>
    <w:rsid w:val="003A611C"/>
    <w:rsid w:val="003A619F"/>
    <w:rsid w:val="003A6896"/>
    <w:rsid w:val="003A69BC"/>
    <w:rsid w:val="003A7424"/>
    <w:rsid w:val="003A7529"/>
    <w:rsid w:val="003A762D"/>
    <w:rsid w:val="003A77F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1A3"/>
    <w:rsid w:val="003D32B2"/>
    <w:rsid w:val="003D332F"/>
    <w:rsid w:val="003D34EE"/>
    <w:rsid w:val="003D38AF"/>
    <w:rsid w:val="003D39B0"/>
    <w:rsid w:val="003D3A78"/>
    <w:rsid w:val="003D3B39"/>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400160"/>
    <w:rsid w:val="0040028C"/>
    <w:rsid w:val="004004F5"/>
    <w:rsid w:val="00400547"/>
    <w:rsid w:val="00400690"/>
    <w:rsid w:val="00400BB9"/>
    <w:rsid w:val="004010AA"/>
    <w:rsid w:val="00401545"/>
    <w:rsid w:val="00401820"/>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5CDB"/>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29"/>
    <w:rsid w:val="00450AAF"/>
    <w:rsid w:val="00450CC5"/>
    <w:rsid w:val="00450E66"/>
    <w:rsid w:val="00451123"/>
    <w:rsid w:val="004511D1"/>
    <w:rsid w:val="0045180B"/>
    <w:rsid w:val="004519F9"/>
    <w:rsid w:val="00451C22"/>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DBE"/>
    <w:rsid w:val="00455E9E"/>
    <w:rsid w:val="004560A8"/>
    <w:rsid w:val="00456145"/>
    <w:rsid w:val="00456CE2"/>
    <w:rsid w:val="00456E03"/>
    <w:rsid w:val="00456E7B"/>
    <w:rsid w:val="00456ED6"/>
    <w:rsid w:val="00457200"/>
    <w:rsid w:val="004573A3"/>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D12"/>
    <w:rsid w:val="00463D1D"/>
    <w:rsid w:val="00463E14"/>
    <w:rsid w:val="004647AB"/>
    <w:rsid w:val="00464860"/>
    <w:rsid w:val="00464A0B"/>
    <w:rsid w:val="004654C5"/>
    <w:rsid w:val="00465747"/>
    <w:rsid w:val="004658E2"/>
    <w:rsid w:val="00465C7D"/>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933"/>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D12"/>
    <w:rsid w:val="004841BC"/>
    <w:rsid w:val="0048435A"/>
    <w:rsid w:val="00484644"/>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09"/>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95"/>
    <w:rsid w:val="004D645C"/>
    <w:rsid w:val="004D6547"/>
    <w:rsid w:val="004D6745"/>
    <w:rsid w:val="004D708E"/>
    <w:rsid w:val="004D721E"/>
    <w:rsid w:val="004D72A4"/>
    <w:rsid w:val="004D740C"/>
    <w:rsid w:val="004D74F0"/>
    <w:rsid w:val="004D7753"/>
    <w:rsid w:val="004E00B8"/>
    <w:rsid w:val="004E0181"/>
    <w:rsid w:val="004E041F"/>
    <w:rsid w:val="004E0ABB"/>
    <w:rsid w:val="004E12B2"/>
    <w:rsid w:val="004E13AB"/>
    <w:rsid w:val="004E14C5"/>
    <w:rsid w:val="004E18FD"/>
    <w:rsid w:val="004E1B26"/>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1DD"/>
    <w:rsid w:val="004F06BB"/>
    <w:rsid w:val="004F09FB"/>
    <w:rsid w:val="004F0C11"/>
    <w:rsid w:val="004F0E4B"/>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97E"/>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17E30"/>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9FC"/>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0F6A"/>
    <w:rsid w:val="005411DE"/>
    <w:rsid w:val="0054125F"/>
    <w:rsid w:val="005412D3"/>
    <w:rsid w:val="00541D5C"/>
    <w:rsid w:val="00542036"/>
    <w:rsid w:val="00542045"/>
    <w:rsid w:val="0054215E"/>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538"/>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6C"/>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AF0"/>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424"/>
    <w:rsid w:val="005A5760"/>
    <w:rsid w:val="005A61A0"/>
    <w:rsid w:val="005A683D"/>
    <w:rsid w:val="005A6D9C"/>
    <w:rsid w:val="005A6F7A"/>
    <w:rsid w:val="005A72AA"/>
    <w:rsid w:val="005A7467"/>
    <w:rsid w:val="005A7C2B"/>
    <w:rsid w:val="005A7E94"/>
    <w:rsid w:val="005B03BD"/>
    <w:rsid w:val="005B0449"/>
    <w:rsid w:val="005B0DE0"/>
    <w:rsid w:val="005B0E12"/>
    <w:rsid w:val="005B145D"/>
    <w:rsid w:val="005B17B5"/>
    <w:rsid w:val="005B17BA"/>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3B6"/>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369A"/>
    <w:rsid w:val="005F4267"/>
    <w:rsid w:val="005F452C"/>
    <w:rsid w:val="005F453C"/>
    <w:rsid w:val="005F46FE"/>
    <w:rsid w:val="005F507F"/>
    <w:rsid w:val="005F53FB"/>
    <w:rsid w:val="005F58DB"/>
    <w:rsid w:val="005F5A18"/>
    <w:rsid w:val="005F5AD3"/>
    <w:rsid w:val="005F5E67"/>
    <w:rsid w:val="005F66A3"/>
    <w:rsid w:val="005F6BCF"/>
    <w:rsid w:val="005F7061"/>
    <w:rsid w:val="005F75A2"/>
    <w:rsid w:val="005F77C8"/>
    <w:rsid w:val="005F7A78"/>
    <w:rsid w:val="0060000C"/>
    <w:rsid w:val="00600348"/>
    <w:rsid w:val="0060051F"/>
    <w:rsid w:val="00600DE0"/>
    <w:rsid w:val="00600EC5"/>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03E"/>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FB8"/>
    <w:rsid w:val="0062316D"/>
    <w:rsid w:val="0062391B"/>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50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1D0"/>
    <w:rsid w:val="006502C4"/>
    <w:rsid w:val="0065050E"/>
    <w:rsid w:val="00650710"/>
    <w:rsid w:val="0065071D"/>
    <w:rsid w:val="00650756"/>
    <w:rsid w:val="00650FD9"/>
    <w:rsid w:val="00651C8D"/>
    <w:rsid w:val="006523C4"/>
    <w:rsid w:val="006523D8"/>
    <w:rsid w:val="00652C62"/>
    <w:rsid w:val="00652D23"/>
    <w:rsid w:val="00652F41"/>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734"/>
    <w:rsid w:val="006669AB"/>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0B29"/>
    <w:rsid w:val="006811B8"/>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898"/>
    <w:rsid w:val="006B202B"/>
    <w:rsid w:val="006B2034"/>
    <w:rsid w:val="006B2088"/>
    <w:rsid w:val="006B2183"/>
    <w:rsid w:val="006B265A"/>
    <w:rsid w:val="006B2D33"/>
    <w:rsid w:val="006B2F21"/>
    <w:rsid w:val="006B32F5"/>
    <w:rsid w:val="006B3406"/>
    <w:rsid w:val="006B3CB4"/>
    <w:rsid w:val="006B40D5"/>
    <w:rsid w:val="006B41A0"/>
    <w:rsid w:val="006B43F6"/>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3BF3"/>
    <w:rsid w:val="006C44A3"/>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2939"/>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3B41"/>
    <w:rsid w:val="007040E0"/>
    <w:rsid w:val="007044AF"/>
    <w:rsid w:val="007044DA"/>
    <w:rsid w:val="007046F5"/>
    <w:rsid w:val="00704FDC"/>
    <w:rsid w:val="007053BA"/>
    <w:rsid w:val="00705669"/>
    <w:rsid w:val="00705839"/>
    <w:rsid w:val="00705C55"/>
    <w:rsid w:val="00705D1D"/>
    <w:rsid w:val="00706061"/>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725"/>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1B"/>
    <w:rsid w:val="00725FA5"/>
    <w:rsid w:val="0072624F"/>
    <w:rsid w:val="00726366"/>
    <w:rsid w:val="007267D3"/>
    <w:rsid w:val="0072688C"/>
    <w:rsid w:val="007269FA"/>
    <w:rsid w:val="00726DB7"/>
    <w:rsid w:val="00726F56"/>
    <w:rsid w:val="007272A2"/>
    <w:rsid w:val="007307C6"/>
    <w:rsid w:val="00730807"/>
    <w:rsid w:val="00730ABD"/>
    <w:rsid w:val="00730CB8"/>
    <w:rsid w:val="00731069"/>
    <w:rsid w:val="00731330"/>
    <w:rsid w:val="007315C4"/>
    <w:rsid w:val="00731A98"/>
    <w:rsid w:val="00731BB0"/>
    <w:rsid w:val="00731E5F"/>
    <w:rsid w:val="00732294"/>
    <w:rsid w:val="007326C4"/>
    <w:rsid w:val="00732C37"/>
    <w:rsid w:val="00732D19"/>
    <w:rsid w:val="00732FFA"/>
    <w:rsid w:val="007335B2"/>
    <w:rsid w:val="0073388D"/>
    <w:rsid w:val="00733F46"/>
    <w:rsid w:val="00734919"/>
    <w:rsid w:val="00734A57"/>
    <w:rsid w:val="00735680"/>
    <w:rsid w:val="007356B7"/>
    <w:rsid w:val="00736405"/>
    <w:rsid w:val="00736FF5"/>
    <w:rsid w:val="007370FB"/>
    <w:rsid w:val="007374AD"/>
    <w:rsid w:val="0073762A"/>
    <w:rsid w:val="00737CA6"/>
    <w:rsid w:val="00737D0A"/>
    <w:rsid w:val="00740013"/>
    <w:rsid w:val="0074005A"/>
    <w:rsid w:val="0074011E"/>
    <w:rsid w:val="007401CC"/>
    <w:rsid w:val="00740836"/>
    <w:rsid w:val="007409CE"/>
    <w:rsid w:val="00740D1D"/>
    <w:rsid w:val="00741431"/>
    <w:rsid w:val="007417E1"/>
    <w:rsid w:val="007419FE"/>
    <w:rsid w:val="00741EB8"/>
    <w:rsid w:val="00742A42"/>
    <w:rsid w:val="00742B43"/>
    <w:rsid w:val="00742B7C"/>
    <w:rsid w:val="00742C6F"/>
    <w:rsid w:val="00742CE4"/>
    <w:rsid w:val="00743027"/>
    <w:rsid w:val="0074325C"/>
    <w:rsid w:val="0074331A"/>
    <w:rsid w:val="00743897"/>
    <w:rsid w:val="007438D1"/>
    <w:rsid w:val="007439BB"/>
    <w:rsid w:val="00743CF7"/>
    <w:rsid w:val="00743D29"/>
    <w:rsid w:val="00743F8B"/>
    <w:rsid w:val="00744377"/>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599"/>
    <w:rsid w:val="00747C62"/>
    <w:rsid w:val="0075047D"/>
    <w:rsid w:val="00750C7E"/>
    <w:rsid w:val="00750E16"/>
    <w:rsid w:val="007510D0"/>
    <w:rsid w:val="0075134B"/>
    <w:rsid w:val="00751459"/>
    <w:rsid w:val="0075165E"/>
    <w:rsid w:val="007517B8"/>
    <w:rsid w:val="007518C0"/>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56F"/>
    <w:rsid w:val="00754824"/>
    <w:rsid w:val="00755257"/>
    <w:rsid w:val="0075551B"/>
    <w:rsid w:val="00755809"/>
    <w:rsid w:val="00755AC9"/>
    <w:rsid w:val="00755BC7"/>
    <w:rsid w:val="00755C4C"/>
    <w:rsid w:val="007568E5"/>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3D8"/>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5A30"/>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E2C"/>
    <w:rsid w:val="007B0E4C"/>
    <w:rsid w:val="007B1B00"/>
    <w:rsid w:val="007B1EE7"/>
    <w:rsid w:val="007B1F4C"/>
    <w:rsid w:val="007B22F1"/>
    <w:rsid w:val="007B2477"/>
    <w:rsid w:val="007B3265"/>
    <w:rsid w:val="007B39D0"/>
    <w:rsid w:val="007B3B39"/>
    <w:rsid w:val="007B46A4"/>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CCD"/>
    <w:rsid w:val="007C6DF2"/>
    <w:rsid w:val="007C779F"/>
    <w:rsid w:val="007D0947"/>
    <w:rsid w:val="007D09A9"/>
    <w:rsid w:val="007D09FB"/>
    <w:rsid w:val="007D0A70"/>
    <w:rsid w:val="007D0DDA"/>
    <w:rsid w:val="007D0F28"/>
    <w:rsid w:val="007D11D7"/>
    <w:rsid w:val="007D132B"/>
    <w:rsid w:val="007D16EE"/>
    <w:rsid w:val="007D1931"/>
    <w:rsid w:val="007D2344"/>
    <w:rsid w:val="007D237A"/>
    <w:rsid w:val="007D24C1"/>
    <w:rsid w:val="007D2A0B"/>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9EC"/>
    <w:rsid w:val="007D7A23"/>
    <w:rsid w:val="007E03BD"/>
    <w:rsid w:val="007E0E07"/>
    <w:rsid w:val="007E0E85"/>
    <w:rsid w:val="007E0F2C"/>
    <w:rsid w:val="007E14FD"/>
    <w:rsid w:val="007E1658"/>
    <w:rsid w:val="007E1747"/>
    <w:rsid w:val="007E1895"/>
    <w:rsid w:val="007E1DEF"/>
    <w:rsid w:val="007E20DD"/>
    <w:rsid w:val="007E219A"/>
    <w:rsid w:val="007E2558"/>
    <w:rsid w:val="007E2687"/>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149"/>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515"/>
    <w:rsid w:val="008008A0"/>
    <w:rsid w:val="0080090C"/>
    <w:rsid w:val="00800935"/>
    <w:rsid w:val="00800C24"/>
    <w:rsid w:val="00800DE4"/>
    <w:rsid w:val="008011C4"/>
    <w:rsid w:val="0080143E"/>
    <w:rsid w:val="008017F2"/>
    <w:rsid w:val="00802149"/>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0CE"/>
    <w:rsid w:val="008132A7"/>
    <w:rsid w:val="00814090"/>
    <w:rsid w:val="0081428F"/>
    <w:rsid w:val="00814405"/>
    <w:rsid w:val="00814651"/>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74E"/>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EE"/>
    <w:rsid w:val="00847359"/>
    <w:rsid w:val="008474C8"/>
    <w:rsid w:val="008475D2"/>
    <w:rsid w:val="008475D9"/>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A8B"/>
    <w:rsid w:val="00852FBB"/>
    <w:rsid w:val="008538AA"/>
    <w:rsid w:val="008539A5"/>
    <w:rsid w:val="00853B7F"/>
    <w:rsid w:val="00853C78"/>
    <w:rsid w:val="00853D98"/>
    <w:rsid w:val="00853EB0"/>
    <w:rsid w:val="00854044"/>
    <w:rsid w:val="00854646"/>
    <w:rsid w:val="0085471B"/>
    <w:rsid w:val="00855202"/>
    <w:rsid w:val="00855C67"/>
    <w:rsid w:val="0085610C"/>
    <w:rsid w:val="00856467"/>
    <w:rsid w:val="00856557"/>
    <w:rsid w:val="00856665"/>
    <w:rsid w:val="0085686C"/>
    <w:rsid w:val="008568ED"/>
    <w:rsid w:val="00856DCB"/>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BF8"/>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352"/>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4C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0BF"/>
    <w:rsid w:val="008E3B3E"/>
    <w:rsid w:val="008E40A6"/>
    <w:rsid w:val="008E4136"/>
    <w:rsid w:val="008E476C"/>
    <w:rsid w:val="008E4E74"/>
    <w:rsid w:val="008E53EE"/>
    <w:rsid w:val="008E5565"/>
    <w:rsid w:val="008E57B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0AA"/>
    <w:rsid w:val="008F2369"/>
    <w:rsid w:val="008F2639"/>
    <w:rsid w:val="008F2A17"/>
    <w:rsid w:val="008F2A53"/>
    <w:rsid w:val="008F2A73"/>
    <w:rsid w:val="008F2BF7"/>
    <w:rsid w:val="008F2D87"/>
    <w:rsid w:val="008F3034"/>
    <w:rsid w:val="008F31D7"/>
    <w:rsid w:val="008F426E"/>
    <w:rsid w:val="008F4421"/>
    <w:rsid w:val="008F4563"/>
    <w:rsid w:val="008F4704"/>
    <w:rsid w:val="008F4BFE"/>
    <w:rsid w:val="008F57D0"/>
    <w:rsid w:val="008F6365"/>
    <w:rsid w:val="008F6513"/>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C6E"/>
    <w:rsid w:val="00901DAF"/>
    <w:rsid w:val="009021B5"/>
    <w:rsid w:val="009022C1"/>
    <w:rsid w:val="009022D2"/>
    <w:rsid w:val="009030A0"/>
    <w:rsid w:val="00903A90"/>
    <w:rsid w:val="00903C96"/>
    <w:rsid w:val="00904393"/>
    <w:rsid w:val="0090450A"/>
    <w:rsid w:val="0090453B"/>
    <w:rsid w:val="00904880"/>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0C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932"/>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219"/>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67A1"/>
    <w:rsid w:val="009368BE"/>
    <w:rsid w:val="00936B9F"/>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76B"/>
    <w:rsid w:val="009439E2"/>
    <w:rsid w:val="00943BCC"/>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E11"/>
    <w:rsid w:val="0095702F"/>
    <w:rsid w:val="00957422"/>
    <w:rsid w:val="00957928"/>
    <w:rsid w:val="00957DB6"/>
    <w:rsid w:val="0096020E"/>
    <w:rsid w:val="009602C3"/>
    <w:rsid w:val="009603C4"/>
    <w:rsid w:val="00960412"/>
    <w:rsid w:val="009605E3"/>
    <w:rsid w:val="009605E9"/>
    <w:rsid w:val="0096095B"/>
    <w:rsid w:val="00960B39"/>
    <w:rsid w:val="00960EBD"/>
    <w:rsid w:val="00961507"/>
    <w:rsid w:val="00961A94"/>
    <w:rsid w:val="00961B05"/>
    <w:rsid w:val="00961FDB"/>
    <w:rsid w:val="00962097"/>
    <w:rsid w:val="0096224C"/>
    <w:rsid w:val="009625B0"/>
    <w:rsid w:val="00962671"/>
    <w:rsid w:val="009626D4"/>
    <w:rsid w:val="0096274B"/>
    <w:rsid w:val="009628BE"/>
    <w:rsid w:val="00962AD7"/>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2F5"/>
    <w:rsid w:val="00971321"/>
    <w:rsid w:val="00971808"/>
    <w:rsid w:val="00971877"/>
    <w:rsid w:val="0097217B"/>
    <w:rsid w:val="0097256B"/>
    <w:rsid w:val="009726C7"/>
    <w:rsid w:val="009729E0"/>
    <w:rsid w:val="00972FFD"/>
    <w:rsid w:val="009730F4"/>
    <w:rsid w:val="009736A6"/>
    <w:rsid w:val="00973A47"/>
    <w:rsid w:val="00973AA4"/>
    <w:rsid w:val="00974277"/>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1DC"/>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D7E69"/>
    <w:rsid w:val="009E0A4F"/>
    <w:rsid w:val="009E0F40"/>
    <w:rsid w:val="009E1648"/>
    <w:rsid w:val="009E1B9E"/>
    <w:rsid w:val="009E1CD7"/>
    <w:rsid w:val="009E2207"/>
    <w:rsid w:val="009E2562"/>
    <w:rsid w:val="009E2E49"/>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631"/>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1A"/>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A24"/>
    <w:rsid w:val="00A25B54"/>
    <w:rsid w:val="00A261E8"/>
    <w:rsid w:val="00A262B2"/>
    <w:rsid w:val="00A26B26"/>
    <w:rsid w:val="00A26B7F"/>
    <w:rsid w:val="00A26CEC"/>
    <w:rsid w:val="00A26ED7"/>
    <w:rsid w:val="00A271C4"/>
    <w:rsid w:val="00A2726B"/>
    <w:rsid w:val="00A27952"/>
    <w:rsid w:val="00A27C25"/>
    <w:rsid w:val="00A27FFB"/>
    <w:rsid w:val="00A302FA"/>
    <w:rsid w:val="00A30657"/>
    <w:rsid w:val="00A30871"/>
    <w:rsid w:val="00A30953"/>
    <w:rsid w:val="00A30DBE"/>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22C"/>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40"/>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714"/>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515F"/>
    <w:rsid w:val="00A7526E"/>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24E"/>
    <w:rsid w:val="00A96349"/>
    <w:rsid w:val="00A96479"/>
    <w:rsid w:val="00A9679C"/>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413"/>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41C4"/>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D33"/>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5B4"/>
    <w:rsid w:val="00AF4AAD"/>
    <w:rsid w:val="00AF4F15"/>
    <w:rsid w:val="00AF57C9"/>
    <w:rsid w:val="00AF5948"/>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3A7B"/>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64C"/>
    <w:rsid w:val="00B10FE6"/>
    <w:rsid w:val="00B11476"/>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2105D"/>
    <w:rsid w:val="00B216E2"/>
    <w:rsid w:val="00B217F8"/>
    <w:rsid w:val="00B21822"/>
    <w:rsid w:val="00B21CAE"/>
    <w:rsid w:val="00B22E98"/>
    <w:rsid w:val="00B233CF"/>
    <w:rsid w:val="00B23506"/>
    <w:rsid w:val="00B239D6"/>
    <w:rsid w:val="00B239E0"/>
    <w:rsid w:val="00B2409B"/>
    <w:rsid w:val="00B24333"/>
    <w:rsid w:val="00B246B2"/>
    <w:rsid w:val="00B2532A"/>
    <w:rsid w:val="00B25374"/>
    <w:rsid w:val="00B25454"/>
    <w:rsid w:val="00B254C2"/>
    <w:rsid w:val="00B25638"/>
    <w:rsid w:val="00B257B6"/>
    <w:rsid w:val="00B25C23"/>
    <w:rsid w:val="00B261B2"/>
    <w:rsid w:val="00B2660A"/>
    <w:rsid w:val="00B26683"/>
    <w:rsid w:val="00B26866"/>
    <w:rsid w:val="00B26947"/>
    <w:rsid w:val="00B26BC9"/>
    <w:rsid w:val="00B26C6B"/>
    <w:rsid w:val="00B26CDA"/>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C12"/>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0E9"/>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4783"/>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A0"/>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273"/>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57E"/>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5B8"/>
    <w:rsid w:val="00BC75E3"/>
    <w:rsid w:val="00BC76A4"/>
    <w:rsid w:val="00BC76A5"/>
    <w:rsid w:val="00BC7748"/>
    <w:rsid w:val="00BC7ABB"/>
    <w:rsid w:val="00BC7D3F"/>
    <w:rsid w:val="00BC7D5A"/>
    <w:rsid w:val="00BD00EF"/>
    <w:rsid w:val="00BD0EB3"/>
    <w:rsid w:val="00BD1918"/>
    <w:rsid w:val="00BD1E5C"/>
    <w:rsid w:val="00BD20FC"/>
    <w:rsid w:val="00BD27A6"/>
    <w:rsid w:val="00BD2FE3"/>
    <w:rsid w:val="00BD341B"/>
    <w:rsid w:val="00BD3BFC"/>
    <w:rsid w:val="00BD3D08"/>
    <w:rsid w:val="00BD4160"/>
    <w:rsid w:val="00BD43C8"/>
    <w:rsid w:val="00BD4484"/>
    <w:rsid w:val="00BD4564"/>
    <w:rsid w:val="00BD5152"/>
    <w:rsid w:val="00BD57C1"/>
    <w:rsid w:val="00BD5D1D"/>
    <w:rsid w:val="00BD5F07"/>
    <w:rsid w:val="00BD5F32"/>
    <w:rsid w:val="00BD5FA2"/>
    <w:rsid w:val="00BD5FE2"/>
    <w:rsid w:val="00BD6329"/>
    <w:rsid w:val="00BD638A"/>
    <w:rsid w:val="00BD654F"/>
    <w:rsid w:val="00BD6980"/>
    <w:rsid w:val="00BD6CEC"/>
    <w:rsid w:val="00BD6EC8"/>
    <w:rsid w:val="00BD6EE6"/>
    <w:rsid w:val="00BD710B"/>
    <w:rsid w:val="00BD7896"/>
    <w:rsid w:val="00BD7D03"/>
    <w:rsid w:val="00BD7D15"/>
    <w:rsid w:val="00BD7DEC"/>
    <w:rsid w:val="00BE0050"/>
    <w:rsid w:val="00BE07C5"/>
    <w:rsid w:val="00BE0869"/>
    <w:rsid w:val="00BE0AFC"/>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533"/>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63F"/>
    <w:rsid w:val="00C15861"/>
    <w:rsid w:val="00C15A07"/>
    <w:rsid w:val="00C162B7"/>
    <w:rsid w:val="00C1645E"/>
    <w:rsid w:val="00C164B5"/>
    <w:rsid w:val="00C1662D"/>
    <w:rsid w:val="00C16720"/>
    <w:rsid w:val="00C16875"/>
    <w:rsid w:val="00C16C85"/>
    <w:rsid w:val="00C17776"/>
    <w:rsid w:val="00C17827"/>
    <w:rsid w:val="00C17B50"/>
    <w:rsid w:val="00C17FB0"/>
    <w:rsid w:val="00C2085A"/>
    <w:rsid w:val="00C20DC6"/>
    <w:rsid w:val="00C20F03"/>
    <w:rsid w:val="00C215B3"/>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1EC"/>
    <w:rsid w:val="00C252AA"/>
    <w:rsid w:val="00C25454"/>
    <w:rsid w:val="00C2587F"/>
    <w:rsid w:val="00C25990"/>
    <w:rsid w:val="00C269BA"/>
    <w:rsid w:val="00C269FD"/>
    <w:rsid w:val="00C26B53"/>
    <w:rsid w:val="00C26BFD"/>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24F6"/>
    <w:rsid w:val="00C33350"/>
    <w:rsid w:val="00C33695"/>
    <w:rsid w:val="00C339D5"/>
    <w:rsid w:val="00C33A27"/>
    <w:rsid w:val="00C33B61"/>
    <w:rsid w:val="00C33DA4"/>
    <w:rsid w:val="00C34572"/>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E9E"/>
    <w:rsid w:val="00C832E8"/>
    <w:rsid w:val="00C8374B"/>
    <w:rsid w:val="00C8444D"/>
    <w:rsid w:val="00C84584"/>
    <w:rsid w:val="00C845F6"/>
    <w:rsid w:val="00C847EC"/>
    <w:rsid w:val="00C84994"/>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3F8"/>
    <w:rsid w:val="00CA2510"/>
    <w:rsid w:val="00CA26D2"/>
    <w:rsid w:val="00CA2919"/>
    <w:rsid w:val="00CA2DE2"/>
    <w:rsid w:val="00CA389D"/>
    <w:rsid w:val="00CA38D3"/>
    <w:rsid w:val="00CA3F79"/>
    <w:rsid w:val="00CA3FB7"/>
    <w:rsid w:val="00CA42CB"/>
    <w:rsid w:val="00CA471C"/>
    <w:rsid w:val="00CA4A48"/>
    <w:rsid w:val="00CA4D70"/>
    <w:rsid w:val="00CA4FA7"/>
    <w:rsid w:val="00CA528E"/>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3F6"/>
    <w:rsid w:val="00CE4649"/>
    <w:rsid w:val="00CE5029"/>
    <w:rsid w:val="00CE504A"/>
    <w:rsid w:val="00CE5513"/>
    <w:rsid w:val="00CE5587"/>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60D4"/>
    <w:rsid w:val="00CF67CE"/>
    <w:rsid w:val="00CF6A74"/>
    <w:rsid w:val="00CF6BAB"/>
    <w:rsid w:val="00CF6BE6"/>
    <w:rsid w:val="00CF6E57"/>
    <w:rsid w:val="00CF7136"/>
    <w:rsid w:val="00CF72BD"/>
    <w:rsid w:val="00CF787C"/>
    <w:rsid w:val="00D0010F"/>
    <w:rsid w:val="00D00DC2"/>
    <w:rsid w:val="00D01181"/>
    <w:rsid w:val="00D0136E"/>
    <w:rsid w:val="00D01582"/>
    <w:rsid w:val="00D01613"/>
    <w:rsid w:val="00D016DF"/>
    <w:rsid w:val="00D01728"/>
    <w:rsid w:val="00D01746"/>
    <w:rsid w:val="00D017AB"/>
    <w:rsid w:val="00D01AC2"/>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17FF9"/>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6E8"/>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2C8E"/>
    <w:rsid w:val="00D43126"/>
    <w:rsid w:val="00D438AB"/>
    <w:rsid w:val="00D4407E"/>
    <w:rsid w:val="00D440C2"/>
    <w:rsid w:val="00D4413F"/>
    <w:rsid w:val="00D441CC"/>
    <w:rsid w:val="00D44DD3"/>
    <w:rsid w:val="00D44E6C"/>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728"/>
    <w:rsid w:val="00D54F32"/>
    <w:rsid w:val="00D550E2"/>
    <w:rsid w:val="00D552B8"/>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114"/>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7DC"/>
    <w:rsid w:val="00D87B1D"/>
    <w:rsid w:val="00D9038E"/>
    <w:rsid w:val="00D9105E"/>
    <w:rsid w:val="00D911FD"/>
    <w:rsid w:val="00D9144C"/>
    <w:rsid w:val="00D9147A"/>
    <w:rsid w:val="00D91698"/>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150"/>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2FD"/>
    <w:rsid w:val="00DB79CB"/>
    <w:rsid w:val="00DB7A1C"/>
    <w:rsid w:val="00DB7A49"/>
    <w:rsid w:val="00DB7CCC"/>
    <w:rsid w:val="00DB7F9E"/>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5B99"/>
    <w:rsid w:val="00DC611F"/>
    <w:rsid w:val="00DC684A"/>
    <w:rsid w:val="00DC6AE3"/>
    <w:rsid w:val="00DC6B98"/>
    <w:rsid w:val="00DC707C"/>
    <w:rsid w:val="00DC7D4D"/>
    <w:rsid w:val="00DC7D8E"/>
    <w:rsid w:val="00DD028B"/>
    <w:rsid w:val="00DD044B"/>
    <w:rsid w:val="00DD0503"/>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BF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6F1"/>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6D3A"/>
    <w:rsid w:val="00E374F8"/>
    <w:rsid w:val="00E378FB"/>
    <w:rsid w:val="00E3798D"/>
    <w:rsid w:val="00E37AF8"/>
    <w:rsid w:val="00E40012"/>
    <w:rsid w:val="00E40052"/>
    <w:rsid w:val="00E400EB"/>
    <w:rsid w:val="00E40571"/>
    <w:rsid w:val="00E40B24"/>
    <w:rsid w:val="00E413D8"/>
    <w:rsid w:val="00E41E0C"/>
    <w:rsid w:val="00E42023"/>
    <w:rsid w:val="00E425A8"/>
    <w:rsid w:val="00E43223"/>
    <w:rsid w:val="00E43413"/>
    <w:rsid w:val="00E43591"/>
    <w:rsid w:val="00E435A0"/>
    <w:rsid w:val="00E43C77"/>
    <w:rsid w:val="00E43DA4"/>
    <w:rsid w:val="00E444DB"/>
    <w:rsid w:val="00E4455A"/>
    <w:rsid w:val="00E4472B"/>
    <w:rsid w:val="00E44C87"/>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82D"/>
    <w:rsid w:val="00E74B5B"/>
    <w:rsid w:val="00E74BAF"/>
    <w:rsid w:val="00E74F52"/>
    <w:rsid w:val="00E7502B"/>
    <w:rsid w:val="00E7569E"/>
    <w:rsid w:val="00E756B1"/>
    <w:rsid w:val="00E75AE2"/>
    <w:rsid w:val="00E75FD1"/>
    <w:rsid w:val="00E76699"/>
    <w:rsid w:val="00E768B8"/>
    <w:rsid w:val="00E76C06"/>
    <w:rsid w:val="00E770B0"/>
    <w:rsid w:val="00E77376"/>
    <w:rsid w:val="00E776A1"/>
    <w:rsid w:val="00E77709"/>
    <w:rsid w:val="00E778B6"/>
    <w:rsid w:val="00E77D82"/>
    <w:rsid w:val="00E77DA4"/>
    <w:rsid w:val="00E77DBF"/>
    <w:rsid w:val="00E77EE7"/>
    <w:rsid w:val="00E80004"/>
    <w:rsid w:val="00E8027A"/>
    <w:rsid w:val="00E802D9"/>
    <w:rsid w:val="00E806F5"/>
    <w:rsid w:val="00E806FA"/>
    <w:rsid w:val="00E808F8"/>
    <w:rsid w:val="00E80A9C"/>
    <w:rsid w:val="00E810A4"/>
    <w:rsid w:val="00E811C7"/>
    <w:rsid w:val="00E81212"/>
    <w:rsid w:val="00E8149F"/>
    <w:rsid w:val="00E81969"/>
    <w:rsid w:val="00E81DD1"/>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0876"/>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EE0"/>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480"/>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1F4"/>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3FF1"/>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EF4"/>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19B"/>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15EF"/>
    <w:rsid w:val="00F11A86"/>
    <w:rsid w:val="00F120E4"/>
    <w:rsid w:val="00F128E2"/>
    <w:rsid w:val="00F12C70"/>
    <w:rsid w:val="00F1312E"/>
    <w:rsid w:val="00F13273"/>
    <w:rsid w:val="00F1328F"/>
    <w:rsid w:val="00F132C2"/>
    <w:rsid w:val="00F133AC"/>
    <w:rsid w:val="00F13C39"/>
    <w:rsid w:val="00F13FFD"/>
    <w:rsid w:val="00F14060"/>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3FE"/>
    <w:rsid w:val="00F50B08"/>
    <w:rsid w:val="00F50BA9"/>
    <w:rsid w:val="00F51314"/>
    <w:rsid w:val="00F51B0F"/>
    <w:rsid w:val="00F51B7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C19"/>
    <w:rsid w:val="00F62DEF"/>
    <w:rsid w:val="00F634D4"/>
    <w:rsid w:val="00F63AA1"/>
    <w:rsid w:val="00F63E2E"/>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4E2E"/>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40"/>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57"/>
    <w:rsid w:val="00FB641A"/>
    <w:rsid w:val="00FB6671"/>
    <w:rsid w:val="00FB6969"/>
    <w:rsid w:val="00FB6CD7"/>
    <w:rsid w:val="00FB6D61"/>
    <w:rsid w:val="00FB7450"/>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6B0"/>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60A7785E"/>
    <w:rsid w:val="636F2924"/>
    <w:rsid w:val="702E1B46"/>
    <w:rsid w:val="704A599A"/>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18"/>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17"/>
    <w:unhideWhenUsed/>
    <w:qFormat/>
    <w:uiPriority w:val="9"/>
    <w:pPr>
      <w:spacing w:before="260" w:after="260" w:line="415" w:lineRule="auto"/>
      <w:outlineLvl w:val="2"/>
    </w:pPr>
    <w:rPr>
      <w:rFonts w:eastAsia="仿宋"/>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4"/>
    <w:semiHidden/>
    <w:unhideWhenUsed/>
    <w:qFormat/>
    <w:uiPriority w:val="99"/>
    <w:rPr>
      <w:rFonts w:ascii="宋体" w:eastAsia="宋体"/>
      <w:sz w:val="18"/>
      <w:szCs w:val="18"/>
    </w:rPr>
  </w:style>
  <w:style w:type="paragraph" w:styleId="6">
    <w:name w:val="annotation text"/>
    <w:basedOn w:val="1"/>
    <w:link w:val="25"/>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0"/>
    <w:pPr>
      <w:tabs>
        <w:tab w:val="center" w:pos="4153"/>
        <w:tab w:val="right" w:pos="8306"/>
      </w:tabs>
      <w:snapToGrid w:val="0"/>
      <w:jc w:val="left"/>
    </w:pPr>
    <w:rPr>
      <w:sz w:val="18"/>
      <w:szCs w:val="18"/>
    </w:rPr>
  </w:style>
  <w:style w:type="paragraph" w:styleId="9">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jc w:val="left"/>
    </w:pPr>
    <w:rPr>
      <w:rFonts w:cs="Times New Roman"/>
      <w:kern w:val="0"/>
      <w:sz w:val="24"/>
    </w:rPr>
  </w:style>
  <w:style w:type="paragraph" w:styleId="11">
    <w:name w:val="annotation subject"/>
    <w:basedOn w:val="6"/>
    <w:next w:val="6"/>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qFormat/>
    <w:uiPriority w:val="0"/>
    <w:rPr>
      <w:b/>
      <w:bCs/>
    </w:rPr>
  </w:style>
  <w:style w:type="character" w:styleId="16">
    <w:name w:val="annotation reference"/>
    <w:basedOn w:val="14"/>
    <w:semiHidden/>
    <w:unhideWhenUsed/>
    <w:qFormat/>
    <w:uiPriority w:val="99"/>
    <w:rPr>
      <w:sz w:val="21"/>
      <w:szCs w:val="21"/>
    </w:rPr>
  </w:style>
  <w:style w:type="character" w:customStyle="1" w:styleId="17">
    <w:name w:val="标题 3 Char"/>
    <w:basedOn w:val="14"/>
    <w:link w:val="4"/>
    <w:qFormat/>
    <w:uiPriority w:val="9"/>
    <w:rPr>
      <w:rFonts w:eastAsia="仿宋"/>
      <w:b/>
      <w:bCs/>
      <w:kern w:val="2"/>
      <w:sz w:val="32"/>
      <w:szCs w:val="32"/>
    </w:rPr>
  </w:style>
  <w:style w:type="character" w:customStyle="1" w:styleId="18">
    <w:name w:val="标题 2 Char"/>
    <w:basedOn w:val="14"/>
    <w:link w:val="3"/>
    <w:qFormat/>
    <w:uiPriority w:val="9"/>
    <w:rPr>
      <w:rFonts w:eastAsia="楷体" w:asciiTheme="majorHAnsi" w:hAnsiTheme="majorHAnsi" w:cstheme="majorBidi"/>
      <w:b/>
      <w:bCs/>
      <w:kern w:val="2"/>
      <w:sz w:val="32"/>
      <w:szCs w:val="32"/>
    </w:rPr>
  </w:style>
  <w:style w:type="character" w:customStyle="1" w:styleId="19">
    <w:name w:val="标题 1 Char"/>
    <w:basedOn w:val="14"/>
    <w:link w:val="2"/>
    <w:qFormat/>
    <w:uiPriority w:val="9"/>
    <w:rPr>
      <w:rFonts w:eastAsia="黑体"/>
      <w:bCs/>
      <w:kern w:val="44"/>
      <w:sz w:val="32"/>
      <w:szCs w:val="44"/>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character" w:customStyle="1" w:styleId="22">
    <w:name w:val="批注框文本 Char"/>
    <w:basedOn w:val="14"/>
    <w:link w:val="7"/>
    <w:semiHidden/>
    <w:qFormat/>
    <w:uiPriority w:val="99"/>
    <w:rPr>
      <w:sz w:val="18"/>
      <w:szCs w:val="18"/>
    </w:r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14"/>
    <w:link w:val="23"/>
    <w:qFormat/>
    <w:uiPriority w:val="1"/>
    <w:rPr>
      <w:kern w:val="0"/>
      <w:sz w:val="22"/>
    </w:rPr>
  </w:style>
  <w:style w:type="character" w:customStyle="1" w:styleId="25">
    <w:name w:val="批注文字 Char"/>
    <w:basedOn w:val="14"/>
    <w:link w:val="6"/>
    <w:semiHidden/>
    <w:qFormat/>
    <w:uiPriority w:val="99"/>
    <w:rPr>
      <w:kern w:val="2"/>
      <w:sz w:val="21"/>
      <w:szCs w:val="22"/>
    </w:rPr>
  </w:style>
  <w:style w:type="character" w:customStyle="1" w:styleId="26">
    <w:name w:val="批注主题 Char"/>
    <w:basedOn w:val="25"/>
    <w:link w:val="11"/>
    <w:semiHidden/>
    <w:qFormat/>
    <w:uiPriority w:val="99"/>
    <w:rPr>
      <w:b/>
      <w:bCs/>
      <w:kern w:val="2"/>
      <w:sz w:val="21"/>
      <w:szCs w:val="22"/>
    </w:rPr>
  </w:style>
  <w:style w:type="paragraph" w:customStyle="1" w:styleId="27">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28">
    <w:name w:val="bds_nopic"/>
    <w:basedOn w:val="14"/>
    <w:qFormat/>
    <w:uiPriority w:val="0"/>
  </w:style>
  <w:style w:type="character" w:customStyle="1" w:styleId="29">
    <w:name w:val="bds_nopic1"/>
    <w:basedOn w:val="14"/>
    <w:qFormat/>
    <w:uiPriority w:val="0"/>
  </w:style>
  <w:style w:type="character" w:customStyle="1" w:styleId="30">
    <w:name w:val="bds_nopic2"/>
    <w:basedOn w:val="14"/>
    <w:qFormat/>
    <w:uiPriority w:val="0"/>
  </w:style>
  <w:style w:type="character" w:customStyle="1" w:styleId="31">
    <w:name w:val="bds_more"/>
    <w:basedOn w:val="14"/>
    <w:qFormat/>
    <w:uiPriority w:val="0"/>
  </w:style>
  <w:style w:type="character" w:customStyle="1" w:styleId="32">
    <w:name w:val="bds_more1"/>
    <w:basedOn w:val="14"/>
    <w:qFormat/>
    <w:uiPriority w:val="0"/>
    <w:rPr>
      <w:rFonts w:hint="eastAsia" w:ascii="宋体" w:hAnsi="宋体" w:eastAsia="宋体" w:cs="宋体"/>
    </w:rPr>
  </w:style>
  <w:style w:type="character" w:customStyle="1" w:styleId="33">
    <w:name w:val="bds_more2"/>
    <w:basedOn w:val="14"/>
    <w:qFormat/>
    <w:uiPriority w:val="0"/>
  </w:style>
  <w:style w:type="character" w:customStyle="1" w:styleId="34">
    <w:name w:val="文档结构图 Char"/>
    <w:basedOn w:val="14"/>
    <w:link w:val="5"/>
    <w:semiHidden/>
    <w:qFormat/>
    <w:uiPriority w:val="99"/>
    <w:rPr>
      <w:rFonts w:ascii="宋体" w:eastAsia="宋体"/>
      <w:kern w:val="2"/>
      <w:sz w:val="18"/>
      <w:szCs w:val="18"/>
    </w:rPr>
  </w:style>
  <w:style w:type="paragraph" w:styleId="3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4FA2F3-A6B9-410A-9D3C-9FC074928E9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746</Words>
  <Characters>4258</Characters>
  <Lines>35</Lines>
  <Paragraphs>9</Paragraphs>
  <TotalTime>1643</TotalTime>
  <ScaleCrop>false</ScaleCrop>
  <LinksUpToDate>false</LinksUpToDate>
  <CharactersWithSpaces>4995</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2018-11-25T03:59:00Z</dcterms:created>
  <dc:creator>系统管理员</dc:creator>
  <cp:lastModifiedBy>小小小小</cp:lastModifiedBy>
  <cp:lastPrinted>2018-09-13T08:32:00Z</cp:lastPrinted>
  <dcterms:modified xsi:type="dcterms:W3CDTF">2021-09-06T01:51:23Z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KSOSaveFontToCloudKey">
    <vt:lpwstr>301583558_cloud</vt:lpwstr>
  </property>
  <property fmtid="{D5CDD505-2E9C-101B-9397-08002B2CF9AE}" pid="4" name="ICV">
    <vt:lpwstr>82B0838479AC46618A3332462CA1845F</vt:lpwstr>
  </property>
</Properties>
</file>