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w:t>
      </w:r>
    </w:p>
    <w:p>
      <w:pPr>
        <w:rPr>
          <w:rFonts w:ascii="宋体" w:hAnsi="宋体" w:eastAsia="宋体" w:cs="宋体"/>
          <w:b/>
          <w:sz w:val="32"/>
          <w:szCs w:val="32"/>
        </w:rPr>
      </w:pPr>
    </w:p>
    <w:p>
      <w:pPr>
        <w:rPr>
          <w:rFonts w:ascii="宋体" w:hAnsi="宋体" w:eastAsia="宋体" w:cs="宋体"/>
          <w:b/>
          <w:sz w:val="32"/>
          <w:szCs w:val="32"/>
        </w:rPr>
      </w:pPr>
    </w:p>
    <w:p>
      <w:pPr>
        <w:spacing w:line="420" w:lineRule="exact"/>
        <w:jc w:val="center"/>
        <w:rPr>
          <w:rStyle w:val="11"/>
          <w:rFonts w:ascii="仿宋" w:hAnsi="仿宋" w:eastAsia="仿宋" w:cs="仿宋"/>
          <w:sz w:val="36"/>
          <w:szCs w:val="36"/>
        </w:rPr>
      </w:pPr>
    </w:p>
    <w:p>
      <w:pPr>
        <w:spacing w:line="420" w:lineRule="exact"/>
        <w:jc w:val="center"/>
        <w:rPr>
          <w:rStyle w:val="11"/>
          <w:rFonts w:ascii="仿宋" w:hAnsi="仿宋" w:eastAsia="仿宋" w:cs="仿宋"/>
          <w:sz w:val="36"/>
          <w:szCs w:val="36"/>
        </w:rPr>
      </w:pPr>
    </w:p>
    <w:p>
      <w:pPr>
        <w:spacing w:line="420" w:lineRule="exact"/>
        <w:jc w:val="center"/>
        <w:rPr>
          <w:rStyle w:val="11"/>
          <w:rFonts w:ascii="仿宋" w:hAnsi="仿宋" w:eastAsia="仿宋" w:cs="仿宋"/>
          <w:sz w:val="36"/>
          <w:szCs w:val="36"/>
        </w:rPr>
      </w:pPr>
    </w:p>
    <w:p>
      <w:pPr>
        <w:keepNext w:val="0"/>
        <w:keepLines w:val="0"/>
        <w:pageBreakBefore w:val="0"/>
        <w:widowControl w:val="0"/>
        <w:tabs>
          <w:tab w:val="left" w:pos="1534"/>
          <w:tab w:val="center" w:pos="4216"/>
        </w:tabs>
        <w:kinsoku/>
        <w:wordWrap/>
        <w:overflowPunct/>
        <w:topLinePunct w:val="0"/>
        <w:autoSpaceDE/>
        <w:autoSpaceDN/>
        <w:bidi w:val="0"/>
        <w:adjustRightInd/>
        <w:snapToGrid/>
        <w:spacing w:line="360" w:lineRule="auto"/>
        <w:ind w:firstLine="2278" w:firstLineChars="850"/>
        <w:jc w:val="left"/>
        <w:textAlignment w:val="auto"/>
        <w:rPr>
          <w:rStyle w:val="11"/>
          <w:rFonts w:hint="eastAsia" w:ascii="Times New Roman" w:hAnsi="Times New Roman" w:eastAsia="宋体" w:cs="Times New Roman"/>
          <w:b w:val="0"/>
          <w:bCs w:val="0"/>
          <w:spacing w:val="-6"/>
          <w:sz w:val="30"/>
          <w:szCs w:val="30"/>
          <w:lang w:val="en-US" w:eastAsia="zh-CN"/>
        </w:rPr>
      </w:pPr>
      <w:r>
        <w:rPr>
          <w:rStyle w:val="11"/>
          <w:rFonts w:hint="eastAsia" w:ascii="Times New Roman" w:hAnsi="Times New Roman" w:eastAsia="宋体" w:cs="Times New Roman"/>
          <w:b w:val="0"/>
          <w:bCs w:val="0"/>
          <w:spacing w:val="-6"/>
          <w:sz w:val="28"/>
          <w:szCs w:val="28"/>
          <w:lang w:val="en-US" w:eastAsia="zh-CN"/>
        </w:rPr>
        <w:t>2020年度南县政治协商委员会办公室调研协商经费</w:t>
      </w:r>
      <w:r>
        <w:rPr>
          <w:rStyle w:val="11"/>
          <w:rFonts w:hint="eastAsia" w:ascii="Times New Roman" w:hAnsi="Times New Roman" w:eastAsia="宋体" w:cs="Times New Roman"/>
          <w:b w:val="0"/>
          <w:bCs w:val="0"/>
          <w:spacing w:val="-6"/>
          <w:sz w:val="30"/>
          <w:szCs w:val="30"/>
          <w:lang w:val="en-US" w:eastAsia="zh-CN"/>
        </w:rPr>
        <w:t xml:space="preserve"> </w:t>
      </w:r>
    </w:p>
    <w:p>
      <w:pPr>
        <w:keepNext w:val="0"/>
        <w:keepLines w:val="0"/>
        <w:pageBreakBefore w:val="0"/>
        <w:widowControl w:val="0"/>
        <w:tabs>
          <w:tab w:val="left" w:pos="1534"/>
          <w:tab w:val="center" w:pos="4216"/>
        </w:tabs>
        <w:kinsoku/>
        <w:wordWrap/>
        <w:overflowPunct/>
        <w:topLinePunct w:val="0"/>
        <w:autoSpaceDE/>
        <w:autoSpaceDN/>
        <w:bidi w:val="0"/>
        <w:adjustRightInd/>
        <w:snapToGrid/>
        <w:spacing w:line="360" w:lineRule="auto"/>
        <w:ind w:firstLine="3520" w:firstLineChars="1100"/>
        <w:jc w:val="left"/>
        <w:textAlignment w:val="auto"/>
        <w:rPr>
          <w:rStyle w:val="11"/>
          <w:rFonts w:hint="eastAsia" w:ascii="Times New Roman" w:hAnsi="Times New Roman" w:eastAsia="宋体" w:cs="Times New Roman"/>
          <w:b w:val="0"/>
          <w:bCs w:val="0"/>
          <w:sz w:val="30"/>
          <w:szCs w:val="30"/>
          <w:lang w:val="en-US" w:eastAsia="zh-CN"/>
        </w:rPr>
      </w:pPr>
      <w:r>
        <w:rPr>
          <w:rStyle w:val="11"/>
          <w:rFonts w:hint="eastAsia" w:ascii="Times New Roman" w:hAnsi="Times New Roman" w:eastAsia="宋体" w:cs="Times New Roman"/>
          <w:b w:val="0"/>
          <w:bCs w:val="0"/>
          <w:sz w:val="32"/>
          <w:szCs w:val="32"/>
          <w:lang w:val="en-US" w:eastAsia="zh-CN"/>
        </w:rPr>
        <w:t>财政专项资金绩效评价报告</w:t>
      </w:r>
    </w:p>
    <w:p>
      <w:pPr>
        <w:keepNext w:val="0"/>
        <w:keepLines w:val="0"/>
        <w:pageBreakBefore w:val="0"/>
        <w:widowControl w:val="0"/>
        <w:tabs>
          <w:tab w:val="left" w:pos="1534"/>
          <w:tab w:val="center" w:pos="4216"/>
        </w:tabs>
        <w:kinsoku/>
        <w:wordWrap/>
        <w:overflowPunct/>
        <w:topLinePunct w:val="0"/>
        <w:autoSpaceDE/>
        <w:autoSpaceDN/>
        <w:bidi w:val="0"/>
        <w:adjustRightInd/>
        <w:snapToGrid/>
        <w:spacing w:line="360" w:lineRule="auto"/>
        <w:ind w:firstLine="3720" w:firstLineChars="1550"/>
        <w:jc w:val="left"/>
        <w:textAlignment w:val="auto"/>
        <w:rPr>
          <w:rStyle w:val="11"/>
          <w:rFonts w:hint="eastAsia" w:ascii="Times New Roman" w:hAnsi="Times New Roman" w:eastAsia="宋体" w:cs="Times New Roman"/>
          <w:b w:val="0"/>
          <w:bCs w:val="0"/>
          <w:sz w:val="32"/>
          <w:szCs w:val="32"/>
          <w:lang w:val="en-US" w:eastAsia="zh-CN"/>
        </w:rPr>
        <w:sectPr>
          <w:headerReference r:id="rId4" w:type="first"/>
          <w:headerReference r:id="rId3" w:type="default"/>
          <w:footerReference r:id="rId5" w:type="default"/>
          <w:pgSz w:w="11906" w:h="16838"/>
          <w:pgMar w:top="1440" w:right="1797" w:bottom="1440" w:left="1797" w:header="851" w:footer="992" w:gutter="0"/>
          <w:pgNumType w:start="4"/>
          <w:cols w:space="720" w:num="1"/>
          <w:titlePg/>
          <w:docGrid w:linePitch="326" w:charSpace="0"/>
        </w:sectPr>
      </w:pPr>
      <w:r>
        <w:rPr>
          <w:rStyle w:val="11"/>
          <w:rFonts w:hint="eastAsia" w:ascii="Times New Roman" w:hAnsi="Times New Roman" w:eastAsia="宋体" w:cs="Times New Roman"/>
          <w:b w:val="0"/>
          <w:bCs w:val="0"/>
          <w:sz w:val="24"/>
          <w:szCs w:val="24"/>
          <w:lang w:val="en-US" w:eastAsia="zh-CN"/>
        </w:rPr>
        <w:t>勤信湘专字【2021】第0062号</w:t>
      </w:r>
      <w:r>
        <w:rPr>
          <w:rStyle w:val="11"/>
          <w:rFonts w:hint="eastAsia" w:ascii="Times New Roman" w:hAnsi="Times New Roman" w:eastAsia="宋体" w:cs="Times New Roman"/>
          <w:b w:val="0"/>
          <w:bCs w:val="0"/>
          <w:sz w:val="32"/>
          <w:szCs w:val="32"/>
          <w:lang w:val="en-US" w:eastAsia="zh-CN"/>
        </w:rPr>
        <w:t xml:space="preserve">  </w:t>
      </w:r>
    </w:p>
    <w:p>
      <w:pPr>
        <w:ind w:left="3402" w:leftChars="1620"/>
        <w:rPr>
          <w:rFonts w:hint="default" w:ascii="Times New Roman" w:hAnsi="Times New Roman" w:cs="Times New Roman"/>
          <w:bCs/>
          <w:sz w:val="32"/>
          <w:szCs w:val="32"/>
        </w:rPr>
      </w:pPr>
    </w:p>
    <w:p>
      <w:pPr>
        <w:ind w:left="3402" w:leftChars="1620"/>
        <w:rPr>
          <w:rFonts w:hint="default" w:ascii="Times New Roman" w:hAnsi="Times New Roman" w:cs="Times New Roman"/>
          <w:bCs/>
          <w:sz w:val="32"/>
          <w:szCs w:val="32"/>
        </w:rPr>
      </w:pPr>
    </w:p>
    <w:p>
      <w:pPr>
        <w:ind w:left="3402" w:leftChars="1620"/>
        <w:rPr>
          <w:rFonts w:hint="default" w:ascii="Times New Roman" w:hAnsi="Times New Roman" w:cs="Times New Roman"/>
          <w:b/>
          <w:sz w:val="32"/>
        </w:rPr>
      </w:pPr>
      <w:r>
        <w:rPr>
          <w:rFonts w:hint="default" w:ascii="Times New Roman" w:hAnsi="Times New Roman" w:cs="Times New Roman"/>
          <w:bCs/>
          <w:sz w:val="32"/>
          <w:szCs w:val="32"/>
        </w:rPr>
        <w:t xml:space="preserve">     </w:t>
      </w:r>
    </w:p>
    <w:p>
      <w:pPr>
        <w:jc w:val="center"/>
        <w:rPr>
          <w:rFonts w:hint="default" w:ascii="Times New Roman" w:hAnsi="Times New Roman" w:cs="Times New Roman"/>
          <w:b/>
          <w:sz w:val="32"/>
          <w:szCs w:val="32"/>
        </w:rPr>
      </w:pPr>
      <w:r>
        <w:rPr>
          <w:rFonts w:hint="default" w:ascii="Times New Roman" w:hAnsi="Times New Roman" w:cs="Times New Roman"/>
          <w:b/>
          <w:sz w:val="32"/>
          <w:szCs w:val="32"/>
        </w:rPr>
        <w:t>目    录</w:t>
      </w:r>
    </w:p>
    <w:p>
      <w:pPr>
        <w:rPr>
          <w:rFonts w:hint="default" w:ascii="Times New Roman" w:hAnsi="Times New Roman" w:cs="Times New Roman"/>
          <w:sz w:val="28"/>
          <w:szCs w:val="28"/>
        </w:rPr>
      </w:pPr>
    </w:p>
    <w:p>
      <w:pPr>
        <w:rPr>
          <w:rFonts w:hint="default" w:ascii="Times New Roman" w:hAnsi="Times New Roman" w:cs="Times New Roman"/>
          <w:sz w:val="28"/>
          <w:szCs w:val="28"/>
        </w:rPr>
      </w:pPr>
    </w:p>
    <w:tbl>
      <w:tblPr>
        <w:tblStyle w:val="9"/>
        <w:tblW w:w="0" w:type="auto"/>
        <w:jc w:val="center"/>
        <w:tblLayout w:type="fixed"/>
        <w:tblCellMar>
          <w:top w:w="0" w:type="dxa"/>
          <w:left w:w="28" w:type="dxa"/>
          <w:bottom w:w="0" w:type="dxa"/>
          <w:right w:w="28" w:type="dxa"/>
        </w:tblCellMar>
      </w:tblPr>
      <w:tblGrid>
        <w:gridCol w:w="2400"/>
        <w:gridCol w:w="2264"/>
        <w:gridCol w:w="464"/>
        <w:gridCol w:w="1080"/>
        <w:gridCol w:w="496"/>
      </w:tblGrid>
      <w:tr>
        <w:tblPrEx>
          <w:tblCellMar>
            <w:top w:w="0" w:type="dxa"/>
            <w:left w:w="28" w:type="dxa"/>
            <w:bottom w:w="0" w:type="dxa"/>
            <w:right w:w="28" w:type="dxa"/>
          </w:tblCellMar>
        </w:tblPrEx>
        <w:trPr>
          <w:trHeight w:val="340" w:hRule="exact"/>
          <w:jc w:val="center"/>
        </w:trPr>
        <w:tc>
          <w:tcPr>
            <w:tcW w:w="240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r>
              <w:rPr>
                <w:rFonts w:hint="default" w:ascii="Times New Roman" w:hAnsi="Times New Roman" w:cs="Times New Roman"/>
                <w:sz w:val="24"/>
              </w:rPr>
              <w:t>内     容</w:t>
            </w:r>
          </w:p>
        </w:tc>
        <w:tc>
          <w:tcPr>
            <w:tcW w:w="22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p>
        </w:tc>
        <w:tc>
          <w:tcPr>
            <w:tcW w:w="4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p>
        </w:tc>
        <w:tc>
          <w:tcPr>
            <w:tcW w:w="108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r>
              <w:rPr>
                <w:rFonts w:hint="default" w:ascii="Times New Roman" w:hAnsi="Times New Roman" w:cs="Times New Roman"/>
                <w:sz w:val="24"/>
              </w:rPr>
              <w:t>页  次</w:t>
            </w:r>
          </w:p>
        </w:tc>
        <w:tc>
          <w:tcPr>
            <w:tcW w:w="4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p>
        </w:tc>
      </w:tr>
      <w:tr>
        <w:tblPrEx>
          <w:tblCellMar>
            <w:top w:w="0" w:type="dxa"/>
            <w:left w:w="28" w:type="dxa"/>
            <w:bottom w:w="0" w:type="dxa"/>
            <w:right w:w="28" w:type="dxa"/>
          </w:tblCellMar>
        </w:tblPrEx>
        <w:trPr>
          <w:trHeight w:val="284" w:hRule="exact"/>
          <w:jc w:val="center"/>
        </w:trPr>
        <w:tc>
          <w:tcPr>
            <w:tcW w:w="466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p>
        </w:tc>
        <w:tc>
          <w:tcPr>
            <w:tcW w:w="204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p>
        </w:tc>
      </w:tr>
      <w:tr>
        <w:tblPrEx>
          <w:tblCellMar>
            <w:top w:w="0" w:type="dxa"/>
            <w:left w:w="28" w:type="dxa"/>
            <w:bottom w:w="0" w:type="dxa"/>
            <w:right w:w="28" w:type="dxa"/>
          </w:tblCellMar>
        </w:tblPrEx>
        <w:trPr>
          <w:trHeight w:val="567" w:hRule="exact"/>
          <w:jc w:val="center"/>
        </w:trPr>
        <w:tc>
          <w:tcPr>
            <w:tcW w:w="466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r>
              <w:rPr>
                <w:rFonts w:hint="default" w:ascii="Times New Roman" w:hAnsi="Times New Roman" w:cs="Times New Roman"/>
                <w:sz w:val="24"/>
              </w:rPr>
              <w:t>一、绩效评价报告</w:t>
            </w:r>
          </w:p>
        </w:tc>
        <w:tc>
          <w:tcPr>
            <w:tcW w:w="204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sz w:val="24"/>
                <w:lang w:val="en-US" w:eastAsia="zh-CN"/>
              </w:rPr>
            </w:pPr>
            <w:r>
              <w:rPr>
                <w:rFonts w:hint="default" w:ascii="Times New Roman" w:hAnsi="Times New Roman" w:cs="Times New Roman"/>
                <w:sz w:val="24"/>
                <w:lang w:val="en-US" w:eastAsia="zh-CN"/>
              </w:rPr>
              <w:t>1-</w:t>
            </w:r>
            <w:r>
              <w:rPr>
                <w:rFonts w:hint="eastAsia" w:ascii="Times New Roman" w:hAnsi="Times New Roman" w:cs="Times New Roman"/>
                <w:sz w:val="24"/>
                <w:lang w:val="en-US" w:eastAsia="zh-CN"/>
              </w:rPr>
              <w:t>7</w:t>
            </w:r>
          </w:p>
        </w:tc>
      </w:tr>
    </w:tbl>
    <w:p>
      <w:pPr>
        <w:spacing w:line="440" w:lineRule="exact"/>
        <w:rPr>
          <w:rFonts w:hint="eastAsia" w:ascii="华文隶书" w:hAnsi="华文隶书" w:eastAsia="华文隶书" w:cs="华文隶书"/>
          <w:spacing w:val="20"/>
          <w:sz w:val="28"/>
          <w:szCs w:val="18"/>
        </w:rPr>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pPr>
    </w:p>
    <w:p>
      <w:pPr>
        <w:spacing w:line="320" w:lineRule="exact"/>
        <w:rPr>
          <w:rFonts w:hint="default" w:ascii="Times New Roman" w:hAnsi="Times New Roman" w:eastAsia="华文隶书" w:cs="Times New Roman"/>
          <w:spacing w:val="20"/>
          <w:sz w:val="28"/>
        </w:rPr>
      </w:pPr>
      <w:r>
        <w:rPr>
          <w:rFonts w:hint="default" w:ascii="Times New Roman" w:hAnsi="Times New Roman" w:eastAsia="华文隶书" w:cs="Times New Roman"/>
          <w:spacing w:val="20"/>
          <w:sz w:val="28"/>
        </w:rPr>
        <w:t>中勤万信会计师事务所(特殊普通合伙)湖南分所</w:t>
      </w:r>
    </w:p>
    <w:p>
      <w:pPr>
        <w:pStyle w:val="7"/>
        <w:pBdr>
          <w:bottom w:val="none" w:color="auto" w:sz="0" w:space="0"/>
        </w:pBdr>
        <w:tabs>
          <w:tab w:val="left" w:pos="240"/>
          <w:tab w:val="left" w:pos="6960"/>
          <w:tab w:val="clear" w:pos="8306"/>
        </w:tabs>
        <w:jc w:val="both"/>
        <w:rPr>
          <w:rFonts w:hint="default" w:ascii="Times New Roman" w:hAnsi="Times New Roman" w:eastAsia="宋体" w:cs="Times New Roman"/>
        </w:rPr>
      </w:pPr>
      <w:r>
        <w:rPr>
          <w:rFonts w:hint="default" w:ascii="Times New Roman" w:hAnsi="Times New Roman" w:eastAsia="宋体" w:cs="Times New Roman"/>
        </w:rPr>
        <w:t>地址：湖南省长沙市天心区芙蓉中路三段266号弘林大厦707房</w:t>
      </w:r>
    </w:p>
    <w:p>
      <w:pPr>
        <w:pStyle w:val="7"/>
        <w:pBdr>
          <w:bottom w:val="none" w:color="auto" w:sz="0" w:space="0"/>
        </w:pBdr>
        <w:tabs>
          <w:tab w:val="left" w:pos="240"/>
          <w:tab w:val="left" w:pos="6960"/>
          <w:tab w:val="clear" w:pos="8306"/>
        </w:tabs>
        <w:jc w:val="both"/>
        <w:rPr>
          <w:rFonts w:hint="default" w:ascii="Times New Roman" w:hAnsi="Times New Roman" w:eastAsia="宋体" w:cs="Times New Roman"/>
        </w:rPr>
      </w:pPr>
      <w:r>
        <w:rPr>
          <w:rFonts w:hint="default" w:ascii="Times New Roman" w:hAnsi="Times New Roman" w:eastAsia="宋体" w:cs="Times New Roman"/>
        </w:rPr>
        <w:t>电话：0731-82561635</w:t>
      </w:r>
    </w:p>
    <w:p>
      <w:pPr>
        <w:pStyle w:val="7"/>
        <w:pBdr>
          <w:bottom w:val="none" w:color="auto" w:sz="0" w:space="0"/>
        </w:pBdr>
        <w:tabs>
          <w:tab w:val="left" w:pos="240"/>
          <w:tab w:val="left" w:pos="6960"/>
          <w:tab w:val="clear" w:pos="8306"/>
        </w:tabs>
        <w:jc w:val="both"/>
        <w:rPr>
          <w:rFonts w:hint="default" w:ascii="Times New Roman" w:hAnsi="Times New Roman" w:eastAsia="宋体" w:cs="Times New Roman"/>
        </w:rPr>
      </w:pPr>
      <w:r>
        <w:rPr>
          <w:rFonts w:hint="default" w:ascii="Times New Roman" w:hAnsi="Times New Roman" w:eastAsia="宋体" w:cs="Times New Roman"/>
        </w:rPr>
        <w:t>传真：0731-82561635-8001</w:t>
      </w:r>
    </w:p>
    <w:p>
      <w:pPr>
        <w:pStyle w:val="7"/>
        <w:pBdr>
          <w:bottom w:val="none" w:color="auto" w:sz="0" w:space="0"/>
        </w:pBdr>
        <w:jc w:val="both"/>
        <w:rPr>
          <w:rFonts w:hint="default" w:ascii="Times New Roman" w:hAnsi="Times New Roman" w:eastAsia="宋体" w:cs="Times New Roman"/>
        </w:rPr>
      </w:pPr>
      <w:r>
        <w:rPr>
          <w:rFonts w:hint="default" w:ascii="Times New Roman" w:hAnsi="Times New Roman" w:eastAsia="宋体" w:cs="Times New Roman"/>
        </w:rPr>
        <w:t>邮编：410000</w:t>
      </w:r>
    </w:p>
    <w:p>
      <w:pPr>
        <w:spacing w:line="360" w:lineRule="exact"/>
        <w:ind w:right="215"/>
        <w:rPr>
          <w:rFonts w:eastAsia="宋体"/>
          <w:sz w:val="22"/>
        </w:rPr>
      </w:pPr>
      <w:r>
        <w:rPr>
          <w:rFonts w:eastAsia="宋体"/>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65405</wp:posOffset>
                </wp:positionV>
                <wp:extent cx="2209800" cy="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V="1">
                          <a:off x="0" y="0"/>
                          <a:ext cx="22098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0.05pt;margin-top:5.15pt;height:0pt;width:174pt;z-index:251659264;mso-width-relative:page;mso-height-relative:page;" filled="f" stroked="t" coordsize="21600,21600" o:gfxdata="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22&#10;5O3TAAAABwEAAA8AAAAAAAAAAQAgAAAAIgAAAGRycy9kb3ducmV2LnhtbFBLAQIUABQAAAAIAIdO&#10;4kDHSSQh7wEAAMIDAAAOAAAAAAAAAAEAIAAAACIBAABkcnMvZTJvRG9jLnhtbFBLBQYAAAAABgAG&#10;AFkBAACDBQAAAAA=&#10;">
                <v:fill on="f" focussize="0,0"/>
                <v:stroke color="#00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Style w:val="11"/>
          <w:rFonts w:hint="eastAsia" w:ascii="Times New Roman" w:hAnsi="Times New Roman" w:eastAsia="宋体"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Style w:val="11"/>
          <w:rFonts w:hint="eastAsia" w:ascii="Times New Roman" w:hAnsi="Times New Roman" w:eastAsia="宋体" w:cs="Times New Roman"/>
          <w:sz w:val="32"/>
          <w:szCs w:val="32"/>
        </w:rPr>
      </w:pPr>
      <w:r>
        <w:rPr>
          <w:rStyle w:val="11"/>
          <w:rFonts w:hint="eastAsia" w:ascii="Times New Roman" w:hAnsi="Times New Roman" w:eastAsia="宋体" w:cs="Times New Roman"/>
          <w:sz w:val="32"/>
          <w:szCs w:val="32"/>
        </w:rPr>
        <w:t>2020年度南县政治协商委员会办公室调研协商经费</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宋体" w:hAnsi="宋体" w:eastAsia="宋体" w:cs="宋体"/>
          <w:b/>
          <w:bCs/>
          <w:sz w:val="36"/>
          <w:szCs w:val="36"/>
        </w:rPr>
      </w:pPr>
      <w:r>
        <w:rPr>
          <w:rStyle w:val="11"/>
          <w:rFonts w:hint="eastAsia" w:ascii="Times New Roman" w:hAnsi="Times New Roman" w:eastAsia="宋体" w:cs="Times New Roman"/>
          <w:sz w:val="32"/>
          <w:szCs w:val="32"/>
        </w:rPr>
        <w:t>专项资金绩效评价报告</w:t>
      </w:r>
    </w:p>
    <w:p>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ascii="Times New Roman" w:hAnsi="Times New Roman" w:eastAsia="宋体" w:cs="Times New Roman"/>
          <w:szCs w:val="21"/>
        </w:rPr>
      </w:pPr>
      <w:r>
        <w:rPr>
          <w:rFonts w:hint="eastAsia" w:ascii="宋体" w:hAnsi="宋体" w:eastAsia="宋体" w:cs="宋体"/>
          <w:color w:val="000000" w:themeColor="text1"/>
          <w:sz w:val="24"/>
          <w14:textFill>
            <w14:solidFill>
              <w14:schemeClr w14:val="tx1"/>
            </w14:solidFill>
          </w14:textFill>
        </w:rPr>
        <w:t xml:space="preserve">    </w:t>
      </w:r>
      <w:r>
        <w:rPr>
          <w:rFonts w:hint="default" w:ascii="Times New Roman" w:hAnsi="Times New Roman" w:eastAsia="宋体" w:cs="Times New Roman"/>
          <w:sz w:val="21"/>
          <w:szCs w:val="21"/>
        </w:rPr>
        <w:t>勤信湘专字【2021】第00</w:t>
      </w:r>
      <w:r>
        <w:rPr>
          <w:rFonts w:hint="eastAsia" w:ascii="Times New Roman" w:hAnsi="Times New Roman" w:eastAsia="宋体" w:cs="Times New Roman"/>
          <w:sz w:val="21"/>
          <w:szCs w:val="21"/>
          <w:lang w:val="en-US" w:eastAsia="zh-CN"/>
        </w:rPr>
        <w:t>62</w:t>
      </w:r>
      <w:r>
        <w:rPr>
          <w:rFonts w:hint="default" w:ascii="Times New Roman" w:hAnsi="Times New Roman" w:eastAsia="宋体" w:cs="Times New Roman"/>
          <w:sz w:val="21"/>
          <w:szCs w:val="21"/>
        </w:rPr>
        <w:t>号</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为进一步规范财政资金管理，强化财政资金支出绩效理念，切实提高财政资金使用效益，根据《中共中央国务院关于全面实施预算绩效管理的意见》（中发〔2018〕34号）、《中共湖南省委办公厅、湖南省人民政府办公厅关于全面实施预算绩效管理的实施意见》（湘办发〔2019〕10号）《湖南省财政厅关于印发&lt;湖南省预算支出绩效评价管理办法&gt;的通知》（湘财绩〔2020〕7号）、《湖南省财政厅关于认真做好委托中介机构参与预算绩效管理工作的通知》（湘财绩〔2012〕11号）等预算绩效文件的要求，受南县财政局委托，中勤万信会计师事务所湖南分所于2021年5月7日至6月3日对2020年度南县政治协商委员会办公室调研协商经费 财政专项资金实施了绩效评价，评价采用定量分析和定性分析相结合的方法，在项目自评价的基础上对项目从预算编制与执行、资金分配与使用、资金监督与管理及财务会计信息、项目组织管理、项目绩效完成等方面进行综合评价。现将有关情况报告如下:</w:t>
      </w:r>
    </w:p>
    <w:p>
      <w:pPr>
        <w:pStyle w:val="2"/>
        <w:keepNext w:val="0"/>
        <w:keepLines w:val="0"/>
        <w:pageBreakBefore w:val="0"/>
        <w:kinsoku/>
        <w:wordWrap/>
        <w:overflowPunct/>
        <w:topLinePunct w:val="0"/>
        <w:autoSpaceDE/>
        <w:autoSpaceDN/>
        <w:bidi w:val="0"/>
        <w:adjustRightInd/>
        <w:snapToGrid w:val="0"/>
        <w:spacing w:before="0" w:after="0" w:line="360" w:lineRule="auto"/>
        <w:ind w:firstLine="482" w:firstLineChars="200"/>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一、项目基本情况概述</w:t>
      </w:r>
    </w:p>
    <w:p>
      <w:pPr>
        <w:pStyle w:val="3"/>
        <w:keepNext w:val="0"/>
        <w:keepLines w:val="0"/>
        <w:pageBreakBefore w:val="0"/>
        <w:numPr>
          <w:ilvl w:val="0"/>
          <w:numId w:val="1"/>
        </w:numPr>
        <w:kinsoku/>
        <w:wordWrap/>
        <w:overflowPunct/>
        <w:topLinePunct w:val="0"/>
        <w:autoSpaceDE/>
        <w:autoSpaceDN/>
        <w:bidi w:val="0"/>
        <w:adjustRightInd/>
        <w:snapToGrid w:val="0"/>
        <w:spacing w:before="0" w:after="0"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项目基本情况</w:t>
      </w:r>
    </w:p>
    <w:p>
      <w:pPr>
        <w:pStyle w:val="3"/>
        <w:keepNext w:val="0"/>
        <w:keepLines w:val="0"/>
        <w:pageBreakBefore w:val="0"/>
        <w:kinsoku/>
        <w:wordWrap/>
        <w:overflowPunct/>
        <w:topLinePunct w:val="0"/>
        <w:autoSpaceDE/>
        <w:autoSpaceDN/>
        <w:bidi w:val="0"/>
        <w:adjustRightInd/>
        <w:snapToGrid w:val="0"/>
        <w:spacing w:before="0" w:after="0"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调研协商经费专项工作职能为认真执行政治协商、民主监督、参政议政，坚持团结和民主两大主体，推进新时代政协工作高质量发展，深入开展调研协商，以“数量适度、质量为要”的理念精选协商调研议题，围绕县委经济工作会议和《政府工作报告》的部署要求开展政协委员视察、参观、调查、座谈、学习、研讨等日常活动的服务和具体组织工作，研究统一战线和人民政协的理论、政策，调查研究地方政协的共同性问题及其解决办法，并形成前瞻性、科学性、指导性建言成果，为县委、县政府实现科学决策提供参考，同时宣传人民政协的方针政策、工作业绩和经验以及政协委员的先进事迹，收集和反映县政协委员和各界人士的意见与建议，统合、反映社情民意，并联系和指导全县各乡镇政协联工组的工作，联系工商联、各人民团体和无党派人士，联系县直有关部门，互传信息，搞好协调，加强合作。全年工作计划为开展专题调研协商、视察调研协商、接待调研来坊等工作。</w:t>
      </w:r>
    </w:p>
    <w:p>
      <w:pPr>
        <w:pStyle w:val="2"/>
        <w:keepNext w:val="0"/>
        <w:keepLines w:val="0"/>
        <w:pageBreakBefore w:val="0"/>
        <w:kinsoku/>
        <w:wordWrap/>
        <w:overflowPunct/>
        <w:topLinePunct w:val="0"/>
        <w:autoSpaceDE/>
        <w:autoSpaceDN/>
        <w:bidi w:val="0"/>
        <w:adjustRightInd/>
        <w:snapToGrid w:val="0"/>
        <w:spacing w:before="0" w:after="0" w:line="360" w:lineRule="auto"/>
        <w:ind w:firstLine="482" w:firstLineChars="200"/>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二、绩效评价工作情况</w:t>
      </w:r>
    </w:p>
    <w:p>
      <w:pPr>
        <w:pStyle w:val="3"/>
        <w:keepNext w:val="0"/>
        <w:keepLines w:val="0"/>
        <w:pageBreakBefore w:val="0"/>
        <w:numPr>
          <w:ilvl w:val="0"/>
          <w:numId w:val="0"/>
        </w:numPr>
        <w:kinsoku/>
        <w:wordWrap/>
        <w:overflowPunct/>
        <w:topLinePunct w:val="0"/>
        <w:autoSpaceDE/>
        <w:autoSpaceDN/>
        <w:bidi w:val="0"/>
        <w:adjustRightInd/>
        <w:snapToGrid w:val="0"/>
        <w:spacing w:before="0" w:after="0" w:line="360" w:lineRule="auto"/>
        <w:ind w:firstLine="480" w:firstLineChars="200"/>
        <w:textAlignment w:val="auto"/>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eastAsia="zh-CN"/>
        </w:rPr>
        <w:t>（</w:t>
      </w:r>
      <w:r>
        <w:rPr>
          <w:rFonts w:hint="eastAsia" w:ascii="Times New Roman" w:hAnsi="Times New Roman" w:eastAsia="宋体" w:cs="Times New Roman"/>
          <w:b w:val="0"/>
          <w:bCs w:val="0"/>
          <w:sz w:val="24"/>
          <w:szCs w:val="24"/>
          <w:lang w:val="en-US" w:eastAsia="zh-CN"/>
        </w:rPr>
        <w:t>一</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绩效评价目的</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通过对南县政治协商委员会办公室2020年调研协商经费专项资金的绩效评价，全面跟踪调研协商经费专项资金的来源、使用和管理情况；项目的申报、项目的审批、项目的组织实施及事后的考核情况；评价调研协商经费专项资金使用是否达到预期目标，资金使用是否有效益；总结经验，分析问题，强化调研协商经费专项资金的管理，为以后调研协商经费专项资金的管理和预算安排提供参考依据。</w:t>
      </w:r>
    </w:p>
    <w:p>
      <w:pPr>
        <w:pStyle w:val="3"/>
        <w:keepNext w:val="0"/>
        <w:keepLines w:val="0"/>
        <w:pageBreakBefore w:val="0"/>
        <w:numPr>
          <w:ilvl w:val="0"/>
          <w:numId w:val="0"/>
        </w:numPr>
        <w:kinsoku/>
        <w:wordWrap/>
        <w:overflowPunct/>
        <w:topLinePunct w:val="0"/>
        <w:autoSpaceDE/>
        <w:autoSpaceDN/>
        <w:bidi w:val="0"/>
        <w:adjustRightInd/>
        <w:snapToGrid w:val="0"/>
        <w:spacing w:before="0" w:after="0" w:line="360" w:lineRule="auto"/>
        <w:ind w:firstLine="480" w:firstLineChars="200"/>
        <w:textAlignment w:val="auto"/>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eastAsia="zh-CN"/>
        </w:rPr>
        <w:t>（</w:t>
      </w:r>
      <w:r>
        <w:rPr>
          <w:rFonts w:hint="eastAsia" w:ascii="Times New Roman" w:hAnsi="Times New Roman" w:eastAsia="宋体" w:cs="Times New Roman"/>
          <w:b w:val="0"/>
          <w:bCs w:val="0"/>
          <w:sz w:val="24"/>
          <w:szCs w:val="24"/>
          <w:lang w:val="en-US" w:eastAsia="zh-CN"/>
        </w:rPr>
        <w:t>二</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绩效评价基本原则、指标体系和评价方法</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1、绩效评价基本原则</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遵循科学公正、统筹兼顾、激励约束、公开透明原则。</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2、评价指标体系及标准</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sz w:val="24"/>
          <w:szCs w:val="24"/>
        </w:rPr>
        <w:t>我们参考财政部《财政支出绩效评价管理暂行办法》（财预〔2011〕285号）、《湖南省预算绩效管理工作规程（试行）》（湘财绩〔2013〕28号）、《湖南省人民政府关于全面推进预算绩效管理的意见》</w:t>
      </w:r>
      <w:r>
        <w:rPr>
          <w:rFonts w:hint="default" w:ascii="Times New Roman" w:hAnsi="Times New Roman" w:eastAsia="宋体" w:cs="Times New Roman"/>
          <w:sz w:val="24"/>
          <w:szCs w:val="24"/>
        </w:rPr>
        <w:t>（湘政发〔2012〕33号）、</w:t>
      </w:r>
      <w:r>
        <w:rPr>
          <w:rFonts w:hint="default" w:ascii="Times New Roman" w:hAnsi="Times New Roman" w:eastAsia="宋体" w:cs="Times New Roman"/>
          <w:sz w:val="24"/>
          <w:szCs w:val="24"/>
          <w:shd w:val="clear" w:color="auto" w:fill="FFFFFF"/>
        </w:rPr>
        <w:t>《关于对2020年度专项资金开展重点绩效评价工作的通知》（南财绩函〔2021〕11号）等政策文件</w:t>
      </w:r>
      <w:r>
        <w:rPr>
          <w:rFonts w:hint="default" w:ascii="Times New Roman" w:hAnsi="Times New Roman" w:eastAsia="宋体" w:cs="Times New Roman"/>
          <w:sz w:val="24"/>
          <w:szCs w:val="24"/>
        </w:rPr>
        <w:t>，按照相关性、重要性、明确性、可比性的原则制定评价指标体系。指标体系分项目申请、资金分配、资金使用管理、项目实施过程和项目成果和效益六个部分，根据项目实施的具体情况对个性指标进行了调整细化形成《南县2020年度政治协商委员会办公室调研协商经费项目资金绩效评价指标评价表》（附件2）。</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3、评价方法</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次绩效评价方法坚持定性分析与定量分析、全面评价与抽样调查、现场核查与综合分析相结合的方式，通过主管部门和项目单位实际效果与申报的绩效目标间的比较，评价项目实施绩效。当子项目单位较多时，采取抽样调查进行评价；对重点项目指定样本，对一般项目进行分层抽样，零星项目采取随机抽样方式。抽样样本所占资金比例不低于项目资金的40%，项目数量不低于30%。主要围绕项目申报、审批程序是否规范，项目经费使用是否合理、合法，客观分析项目的产出和效果，体现从项目立项，项目的实施，项目产出效果及影响的绩效逻辑路径。</w:t>
      </w:r>
      <w:r>
        <w:rPr>
          <w:rFonts w:hint="default" w:ascii="Times New Roman" w:hAnsi="Times New Roman" w:eastAsia="宋体" w:cs="Times New Roman"/>
          <w:sz w:val="24"/>
          <w:szCs w:val="24"/>
          <w:shd w:val="clear" w:color="auto" w:fill="FFFFFF"/>
        </w:rPr>
        <w:t>绩效评价工作组于5月下旬前往南县政治协商委员会办公室实施现场评价</w:t>
      </w:r>
      <w:r>
        <w:rPr>
          <w:rFonts w:hint="default" w:ascii="Times New Roman" w:hAnsi="Times New Roman" w:eastAsia="宋体" w:cs="Times New Roman"/>
          <w:sz w:val="24"/>
          <w:szCs w:val="24"/>
        </w:rPr>
        <w:t>，现场评价主要采取以下方式：一是召开座谈会，听取县财政、相关主管单位和项目单位有关资金使用管理及项目组织实施管理等方面的情况介绍，了解资金使用取得的成效、存在的主要问题及建议等。二是对项目单位填报的基础数据资料、提供的相关材料等进行核实。三是需要进行实地察看项目进展情况的进行实地走访。</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4、绩效评价工作实施过程</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sz w:val="24"/>
          <w:szCs w:val="24"/>
        </w:rPr>
        <w:t>通过现场评价，</w:t>
      </w:r>
      <w:r>
        <w:rPr>
          <w:rFonts w:hint="default" w:ascii="Times New Roman" w:hAnsi="Times New Roman" w:eastAsia="宋体" w:cs="Times New Roman"/>
          <w:b w:val="0"/>
          <w:bCs w:val="0"/>
          <w:sz w:val="24"/>
          <w:szCs w:val="24"/>
          <w:shd w:val="clear" w:color="auto" w:fill="FFFFFF"/>
        </w:rPr>
        <w:t>绩效评价工作组</w:t>
      </w:r>
      <w:r>
        <w:rPr>
          <w:rFonts w:hint="default" w:ascii="Times New Roman" w:hAnsi="Times New Roman" w:eastAsia="宋体" w:cs="Times New Roman"/>
          <w:b w:val="0"/>
          <w:bCs w:val="0"/>
          <w:sz w:val="24"/>
          <w:szCs w:val="24"/>
        </w:rPr>
        <w:t>深入项目实施单位，实地查看项目现场，查阅相关资料，获取了大量一手资料，结合项目单位自评情况，通过对项目进行统计分析，采用定量与定性相结合的方法，形成评</w:t>
      </w:r>
      <w:r>
        <w:rPr>
          <w:rFonts w:hint="default" w:ascii="Times New Roman" w:hAnsi="Times New Roman" w:eastAsia="宋体" w:cs="Times New Roman"/>
          <w:sz w:val="24"/>
          <w:szCs w:val="24"/>
        </w:rPr>
        <w:t>价结论，根据《南县2020年度政治协商委员会办公室调研协商经费项目资金绩效评价指标评价表》进行评分，最终形成书面报告。</w:t>
      </w:r>
    </w:p>
    <w:p>
      <w:pPr>
        <w:pStyle w:val="2"/>
        <w:keepNext w:val="0"/>
        <w:keepLines w:val="0"/>
        <w:pageBreakBefore w:val="0"/>
        <w:kinsoku/>
        <w:wordWrap/>
        <w:overflowPunct/>
        <w:topLinePunct w:val="0"/>
        <w:autoSpaceDE/>
        <w:autoSpaceDN/>
        <w:bidi w:val="0"/>
        <w:adjustRightInd/>
        <w:snapToGrid w:val="0"/>
        <w:spacing w:before="0" w:after="0" w:line="360" w:lineRule="auto"/>
        <w:ind w:firstLine="482" w:firstLineChars="200"/>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三、现场评价专项资金的基本情况</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（一）项目资金到位情况</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南县政治协商委员会办公室2020年度调研协商经费专项资金批准预算60万元。至2020年12月31日止已全部拨付到位。该专项资金全部为县财政本级专项，资金到位率100.00%。</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kern w:val="32"/>
          <w:sz w:val="24"/>
          <w:szCs w:val="24"/>
        </w:rPr>
      </w:pPr>
      <w:r>
        <w:rPr>
          <w:rFonts w:hint="default" w:ascii="Times New Roman" w:hAnsi="Times New Roman" w:eastAsia="宋体" w:cs="Times New Roman"/>
          <w:b w:val="0"/>
          <w:bCs w:val="0"/>
          <w:kern w:val="32"/>
          <w:sz w:val="24"/>
          <w:szCs w:val="24"/>
        </w:rPr>
        <w:t>（二）项目资金使用情况</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2020年南县财政局已拨付调研协商经费专项资金60万元，实际支出22.35万元，非本专项使用资金37.65万元，资金使用率100%。具体支出列示如下表：（详情见附件1）</w:t>
      </w:r>
    </w:p>
    <w:tbl>
      <w:tblPr>
        <w:tblStyle w:val="9"/>
        <w:tblW w:w="9024" w:type="dxa"/>
        <w:tblInd w:w="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3"/>
        <w:gridCol w:w="3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63"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center"/>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资金用途</w:t>
            </w:r>
          </w:p>
        </w:tc>
        <w:tc>
          <w:tcPr>
            <w:tcW w:w="3761"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center"/>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63"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both"/>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餐费</w:t>
            </w:r>
          </w:p>
        </w:tc>
        <w:tc>
          <w:tcPr>
            <w:tcW w:w="3761"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right"/>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117,895.40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63"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both"/>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办公费</w:t>
            </w:r>
          </w:p>
        </w:tc>
        <w:tc>
          <w:tcPr>
            <w:tcW w:w="3761"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right"/>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44,539.00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63"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both"/>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印刷费</w:t>
            </w:r>
          </w:p>
        </w:tc>
        <w:tc>
          <w:tcPr>
            <w:tcW w:w="3761"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right"/>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29,347.60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63"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both"/>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差旅费</w:t>
            </w:r>
          </w:p>
        </w:tc>
        <w:tc>
          <w:tcPr>
            <w:tcW w:w="3761"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right"/>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29,198.00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63"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both"/>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公务接待</w:t>
            </w:r>
          </w:p>
        </w:tc>
        <w:tc>
          <w:tcPr>
            <w:tcW w:w="3761"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right"/>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2,495.00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63"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center"/>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合计</w:t>
            </w:r>
          </w:p>
        </w:tc>
        <w:tc>
          <w:tcPr>
            <w:tcW w:w="3761" w:type="dxa"/>
            <w:vAlign w:val="center"/>
          </w:tcPr>
          <w:p>
            <w:pPr>
              <w:pStyle w:val="13"/>
              <w:keepNext w:val="0"/>
              <w:keepLines w:val="0"/>
              <w:pageBreakBefore w:val="0"/>
              <w:widowControl/>
              <w:kinsoku/>
              <w:wordWrap/>
              <w:overflowPunct/>
              <w:topLinePunct w:val="0"/>
              <w:autoSpaceDE/>
              <w:autoSpaceDN/>
              <w:bidi w:val="0"/>
              <w:adjustRightInd/>
              <w:snapToGrid w:val="0"/>
              <w:spacing w:line="240" w:lineRule="exact"/>
              <w:jc w:val="right"/>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223,475.00</w:t>
            </w:r>
          </w:p>
        </w:tc>
      </w:tr>
    </w:tbl>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（三）项目资金管理情况</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政治协商委员会办公室已设置专项资金管理办法，财务管理制度健全，调研协商经费专项资金已设置专账核算。</w:t>
      </w:r>
    </w:p>
    <w:p>
      <w:pPr>
        <w:pStyle w:val="2"/>
        <w:keepNext w:val="0"/>
        <w:keepLines w:val="0"/>
        <w:pageBreakBefore w:val="0"/>
        <w:kinsoku/>
        <w:wordWrap/>
        <w:overflowPunct/>
        <w:topLinePunct w:val="0"/>
        <w:autoSpaceDE/>
        <w:autoSpaceDN/>
        <w:bidi w:val="0"/>
        <w:adjustRightInd/>
        <w:snapToGrid w:val="0"/>
        <w:spacing w:before="0" w:after="0" w:line="360" w:lineRule="auto"/>
        <w:ind w:firstLine="482" w:firstLineChars="200"/>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四、绩效评价结论</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根据《2020年度南县政治协商委员会办公室调研协商经费专项资金绩效评价指标表》，我们通过定量和定性分析，南县政治协商委员会办公室调研协商经费专项资金绩效评价综合得分为73分(详见附件2)，评价等级为“合格”。其中项目决策总分20分，评价得分12分，主要扣分原因为未制定明确的绩效目标、专项资金管理办法中只有资金使用范围规定，无资金分配办法;项目管理总分25分，评价得分12分，主要扣分原因为存在部分资金被其他专项使用、项目管理制度健全，但制度执行不到位;项目绩效总分55分，评价得分49分，主要扣分原因为未量化和细化项目产出及效益指标，</w:t>
      </w:r>
      <w:r>
        <w:rPr>
          <w:rFonts w:hint="default" w:ascii="Times New Roman" w:hAnsi="Times New Roman" w:eastAsia="宋体" w:cs="Times New Roman"/>
          <w:sz w:val="24"/>
          <w:szCs w:val="24"/>
        </w:rPr>
        <w:t>对项目执行过程约束不够，</w:t>
      </w:r>
      <w:r>
        <w:rPr>
          <w:rFonts w:hint="default" w:ascii="Times New Roman" w:hAnsi="Times New Roman" w:eastAsia="宋体" w:cs="Times New Roman"/>
          <w:bCs/>
          <w:sz w:val="24"/>
          <w:szCs w:val="24"/>
        </w:rPr>
        <w:t>缺乏判定标准。</w:t>
      </w:r>
    </w:p>
    <w:p>
      <w:pPr>
        <w:pStyle w:val="2"/>
        <w:keepNext w:val="0"/>
        <w:keepLines w:val="0"/>
        <w:pageBreakBefore w:val="0"/>
        <w:kinsoku/>
        <w:wordWrap/>
        <w:overflowPunct/>
        <w:topLinePunct w:val="0"/>
        <w:autoSpaceDE/>
        <w:autoSpaceDN/>
        <w:bidi w:val="0"/>
        <w:adjustRightInd/>
        <w:snapToGrid w:val="0"/>
        <w:spacing w:before="0" w:after="0" w:line="360" w:lineRule="auto"/>
        <w:ind w:firstLine="482" w:firstLineChars="200"/>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五、专项资金主要绩效</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南县政协始终坚持围绕中心、服务大局，遵循群众出题、县委点题、政协答题的工作思路，以“数量适度、质量为要”的理念精选协商议题，所提意见得到县委政府的高度重视，是县委政府科学决策、破解、发展难题的重要参考。</w:t>
      </w:r>
    </w:p>
    <w:p>
      <w:pPr>
        <w:keepNext w:val="0"/>
        <w:keepLines w:val="0"/>
        <w:pageBreakBefore w:val="0"/>
        <w:numPr>
          <w:ilvl w:val="0"/>
          <w:numId w:val="2"/>
        </w:numPr>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专题调研协商</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年来，县政协聚焦“共同抗击疫情，服务企业发展”、“南县县域紧密型医共体建设”、“商贸物流发展”、“秸秆资源化利用”、“农村公路建设和养护”、“校园周边食品安全”、“社区治理”、“生猪生产”等8个重点课题进行了深入调研，平均每个课题历时2个多月，涉及企事业单位200余个，人员2000余人次，形成了8篇高质量调研报告供县委政府参考。期间，由县政协主要领导带队，分别前往阜南县、安仁县、汉寿县、新化县、醴陵县、临湘市等多地考察调研，为破解我县工作难题、打开工作思路提供好的经验做法。</w:t>
      </w:r>
    </w:p>
    <w:p>
      <w:pPr>
        <w:keepNext w:val="0"/>
        <w:keepLines w:val="0"/>
        <w:pageBreakBefore w:val="0"/>
        <w:numPr>
          <w:ilvl w:val="0"/>
          <w:numId w:val="3"/>
        </w:numPr>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视察调研协商</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县政协组织</w:t>
      </w:r>
      <w:r>
        <w:rPr>
          <w:rFonts w:hint="eastAsia" w:ascii="Times New Roman" w:hAnsi="Times New Roman" w:eastAsia="宋体" w:cs="Times New Roman"/>
          <w:sz w:val="24"/>
          <w:szCs w:val="24"/>
          <w:highlight w:val="none"/>
          <w:lang w:val="en-US" w:eastAsia="zh-CN"/>
        </w:rPr>
        <w:t>驻</w:t>
      </w:r>
      <w:r>
        <w:rPr>
          <w:rFonts w:hint="default" w:ascii="Times New Roman" w:hAnsi="Times New Roman" w:eastAsia="宋体" w:cs="Times New Roman"/>
          <w:sz w:val="24"/>
          <w:szCs w:val="24"/>
          <w:highlight w:val="none"/>
        </w:rPr>
        <w:t>南</w:t>
      </w:r>
      <w:r>
        <w:rPr>
          <w:rFonts w:hint="default" w:ascii="Times New Roman" w:hAnsi="Times New Roman" w:eastAsia="宋体" w:cs="Times New Roman"/>
          <w:sz w:val="24"/>
          <w:szCs w:val="24"/>
        </w:rPr>
        <w:t>县省市政协委员围绕我县“农村安全饮水”、“乡村振兴”等工作开展视察调研2次，组织主席会议成员围绕“经开区建设”、“教育事业发展”、“检察院工作”开展视察监督3次，通过实地走访视察，发放问卷调查，听取工作汇报，详细了解我县农村、城市、教育、检察等各项事关百姓福祉、事关民生事业</w:t>
      </w:r>
      <w:bookmarkStart w:id="0" w:name="_GoBack"/>
      <w:bookmarkEnd w:id="0"/>
      <w:r>
        <w:rPr>
          <w:rFonts w:hint="default" w:ascii="Times New Roman" w:hAnsi="Times New Roman" w:eastAsia="宋体" w:cs="Times New Roman"/>
          <w:sz w:val="24"/>
          <w:szCs w:val="24"/>
        </w:rPr>
        <w:t>、事关司法公正等重要事项的工作进展情况，为助推我县事业发展提出了不少“金点子”，得到相关部门及相关政府领导的高度重视。</w:t>
      </w:r>
    </w:p>
    <w:p>
      <w:pPr>
        <w:keepNext w:val="0"/>
        <w:keepLines w:val="0"/>
        <w:pageBreakBefore w:val="0"/>
        <w:numPr>
          <w:ilvl w:val="0"/>
          <w:numId w:val="4"/>
        </w:numPr>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接待调研来访</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全年接待调研来访7次。4月9日益阳市政协来南调研企业复工复产情况，了解南县企业受疫情影响程度及各项助企惠企政策的落实情况，为企业把脉问诊、解难纾困。南县位居洞庭腹地，是长江流域的重要分支，南县污水处理情况及其重要，省市相关领导高度重视，多次来南县调研“河湖长制”落实情况及湖区水生态保护工作落实情况；鼎城区、永兴县两地政协先后率队来南调研污水处理情况，学习借鉴好的经验做法。</w:t>
      </w:r>
    </w:p>
    <w:p>
      <w:pPr>
        <w:pStyle w:val="2"/>
        <w:keepNext w:val="0"/>
        <w:keepLines w:val="0"/>
        <w:pageBreakBefore w:val="0"/>
        <w:kinsoku/>
        <w:wordWrap/>
        <w:overflowPunct/>
        <w:topLinePunct w:val="0"/>
        <w:autoSpaceDE/>
        <w:autoSpaceDN/>
        <w:bidi w:val="0"/>
        <w:adjustRightInd/>
        <w:snapToGrid w:val="0"/>
        <w:spacing w:before="0" w:after="0" w:line="360" w:lineRule="auto"/>
        <w:ind w:firstLine="482" w:firstLineChars="200"/>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六、存在的主要问题及建议</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kern w:val="32"/>
          <w:sz w:val="24"/>
          <w:szCs w:val="24"/>
        </w:rPr>
      </w:pPr>
      <w:r>
        <w:rPr>
          <w:rFonts w:hint="eastAsia" w:ascii="Times New Roman" w:hAnsi="Times New Roman" w:eastAsia="宋体" w:cs="Times New Roman"/>
          <w:b w:val="0"/>
          <w:bCs w:val="0"/>
          <w:kern w:val="32"/>
          <w:sz w:val="24"/>
          <w:szCs w:val="24"/>
          <w:lang w:eastAsia="zh-CN"/>
        </w:rPr>
        <w:t>（</w:t>
      </w:r>
      <w:r>
        <w:rPr>
          <w:rFonts w:hint="eastAsia" w:ascii="Times New Roman" w:hAnsi="Times New Roman" w:eastAsia="宋体" w:cs="Times New Roman"/>
          <w:b w:val="0"/>
          <w:bCs w:val="0"/>
          <w:kern w:val="32"/>
          <w:sz w:val="24"/>
          <w:szCs w:val="24"/>
          <w:lang w:val="en-US" w:eastAsia="zh-CN"/>
        </w:rPr>
        <w:t>一</w:t>
      </w:r>
      <w:r>
        <w:rPr>
          <w:rFonts w:hint="eastAsia" w:ascii="Times New Roman" w:hAnsi="Times New Roman" w:eastAsia="宋体" w:cs="Times New Roman"/>
          <w:b w:val="0"/>
          <w:bCs w:val="0"/>
          <w:kern w:val="32"/>
          <w:sz w:val="24"/>
          <w:szCs w:val="24"/>
          <w:lang w:eastAsia="zh-CN"/>
        </w:rPr>
        <w:t>）</w:t>
      </w:r>
      <w:r>
        <w:rPr>
          <w:rFonts w:hint="default" w:ascii="Times New Roman" w:hAnsi="Times New Roman" w:eastAsia="宋体" w:cs="Times New Roman"/>
          <w:b w:val="0"/>
          <w:bCs w:val="0"/>
          <w:kern w:val="32"/>
          <w:sz w:val="24"/>
          <w:szCs w:val="24"/>
        </w:rPr>
        <w:t>存在的主要问题</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1、未明确项目绩效目标、资金预算不科学、资金使用不到位</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绩效目标和指标根据项目实际完成情况制定，对项目执行过程约束不够，经费预算不科学，该专项资金60万元，专账核算22.35万元，存在37.65万元资金被其他支出使用。</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2、会计核算不规范</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sz w:val="24"/>
          <w:szCs w:val="24"/>
        </w:rPr>
        <w:t xml:space="preserve">（1）费用审核不严谨。①2020年报销的餐饮费凭证附件只有发票与餐馆点菜明细，无用餐人员记录，无调研工作记录，无用餐事由，无法确认是否符合标准，也无法确认是否属于调研专项经费。②2020年1月10号凭证，差旅费发票为2019年5月1667元，2019年4月448元，2019年7月448元；餐饮费发票为2019年1月发票3977元，报销不及时；印刷费1844元，无印刷资料的出入库单、领用人员签字表；办公费2019年11月发票中包含洗发水、沐浴露、牙膏等生活用品142元，该项支出不属于本专项。③2020年1月11号凭证，后附调研“农村食品药品案例监管研究”方案，明确调研时间为2019年7月5日-2019年9月22日，后附餐饮费发票日期在2019年10-12月6613元，2019年4月644元，发票时间均不在调研时间段内；住宿费发票2019年10月29日381元，2019年11月1日418元，没有人员记录无法核实是否符合标准，发票时间不在调研时间段内。（4）2020年4月6号凭证，支付餐费6390元，发票的开票日期是2020年，后附的菜单明细均为2019年。例如发票金额827元的开票日期是2020年3月19日，点菜单明细上的日期是2019年10月；发票金额合计1244元的开票日期2020年3月19日，点菜单明细的日期是2019年3月14日。（5）2020年9月5号凭证，会议餐费14600元，未有会议签到表，未写用餐人数。（6）2020年11月11号凭证，支付调研课题餐费10005元，附有17张发票，发票抬头为南县政协均未写全称，审批人未写审批日期，只附三张调研课题，未有会议签到表和用餐人数。 </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存在大额现金支付情况。如①2020年7月17号凭证，支付出差伙食补助13960元，均用现金支付。②2020年12月44号凭证，支付差旅费6620元，均用现金支付。③2020年10月8号凭证，现金支付会议餐费5290元，未有会议签到表。</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kern w:val="32"/>
          <w:sz w:val="24"/>
          <w:szCs w:val="24"/>
        </w:rPr>
      </w:pPr>
      <w:r>
        <w:rPr>
          <w:rFonts w:hint="default" w:ascii="Times New Roman" w:hAnsi="Times New Roman" w:eastAsia="宋体" w:cs="Times New Roman"/>
          <w:b w:val="0"/>
          <w:bCs w:val="0"/>
          <w:kern w:val="32"/>
          <w:sz w:val="24"/>
          <w:szCs w:val="24"/>
        </w:rPr>
        <w:t>（二）有关建议</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1、建立完整绩效目标体系、加强专项资金预算管理</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完善绩效评价体系，加强监督检查和考核工作，增强绩效评价结果的可比性、可行度，实现绩效管理的规范化。细化预算管理，提升预算精准性，加强预算编制的基础工作，细化预算管理，切实提高预算编制的质量，在合理范围内加快资金支出进度，提高资金使用效益。</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2、提高财务部门专业水平</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南县政协无在编会计人员，会计记账聘请外部人员代理记账，费用报销无相应财务人员审核，记账凭证附件不齐全，并不能将业务真实情况反应出来，相应发票时间节点与实际情况不符，需提高财务部门专业水平，设置费用报销财务审核节点，规范费用报销流程，取得合法合规票据。</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3、严格执行财务管理制度</w:t>
      </w:r>
    </w:p>
    <w:p>
      <w:pPr>
        <w:keepNext w:val="0"/>
        <w:keepLines w:val="0"/>
        <w:pageBreakBefore w:val="0"/>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bCs/>
          <w:sz w:val="24"/>
          <w:szCs w:val="24"/>
        </w:rPr>
      </w:pPr>
      <w:r>
        <w:rPr>
          <w:rFonts w:hint="default" w:ascii="Times New Roman" w:hAnsi="Times New Roman" w:eastAsia="宋体" w:cs="Times New Roman"/>
          <w:b w:val="0"/>
          <w:bCs w:val="0"/>
          <w:sz w:val="24"/>
          <w:szCs w:val="24"/>
        </w:rPr>
        <w:t xml:space="preserve">   南县政协财务管理制度从经费的管理与监督、经费支出管理和审核报销程序、公务接待管理、差旅费管理、经检专项</w:t>
      </w:r>
      <w:r>
        <w:rPr>
          <w:rFonts w:hint="default" w:ascii="Times New Roman" w:hAnsi="Times New Roman" w:eastAsia="宋体" w:cs="Times New Roman"/>
          <w:bCs/>
          <w:sz w:val="24"/>
          <w:szCs w:val="24"/>
        </w:rPr>
        <w:t>工作经费管理、机关党建活动工作经费管理、专项工作经费、工会工作经费管理等七个方面展开，财务管理制度完善，实际执行不到位，政协需严格执行财务管理制度。</w:t>
      </w:r>
    </w:p>
    <w:p>
      <w:pPr>
        <w:pStyle w:val="2"/>
        <w:keepNext w:val="0"/>
        <w:keepLines w:val="0"/>
        <w:pageBreakBefore w:val="0"/>
        <w:kinsoku/>
        <w:wordWrap/>
        <w:overflowPunct/>
        <w:topLinePunct w:val="0"/>
        <w:autoSpaceDE/>
        <w:autoSpaceDN/>
        <w:bidi w:val="0"/>
        <w:adjustRightInd/>
        <w:snapToGrid w:val="0"/>
        <w:spacing w:before="0" w:after="0" w:line="360" w:lineRule="auto"/>
        <w:ind w:firstLine="482" w:firstLineChars="200"/>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七、报告附件</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附件1、南县2020年度调研协商经费专项财政支出基础数据表</w:t>
      </w: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附件2、南县2020年度政治协商委员会办公室调研协商经费项目资金绩效评价指标评价表</w:t>
      </w:r>
    </w:p>
    <w:p>
      <w:pPr>
        <w:keepNext w:val="0"/>
        <w:keepLines w:val="0"/>
        <w:pageBreakBefore w:val="0"/>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bCs/>
          <w:sz w:val="24"/>
          <w:szCs w:val="24"/>
        </w:rPr>
      </w:pPr>
    </w:p>
    <w:p>
      <w:pPr>
        <w:keepNext w:val="0"/>
        <w:keepLines w:val="0"/>
        <w:pageBreakBefore w:val="0"/>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bCs/>
          <w:sz w:val="24"/>
          <w:szCs w:val="24"/>
        </w:rPr>
      </w:pPr>
    </w:p>
    <w:p>
      <w:pPr>
        <w:keepNext w:val="0"/>
        <w:keepLines w:val="0"/>
        <w:pageBreakBefore w:val="0"/>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bCs/>
          <w:sz w:val="24"/>
          <w:szCs w:val="24"/>
        </w:rPr>
      </w:pPr>
    </w:p>
    <w:p>
      <w:pPr>
        <w:keepNext w:val="0"/>
        <w:keepLines w:val="0"/>
        <w:pageBreakBefore w:val="0"/>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bCs/>
          <w:sz w:val="24"/>
          <w:szCs w:val="24"/>
        </w:rPr>
      </w:pPr>
    </w:p>
    <w:p>
      <w:pPr>
        <w:keepNext w:val="0"/>
        <w:keepLines w:val="0"/>
        <w:pageBreakBefore w:val="0"/>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bCs/>
          <w:sz w:val="24"/>
          <w:szCs w:val="24"/>
        </w:rPr>
      </w:pP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Cs/>
          <w:sz w:val="24"/>
          <w:szCs w:val="24"/>
        </w:rPr>
      </w:pP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Cs/>
          <w:sz w:val="24"/>
          <w:szCs w:val="24"/>
        </w:rPr>
      </w:pP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Cs/>
          <w:sz w:val="24"/>
          <w:szCs w:val="24"/>
        </w:rPr>
      </w:pP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Cs/>
          <w:sz w:val="24"/>
          <w:szCs w:val="24"/>
        </w:rPr>
      </w:pP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此页无正文，为勤信湘专字【2021】第00</w:t>
      </w:r>
      <w:r>
        <w:rPr>
          <w:rFonts w:hint="eastAsia" w:ascii="Times New Roman" w:hAnsi="Times New Roman" w:eastAsia="宋体" w:cs="Times New Roman"/>
          <w:bCs/>
          <w:sz w:val="24"/>
          <w:szCs w:val="24"/>
          <w:lang w:val="en-US" w:eastAsia="zh-CN"/>
        </w:rPr>
        <w:t>62</w:t>
      </w:r>
      <w:r>
        <w:rPr>
          <w:rFonts w:hint="default" w:ascii="Times New Roman" w:hAnsi="Times New Roman" w:eastAsia="宋体" w:cs="Times New Roman"/>
          <w:bCs/>
          <w:sz w:val="24"/>
          <w:szCs w:val="24"/>
        </w:rPr>
        <w:t>号《2020年度南县政治协商委员会办公室调研协商经费财政专项资金绩效评价报告》之签字盖章页。</w:t>
      </w: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ascii="宋体" w:hAnsi="宋体" w:cs="宋体"/>
          <w:kern w:val="0"/>
          <w:sz w:val="24"/>
        </w:rPr>
      </w:pPr>
      <w:r>
        <w:rPr>
          <w:rFonts w:hint="eastAsia" w:ascii="宋体" w:hAnsi="宋体" w:cs="宋体"/>
          <w:kern w:val="0"/>
          <w:sz w:val="24"/>
        </w:rPr>
        <w:t>中勤万信会计师事务所（特殊普通合伙）        中国注册会计师：</w:t>
      </w:r>
    </w:p>
    <w:p>
      <w:pPr>
        <w:keepNext w:val="0"/>
        <w:keepLines w:val="0"/>
        <w:pageBreakBefore w:val="0"/>
        <w:widowControl w:val="0"/>
        <w:kinsoku/>
        <w:wordWrap/>
        <w:overflowPunct/>
        <w:topLinePunct w:val="0"/>
        <w:autoSpaceDE/>
        <w:autoSpaceDN/>
        <w:bidi w:val="0"/>
        <w:adjustRightInd/>
        <w:snapToGrid w:val="0"/>
        <w:spacing w:line="480" w:lineRule="auto"/>
        <w:ind w:firstLine="1320" w:firstLineChars="550"/>
        <w:textAlignment w:val="auto"/>
        <w:rPr>
          <w:rFonts w:ascii="宋体" w:hAnsi="宋体" w:cs="宋体"/>
          <w:kern w:val="0"/>
          <w:sz w:val="24"/>
        </w:rPr>
      </w:pPr>
      <w:r>
        <w:rPr>
          <w:rFonts w:hint="eastAsia" w:ascii="宋体" w:hAnsi="宋体" w:cs="宋体"/>
          <w:kern w:val="0"/>
          <w:sz w:val="24"/>
        </w:rPr>
        <w:t>湖南分所</w:t>
      </w:r>
    </w:p>
    <w:p>
      <w:pPr>
        <w:spacing w:line="560" w:lineRule="exact"/>
        <w:ind w:firstLine="480" w:firstLineChars="200"/>
        <w:jc w:val="both"/>
        <w:rPr>
          <w:rFonts w:hint="default" w:ascii="Times New Roman" w:hAnsi="Times New Roman" w:eastAsia="宋体" w:cs="Times New Roman"/>
          <w:bCs/>
          <w:sz w:val="24"/>
          <w:szCs w:val="24"/>
        </w:rPr>
      </w:pPr>
      <w:r>
        <w:rPr>
          <w:rFonts w:hint="eastAsia" w:ascii="宋体" w:hAnsi="宋体" w:cs="宋体"/>
          <w:kern w:val="0"/>
          <w:sz w:val="24"/>
        </w:rPr>
        <w:t>二○二一年</w:t>
      </w:r>
      <w:r>
        <w:rPr>
          <w:rFonts w:hint="eastAsia" w:ascii="宋体" w:hAnsi="宋体" w:cs="宋体"/>
          <w:kern w:val="0"/>
          <w:sz w:val="24"/>
          <w:lang w:val="en-US" w:eastAsia="zh-CN"/>
        </w:rPr>
        <w:t>六</w:t>
      </w:r>
      <w:r>
        <w:rPr>
          <w:rFonts w:hint="eastAsia" w:ascii="宋体" w:hAnsi="宋体" w:cs="宋体"/>
          <w:kern w:val="0"/>
          <w:sz w:val="24"/>
        </w:rPr>
        <w:t>月</w:t>
      </w:r>
      <w:r>
        <w:rPr>
          <w:rFonts w:hint="eastAsia" w:ascii="宋体" w:hAnsi="宋体" w:cs="宋体"/>
          <w:kern w:val="0"/>
          <w:sz w:val="24"/>
          <w:lang w:val="en-US" w:eastAsia="zh-CN"/>
        </w:rPr>
        <w:t>二十六</w:t>
      </w:r>
      <w:r>
        <w:rPr>
          <w:rFonts w:hint="eastAsia" w:ascii="宋体" w:hAnsi="宋体" w:cs="宋体"/>
          <w:kern w:val="0"/>
          <w:sz w:val="24"/>
        </w:rPr>
        <w:t xml:space="preserve">日              </w:t>
      </w:r>
      <w:r>
        <w:rPr>
          <w:rFonts w:hint="eastAsia" w:ascii="宋体" w:hAnsi="宋体" w:cs="宋体"/>
          <w:kern w:val="0"/>
          <w:sz w:val="24"/>
          <w:lang w:val="en-US" w:eastAsia="zh-CN"/>
        </w:rPr>
        <w:t xml:space="preserve">  </w:t>
      </w: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中国注册会计师：</w:t>
      </w:r>
    </w:p>
    <w:p>
      <w:pPr>
        <w:keepNext w:val="0"/>
        <w:keepLines w:val="0"/>
        <w:pageBreakBefore w:val="0"/>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bCs/>
          <w:sz w:val="24"/>
          <w:szCs w:val="24"/>
        </w:rPr>
      </w:pPr>
    </w:p>
    <w:p>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bCs/>
          <w:sz w:val="24"/>
          <w:szCs w:val="24"/>
        </w:rPr>
      </w:pPr>
    </w:p>
    <w:sectPr>
      <w:footerReference r:id="rId8" w:type="default"/>
      <w:pgSz w:w="11906" w:h="16838"/>
      <w:pgMar w:top="1440" w:right="1287" w:bottom="1440" w:left="162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2391977"/>
      <w:docPartObj>
        <w:docPartGallery w:val="autotext"/>
      </w:docPartObj>
    </w:sdtPr>
    <w:sdtContent>
      <w:p>
        <w:pPr>
          <w:pStyle w:val="6"/>
          <w:jc w:val="center"/>
        </w:pPr>
        <w:r>
          <w:fldChar w:fldCharType="begin"/>
        </w:r>
        <w:r>
          <w:instrText xml:space="preserve">PAGE   \* MERGEFORMAT</w:instrText>
        </w:r>
        <w:r>
          <w:fldChar w:fldCharType="separate"/>
        </w:r>
        <w:r>
          <w:rPr>
            <w:lang w:val="zh-CN"/>
          </w:rPr>
          <w:t>9</w:t>
        </w:r>
        <w:r>
          <w:fldChar w:fldCharType="end"/>
        </w:r>
      </w:p>
    </w:sdtContent>
  </w:sdt>
  <w:p>
    <w:pPr>
      <w:pStyle w:val="6"/>
      <w:ind w:firstLine="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E18685"/>
    <w:multiLevelType w:val="singleLevel"/>
    <w:tmpl w:val="DBE18685"/>
    <w:lvl w:ilvl="0" w:tentative="0">
      <w:start w:val="1"/>
      <w:numFmt w:val="decimal"/>
      <w:suff w:val="nothing"/>
      <w:lvlText w:val="%1、"/>
      <w:lvlJc w:val="left"/>
    </w:lvl>
  </w:abstractNum>
  <w:abstractNum w:abstractNumId="1">
    <w:nsid w:val="25088626"/>
    <w:multiLevelType w:val="singleLevel"/>
    <w:tmpl w:val="25088626"/>
    <w:lvl w:ilvl="0" w:tentative="0">
      <w:start w:val="1"/>
      <w:numFmt w:val="chineseCounting"/>
      <w:suff w:val="nothing"/>
      <w:lvlText w:val="（%1）"/>
      <w:lvlJc w:val="left"/>
      <w:rPr>
        <w:rFonts w:hint="eastAsia"/>
      </w:rPr>
    </w:lvl>
  </w:abstractNum>
  <w:abstractNum w:abstractNumId="2">
    <w:nsid w:val="4EFE7233"/>
    <w:multiLevelType w:val="singleLevel"/>
    <w:tmpl w:val="4EFE7233"/>
    <w:lvl w:ilvl="0" w:tentative="0">
      <w:start w:val="2"/>
      <w:numFmt w:val="decimal"/>
      <w:suff w:val="nothing"/>
      <w:lvlText w:val="%1、"/>
      <w:lvlJc w:val="left"/>
    </w:lvl>
  </w:abstractNum>
  <w:abstractNum w:abstractNumId="3">
    <w:nsid w:val="4F108D5C"/>
    <w:multiLevelType w:val="singleLevel"/>
    <w:tmpl w:val="4F108D5C"/>
    <w:lvl w:ilvl="0" w:tentative="0">
      <w:start w:val="3"/>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8CB"/>
    <w:rsid w:val="000A66C3"/>
    <w:rsid w:val="000F1563"/>
    <w:rsid w:val="00253DFF"/>
    <w:rsid w:val="003F5CD6"/>
    <w:rsid w:val="00471461"/>
    <w:rsid w:val="0047767D"/>
    <w:rsid w:val="00614454"/>
    <w:rsid w:val="00687ADF"/>
    <w:rsid w:val="0070512A"/>
    <w:rsid w:val="007B5550"/>
    <w:rsid w:val="00963356"/>
    <w:rsid w:val="00B83562"/>
    <w:rsid w:val="00BB1F61"/>
    <w:rsid w:val="00C15495"/>
    <w:rsid w:val="00D71CFB"/>
    <w:rsid w:val="00DE29A6"/>
    <w:rsid w:val="00F208CB"/>
    <w:rsid w:val="00FD5AD7"/>
    <w:rsid w:val="014C152B"/>
    <w:rsid w:val="08AC35BC"/>
    <w:rsid w:val="0EA77558"/>
    <w:rsid w:val="10A611AC"/>
    <w:rsid w:val="144724C8"/>
    <w:rsid w:val="17720655"/>
    <w:rsid w:val="19794DAF"/>
    <w:rsid w:val="19963493"/>
    <w:rsid w:val="1B90469C"/>
    <w:rsid w:val="21A87FD6"/>
    <w:rsid w:val="22C040CB"/>
    <w:rsid w:val="24050026"/>
    <w:rsid w:val="2552186A"/>
    <w:rsid w:val="29B764B0"/>
    <w:rsid w:val="2A462D0D"/>
    <w:rsid w:val="2A4B3044"/>
    <w:rsid w:val="2C1B44AD"/>
    <w:rsid w:val="33D6169E"/>
    <w:rsid w:val="35777A90"/>
    <w:rsid w:val="36F92541"/>
    <w:rsid w:val="37A85FC3"/>
    <w:rsid w:val="3D9D7CD5"/>
    <w:rsid w:val="415D55D5"/>
    <w:rsid w:val="426A42C0"/>
    <w:rsid w:val="446F34B7"/>
    <w:rsid w:val="4484799C"/>
    <w:rsid w:val="46DE556E"/>
    <w:rsid w:val="478C536F"/>
    <w:rsid w:val="495B3549"/>
    <w:rsid w:val="4AD1426A"/>
    <w:rsid w:val="4B18581C"/>
    <w:rsid w:val="4ED452DB"/>
    <w:rsid w:val="5063654C"/>
    <w:rsid w:val="54774F6A"/>
    <w:rsid w:val="5B3107B0"/>
    <w:rsid w:val="5BA94D06"/>
    <w:rsid w:val="5E856EEF"/>
    <w:rsid w:val="5F6F3232"/>
    <w:rsid w:val="62974156"/>
    <w:rsid w:val="62E52A4B"/>
    <w:rsid w:val="664B5538"/>
    <w:rsid w:val="68F97756"/>
    <w:rsid w:val="69055F53"/>
    <w:rsid w:val="6C4C3691"/>
    <w:rsid w:val="6C701C00"/>
    <w:rsid w:val="6D9B118E"/>
    <w:rsid w:val="78BA4E61"/>
    <w:rsid w:val="78FB14A1"/>
    <w:rsid w:val="7B5507F2"/>
    <w:rsid w:val="7B824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340" w:after="330" w:line="578" w:lineRule="auto"/>
      <w:outlineLvl w:val="0"/>
    </w:pPr>
    <w:rPr>
      <w:rFonts w:eastAsia="黑体"/>
      <w:bCs/>
      <w:kern w:val="44"/>
      <w:sz w:val="32"/>
      <w:szCs w:val="44"/>
    </w:rPr>
  </w:style>
  <w:style w:type="paragraph" w:styleId="3">
    <w:name w:val="heading 2"/>
    <w:basedOn w:val="1"/>
    <w:next w:val="1"/>
    <w:unhideWhenUsed/>
    <w:qFormat/>
    <w:uiPriority w:val="9"/>
    <w:pPr>
      <w:spacing w:before="260" w:after="260" w:line="415" w:lineRule="auto"/>
      <w:outlineLvl w:val="1"/>
    </w:pPr>
    <w:rPr>
      <w:rFonts w:eastAsia="楷体" w:asciiTheme="majorHAnsi" w:hAnsiTheme="majorHAnsi" w:cstheme="majorBidi"/>
      <w:b/>
      <w:bCs/>
      <w:sz w:val="32"/>
      <w:szCs w:val="32"/>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4"/>
    <w:qFormat/>
    <w:uiPriority w:val="0"/>
    <w:pPr>
      <w:jc w:val="left"/>
    </w:pPr>
  </w:style>
  <w:style w:type="paragraph" w:styleId="5">
    <w:name w:val="Balloon Text"/>
    <w:basedOn w:val="1"/>
    <w:link w:val="16"/>
    <w:qFormat/>
    <w:uiPriority w:val="0"/>
    <w:rPr>
      <w:sz w:val="18"/>
      <w:szCs w:val="18"/>
    </w:rPr>
  </w:style>
  <w:style w:type="paragraph" w:styleId="6">
    <w:name w:val="footer"/>
    <w:basedOn w:val="1"/>
    <w:link w:val="17"/>
    <w:qFormat/>
    <w:uiPriority w:val="99"/>
    <w:pPr>
      <w:tabs>
        <w:tab w:val="center" w:pos="4153"/>
        <w:tab w:val="right" w:pos="8306"/>
      </w:tabs>
      <w:adjustRightInd w:val="0"/>
      <w:spacing w:line="240" w:lineRule="atLeast"/>
      <w:jc w:val="left"/>
      <w:textAlignment w:val="baseline"/>
    </w:pPr>
    <w:rPr>
      <w:rFonts w:eastAsia="宋体"/>
      <w:kern w:val="0"/>
      <w:sz w:val="18"/>
      <w:szCs w:val="20"/>
    </w:rPr>
  </w:style>
  <w:style w:type="paragraph" w:styleId="7">
    <w:name w:val="header"/>
    <w:basedOn w:val="1"/>
    <w:qFormat/>
    <w:uiPriority w:val="99"/>
    <w:pPr>
      <w:pBdr>
        <w:bottom w:val="single" w:color="auto" w:sz="6" w:space="1"/>
      </w:pBdr>
      <w:tabs>
        <w:tab w:val="center" w:pos="4153"/>
        <w:tab w:val="right" w:pos="8306"/>
      </w:tabs>
      <w:snapToGrid w:val="0"/>
      <w:jc w:val="center"/>
    </w:pPr>
    <w:rPr>
      <w:rFonts w:eastAsia="宋体"/>
      <w:sz w:val="18"/>
      <w:szCs w:val="18"/>
    </w:rPr>
  </w:style>
  <w:style w:type="paragraph" w:styleId="8">
    <w:name w:val="annotation subject"/>
    <w:basedOn w:val="4"/>
    <w:next w:val="4"/>
    <w:link w:val="15"/>
    <w:qFormat/>
    <w:uiPriority w:val="0"/>
    <w:rPr>
      <w:b/>
      <w:bCs/>
    </w:rPr>
  </w:style>
  <w:style w:type="character" w:styleId="11">
    <w:name w:val="Strong"/>
    <w:qFormat/>
    <w:uiPriority w:val="0"/>
    <w:rPr>
      <w:b/>
      <w:bCs/>
    </w:rPr>
  </w:style>
  <w:style w:type="character" w:styleId="12">
    <w:name w:val="annotation reference"/>
    <w:basedOn w:val="10"/>
    <w:qFormat/>
    <w:uiPriority w:val="0"/>
    <w:rPr>
      <w:sz w:val="21"/>
      <w:szCs w:val="21"/>
    </w:rPr>
  </w:style>
  <w:style w:type="paragraph" w:styleId="13">
    <w:name w:val="No Spacing"/>
    <w:qFormat/>
    <w:uiPriority w:val="1"/>
    <w:rPr>
      <w:rFonts w:asciiTheme="minorHAnsi" w:hAnsiTheme="minorHAnsi" w:eastAsiaTheme="minorEastAsia" w:cstheme="minorBidi"/>
      <w:sz w:val="22"/>
      <w:szCs w:val="22"/>
      <w:lang w:val="en-US" w:eastAsia="zh-CN" w:bidi="ar-SA"/>
    </w:rPr>
  </w:style>
  <w:style w:type="character" w:customStyle="1" w:styleId="14">
    <w:name w:val="批注文字 Char"/>
    <w:basedOn w:val="10"/>
    <w:link w:val="4"/>
    <w:qFormat/>
    <w:uiPriority w:val="0"/>
    <w:rPr>
      <w:rFonts w:asciiTheme="minorHAnsi" w:hAnsiTheme="minorHAnsi" w:eastAsiaTheme="minorEastAsia" w:cstheme="minorBidi"/>
      <w:kern w:val="2"/>
      <w:sz w:val="21"/>
      <w:szCs w:val="24"/>
    </w:rPr>
  </w:style>
  <w:style w:type="character" w:customStyle="1" w:styleId="15">
    <w:name w:val="批注主题 Char"/>
    <w:basedOn w:val="14"/>
    <w:link w:val="8"/>
    <w:qFormat/>
    <w:uiPriority w:val="0"/>
    <w:rPr>
      <w:rFonts w:asciiTheme="minorHAnsi" w:hAnsiTheme="minorHAnsi" w:eastAsiaTheme="minorEastAsia" w:cstheme="minorBidi"/>
      <w:b/>
      <w:bCs/>
      <w:kern w:val="2"/>
      <w:sz w:val="21"/>
      <w:szCs w:val="24"/>
    </w:rPr>
  </w:style>
  <w:style w:type="character" w:customStyle="1" w:styleId="16">
    <w:name w:val="批注框文本 Char"/>
    <w:basedOn w:val="10"/>
    <w:link w:val="5"/>
    <w:qFormat/>
    <w:uiPriority w:val="0"/>
    <w:rPr>
      <w:rFonts w:asciiTheme="minorHAnsi" w:hAnsiTheme="minorHAnsi" w:eastAsiaTheme="minorEastAsia" w:cstheme="minorBidi"/>
      <w:kern w:val="2"/>
      <w:sz w:val="18"/>
      <w:szCs w:val="18"/>
    </w:rPr>
  </w:style>
  <w:style w:type="character" w:customStyle="1" w:styleId="17">
    <w:name w:val="页脚 Char"/>
    <w:basedOn w:val="10"/>
    <w:link w:val="6"/>
    <w:qFormat/>
    <w:uiPriority w:val="99"/>
    <w:rPr>
      <w:rFonts w:asciiTheme="minorHAnsi" w:hAnsiTheme="minorHAnsi" w:cstheme="minorBidi"/>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786</Words>
  <Characters>4483</Characters>
  <Lines>37</Lines>
  <Paragraphs>10</Paragraphs>
  <TotalTime>1</TotalTime>
  <ScaleCrop>false</ScaleCrop>
  <LinksUpToDate>false</LinksUpToDate>
  <CharactersWithSpaces>5259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2021-06-03T03:10:00Z</dcterms:created>
  <dc:creator>任佳妮</dc:creator>
  <cp:lastModifiedBy>zyzbw</cp:lastModifiedBy>
  <dcterms:modified xsi:type="dcterms:W3CDTF">2021-09-08T01:11:19Z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4FDEBA56D001446486972CBD129C0DF2</vt:lpwstr>
  </property>
</Properties>
</file>