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2A6D" w:rsidRDefault="009F2A6D">
      <w:pPr>
        <w:shd w:val="clear" w:color="auto" w:fill="FFFFFF"/>
        <w:spacing w:line="900" w:lineRule="atLeast"/>
        <w:jc w:val="center"/>
        <w:outlineLvl w:val="0"/>
        <w:rPr>
          <w:rFonts w:ascii="仿宋" w:eastAsia="仿宋" w:hAnsi="仿宋" w:cs="宋体"/>
          <w:b/>
          <w:bCs/>
          <w:color w:val="333333"/>
          <w:kern w:val="36"/>
          <w:sz w:val="32"/>
          <w:szCs w:val="32"/>
        </w:rPr>
      </w:pPr>
    </w:p>
    <w:p w:rsidR="00E26F0C" w:rsidRDefault="00E26F0C">
      <w:pPr>
        <w:shd w:val="clear" w:color="auto" w:fill="FFFFFF"/>
        <w:spacing w:line="900" w:lineRule="atLeast"/>
        <w:jc w:val="center"/>
        <w:outlineLvl w:val="0"/>
        <w:rPr>
          <w:rFonts w:ascii="仿宋" w:eastAsia="仿宋" w:hAnsi="仿宋" w:cs="宋体"/>
          <w:b/>
          <w:bCs/>
          <w:color w:val="333333"/>
          <w:kern w:val="36"/>
          <w:sz w:val="32"/>
          <w:szCs w:val="32"/>
        </w:rPr>
      </w:pPr>
    </w:p>
    <w:p w:rsidR="009F2A6D" w:rsidRPr="00E26F0C" w:rsidRDefault="0063638B" w:rsidP="00E26F0C">
      <w:pPr>
        <w:shd w:val="clear" w:color="auto" w:fill="FFFFFF"/>
        <w:spacing w:line="480" w:lineRule="exact"/>
        <w:jc w:val="center"/>
        <w:outlineLvl w:val="0"/>
        <w:rPr>
          <w:rFonts w:ascii="仿宋" w:eastAsia="仿宋" w:hAnsi="仿宋" w:cs="宋体"/>
          <w:b/>
          <w:bCs/>
          <w:color w:val="333333"/>
          <w:kern w:val="36"/>
          <w:sz w:val="28"/>
          <w:szCs w:val="28"/>
        </w:rPr>
      </w:pPr>
      <w:r w:rsidRPr="00E26F0C">
        <w:rPr>
          <w:rFonts w:ascii="仿宋" w:eastAsia="仿宋" w:hAnsi="仿宋" w:cs="宋体" w:hint="eastAsia"/>
          <w:b/>
          <w:bCs/>
          <w:color w:val="333333"/>
          <w:kern w:val="36"/>
          <w:sz w:val="28"/>
          <w:szCs w:val="28"/>
        </w:rPr>
        <w:t>南县住房保障中心</w:t>
      </w:r>
    </w:p>
    <w:p w:rsidR="009F2A6D" w:rsidRPr="00E26F0C" w:rsidRDefault="0063638B" w:rsidP="00E26F0C">
      <w:pPr>
        <w:shd w:val="clear" w:color="auto" w:fill="FFFFFF"/>
        <w:spacing w:line="480" w:lineRule="exact"/>
        <w:jc w:val="center"/>
        <w:outlineLvl w:val="0"/>
        <w:rPr>
          <w:rFonts w:ascii="仿宋" w:eastAsia="仿宋" w:hAnsi="仿宋" w:cs="宋体"/>
          <w:b/>
          <w:bCs/>
          <w:color w:val="333333"/>
          <w:kern w:val="36"/>
          <w:sz w:val="28"/>
          <w:szCs w:val="28"/>
        </w:rPr>
      </w:pPr>
      <w:r w:rsidRPr="00E26F0C">
        <w:rPr>
          <w:rFonts w:ascii="仿宋" w:eastAsia="仿宋" w:hAnsi="仿宋" w:cs="宋体" w:hint="eastAsia"/>
          <w:b/>
          <w:bCs/>
          <w:color w:val="333333"/>
          <w:kern w:val="36"/>
          <w:sz w:val="28"/>
          <w:szCs w:val="28"/>
        </w:rPr>
        <w:t>2019年第一批保障性安居工程建设项目专项资金</w:t>
      </w:r>
    </w:p>
    <w:p w:rsidR="009F2A6D" w:rsidRPr="00E26F0C" w:rsidRDefault="0063638B" w:rsidP="00E26F0C">
      <w:pPr>
        <w:shd w:val="clear" w:color="auto" w:fill="FFFFFF"/>
        <w:spacing w:line="480" w:lineRule="exact"/>
        <w:jc w:val="center"/>
        <w:outlineLvl w:val="0"/>
        <w:rPr>
          <w:rFonts w:ascii="仿宋" w:eastAsia="仿宋" w:hAnsi="仿宋" w:cs="宋体"/>
          <w:b/>
          <w:bCs/>
          <w:color w:val="333333"/>
          <w:kern w:val="36"/>
          <w:sz w:val="28"/>
          <w:szCs w:val="28"/>
        </w:rPr>
      </w:pPr>
      <w:r w:rsidRPr="00E26F0C">
        <w:rPr>
          <w:rFonts w:ascii="仿宋" w:eastAsia="仿宋" w:hAnsi="仿宋" w:cs="宋体" w:hint="eastAsia"/>
          <w:b/>
          <w:bCs/>
          <w:color w:val="333333"/>
          <w:kern w:val="36"/>
          <w:sz w:val="28"/>
          <w:szCs w:val="28"/>
        </w:rPr>
        <w:t>绩效评价报告</w:t>
      </w:r>
    </w:p>
    <w:p w:rsidR="009F2A6D" w:rsidRDefault="0063638B" w:rsidP="00E26F0C">
      <w:pPr>
        <w:tabs>
          <w:tab w:val="left" w:pos="1260"/>
          <w:tab w:val="left" w:pos="6090"/>
        </w:tabs>
        <w:spacing w:line="480" w:lineRule="exact"/>
        <w:jc w:val="center"/>
        <w:rPr>
          <w:rFonts w:ascii="仿宋" w:eastAsia="仿宋" w:hAnsi="仿宋"/>
          <w:b/>
          <w:spacing w:val="24"/>
          <w:sz w:val="28"/>
          <w:szCs w:val="28"/>
        </w:rPr>
      </w:pPr>
      <w:r>
        <w:rPr>
          <w:rFonts w:ascii="仿宋" w:eastAsia="仿宋" w:hAnsi="仿宋" w:hint="eastAsia"/>
          <w:b/>
          <w:spacing w:val="24"/>
          <w:sz w:val="28"/>
          <w:szCs w:val="28"/>
        </w:rPr>
        <w:t xml:space="preserve"> 湘财苑绩评字[2021]1-</w:t>
      </w:r>
      <w:r w:rsidR="006C215F">
        <w:rPr>
          <w:rFonts w:ascii="仿宋" w:eastAsia="仿宋" w:hAnsi="仿宋" w:hint="eastAsia"/>
          <w:b/>
          <w:spacing w:val="24"/>
          <w:sz w:val="28"/>
          <w:szCs w:val="28"/>
        </w:rPr>
        <w:t>010</w:t>
      </w:r>
      <w:r>
        <w:rPr>
          <w:rFonts w:ascii="仿宋" w:eastAsia="仿宋" w:hAnsi="仿宋" w:hint="eastAsia"/>
          <w:b/>
          <w:spacing w:val="24"/>
          <w:sz w:val="28"/>
          <w:szCs w:val="28"/>
        </w:rPr>
        <w:t>号</w:t>
      </w:r>
    </w:p>
    <w:p w:rsidR="009F2A6D" w:rsidRDefault="009F2A6D">
      <w:pPr>
        <w:tabs>
          <w:tab w:val="left" w:pos="1260"/>
          <w:tab w:val="left" w:pos="6090"/>
        </w:tabs>
        <w:spacing w:line="740" w:lineRule="exact"/>
        <w:jc w:val="center"/>
        <w:rPr>
          <w:rFonts w:ascii="仿宋" w:eastAsia="仿宋" w:hAnsi="仿宋"/>
          <w:b/>
          <w:spacing w:val="24"/>
          <w:sz w:val="52"/>
          <w:szCs w:val="52"/>
        </w:rPr>
      </w:pPr>
    </w:p>
    <w:p w:rsidR="009F2A6D" w:rsidRDefault="009F2A6D">
      <w:pPr>
        <w:tabs>
          <w:tab w:val="left" w:pos="1260"/>
          <w:tab w:val="left" w:pos="6090"/>
        </w:tabs>
        <w:spacing w:line="740" w:lineRule="exact"/>
        <w:jc w:val="center"/>
        <w:rPr>
          <w:rFonts w:ascii="仿宋" w:eastAsia="仿宋" w:hAnsi="仿宋"/>
          <w:b/>
          <w:spacing w:val="24"/>
          <w:sz w:val="52"/>
          <w:szCs w:val="52"/>
        </w:rPr>
      </w:pPr>
    </w:p>
    <w:p w:rsidR="009F2A6D" w:rsidRDefault="009F2A6D">
      <w:pPr>
        <w:tabs>
          <w:tab w:val="left" w:pos="1260"/>
          <w:tab w:val="left" w:pos="6090"/>
        </w:tabs>
        <w:spacing w:line="740" w:lineRule="exact"/>
        <w:jc w:val="center"/>
        <w:rPr>
          <w:rFonts w:ascii="仿宋" w:eastAsia="仿宋" w:hAnsi="仿宋"/>
          <w:b/>
          <w:spacing w:val="24"/>
          <w:sz w:val="52"/>
          <w:szCs w:val="52"/>
        </w:rPr>
      </w:pPr>
    </w:p>
    <w:p w:rsidR="009F2A6D" w:rsidRDefault="009F2A6D">
      <w:pPr>
        <w:tabs>
          <w:tab w:val="left" w:pos="1260"/>
          <w:tab w:val="left" w:pos="6090"/>
        </w:tabs>
        <w:spacing w:line="740" w:lineRule="exact"/>
        <w:jc w:val="center"/>
        <w:rPr>
          <w:rFonts w:ascii="仿宋" w:eastAsia="仿宋" w:hAnsi="仿宋"/>
          <w:b/>
          <w:spacing w:val="24"/>
          <w:sz w:val="52"/>
          <w:szCs w:val="52"/>
        </w:rPr>
      </w:pPr>
    </w:p>
    <w:p w:rsidR="009F2A6D" w:rsidRDefault="009F2A6D">
      <w:pPr>
        <w:tabs>
          <w:tab w:val="left" w:pos="1260"/>
          <w:tab w:val="left" w:pos="6090"/>
        </w:tabs>
        <w:spacing w:line="740" w:lineRule="exact"/>
        <w:jc w:val="center"/>
        <w:rPr>
          <w:rFonts w:ascii="仿宋" w:eastAsia="仿宋" w:hAnsi="仿宋"/>
          <w:b/>
          <w:spacing w:val="24"/>
          <w:sz w:val="52"/>
          <w:szCs w:val="52"/>
        </w:rPr>
      </w:pPr>
    </w:p>
    <w:p w:rsidR="009F2A6D" w:rsidRDefault="009F2A6D">
      <w:pPr>
        <w:tabs>
          <w:tab w:val="left" w:pos="1260"/>
          <w:tab w:val="left" w:pos="6090"/>
        </w:tabs>
        <w:spacing w:line="740" w:lineRule="exact"/>
        <w:jc w:val="center"/>
        <w:rPr>
          <w:rFonts w:ascii="仿宋" w:eastAsia="仿宋" w:hAnsi="仿宋"/>
          <w:b/>
          <w:spacing w:val="24"/>
          <w:sz w:val="52"/>
          <w:szCs w:val="52"/>
        </w:rPr>
      </w:pPr>
    </w:p>
    <w:p w:rsidR="009F2A6D" w:rsidRDefault="009F2A6D">
      <w:pPr>
        <w:tabs>
          <w:tab w:val="left" w:pos="1260"/>
          <w:tab w:val="left" w:pos="6090"/>
        </w:tabs>
        <w:spacing w:line="740" w:lineRule="exact"/>
        <w:jc w:val="center"/>
        <w:rPr>
          <w:rFonts w:ascii="仿宋" w:eastAsia="仿宋" w:hAnsi="仿宋"/>
          <w:b/>
          <w:spacing w:val="24"/>
          <w:sz w:val="52"/>
          <w:szCs w:val="52"/>
        </w:rPr>
      </w:pPr>
    </w:p>
    <w:p w:rsidR="009F2A6D" w:rsidRDefault="009F2A6D">
      <w:pPr>
        <w:tabs>
          <w:tab w:val="left" w:pos="1260"/>
          <w:tab w:val="left" w:pos="6090"/>
        </w:tabs>
        <w:spacing w:line="740" w:lineRule="exact"/>
        <w:jc w:val="center"/>
        <w:rPr>
          <w:rFonts w:ascii="仿宋" w:eastAsia="仿宋" w:hAnsi="仿宋"/>
          <w:b/>
          <w:spacing w:val="24"/>
          <w:sz w:val="52"/>
          <w:szCs w:val="52"/>
        </w:rPr>
      </w:pPr>
    </w:p>
    <w:p w:rsidR="009F2A6D" w:rsidRDefault="0063638B">
      <w:pPr>
        <w:tabs>
          <w:tab w:val="left" w:pos="1260"/>
          <w:tab w:val="left" w:pos="6090"/>
        </w:tabs>
        <w:spacing w:line="740" w:lineRule="exact"/>
        <w:jc w:val="center"/>
        <w:rPr>
          <w:rFonts w:ascii="仿宋" w:eastAsia="仿宋" w:hAnsi="仿宋"/>
          <w:b/>
          <w:spacing w:val="24"/>
          <w:sz w:val="32"/>
          <w:szCs w:val="32"/>
        </w:rPr>
      </w:pPr>
      <w:r>
        <w:rPr>
          <w:rFonts w:ascii="仿宋" w:eastAsia="仿宋" w:hAnsi="仿宋" w:hint="eastAsia"/>
          <w:b/>
          <w:spacing w:val="24"/>
          <w:sz w:val="32"/>
          <w:szCs w:val="32"/>
        </w:rPr>
        <w:t>湖南新财苑会计师事务所有限公司</w:t>
      </w:r>
    </w:p>
    <w:p w:rsidR="009F2A6D" w:rsidRDefault="009F2A6D">
      <w:pPr>
        <w:tabs>
          <w:tab w:val="left" w:pos="1260"/>
          <w:tab w:val="left" w:pos="6090"/>
        </w:tabs>
        <w:spacing w:line="740" w:lineRule="exact"/>
        <w:jc w:val="center"/>
        <w:rPr>
          <w:rFonts w:ascii="仿宋" w:eastAsia="仿宋" w:hAnsi="仿宋"/>
          <w:b/>
          <w:spacing w:val="24"/>
          <w:sz w:val="32"/>
          <w:szCs w:val="32"/>
        </w:rPr>
      </w:pPr>
    </w:p>
    <w:p w:rsidR="009F2A6D" w:rsidRDefault="009F2A6D">
      <w:pPr>
        <w:tabs>
          <w:tab w:val="left" w:pos="1260"/>
          <w:tab w:val="left" w:pos="6090"/>
        </w:tabs>
        <w:spacing w:line="740" w:lineRule="exact"/>
        <w:jc w:val="center"/>
        <w:rPr>
          <w:rFonts w:ascii="仿宋" w:eastAsia="仿宋" w:hAnsi="仿宋"/>
          <w:b/>
          <w:spacing w:val="24"/>
          <w:sz w:val="32"/>
          <w:szCs w:val="32"/>
        </w:rPr>
      </w:pPr>
    </w:p>
    <w:p w:rsidR="00E26F0C" w:rsidRPr="00E26F0C" w:rsidRDefault="00E26F0C" w:rsidP="00E26F0C">
      <w:pPr>
        <w:pStyle w:val="2"/>
      </w:pPr>
    </w:p>
    <w:p w:rsidR="009F2A6D" w:rsidRDefault="009F2A6D">
      <w:pPr>
        <w:shd w:val="clear" w:color="auto" w:fill="FFFFFF"/>
        <w:spacing w:line="900" w:lineRule="atLeast"/>
        <w:outlineLvl w:val="0"/>
        <w:rPr>
          <w:rFonts w:ascii="仿宋" w:eastAsia="仿宋" w:hAnsi="仿宋" w:cs="宋体"/>
          <w:b/>
          <w:bCs/>
          <w:color w:val="333333"/>
          <w:kern w:val="36"/>
          <w:sz w:val="30"/>
          <w:szCs w:val="30"/>
        </w:rPr>
      </w:pPr>
    </w:p>
    <w:p w:rsidR="009F2A6D" w:rsidRDefault="0063638B">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9F2A6D" w:rsidRDefault="0063638B">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9F2A6D" w:rsidRDefault="0063638B">
      <w:pPr>
        <w:spacing w:line="520" w:lineRule="exact"/>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20"/>
      </w:tblGrid>
      <w:tr w:rsidR="009F2A6D">
        <w:trPr>
          <w:trHeight w:val="113"/>
        </w:trPr>
        <w:tc>
          <w:tcPr>
            <w:tcW w:w="9420" w:type="dxa"/>
            <w:tcBorders>
              <w:top w:val="single" w:sz="4" w:space="0" w:color="auto"/>
              <w:left w:val="nil"/>
              <w:bottom w:val="nil"/>
              <w:right w:val="nil"/>
            </w:tcBorders>
          </w:tcPr>
          <w:p w:rsidR="009F2A6D" w:rsidRDefault="009F2A6D">
            <w:pPr>
              <w:spacing w:line="520" w:lineRule="exact"/>
              <w:rPr>
                <w:rFonts w:eastAsia="仿宋_GB2312"/>
                <w:szCs w:val="21"/>
                <w:u w:val="single"/>
                <w:bdr w:val="single" w:sz="4" w:space="0" w:color="auto"/>
              </w:rPr>
            </w:pPr>
          </w:p>
        </w:tc>
      </w:tr>
    </w:tbl>
    <w:p w:rsidR="009F2A6D" w:rsidRDefault="0063638B">
      <w:pPr>
        <w:shd w:val="clear" w:color="auto" w:fill="FFFFFF"/>
        <w:spacing w:line="520" w:lineRule="exact"/>
        <w:jc w:val="center"/>
        <w:outlineLvl w:val="0"/>
        <w:rPr>
          <w:rFonts w:ascii="仿宋" w:eastAsia="仿宋" w:hAnsi="仿宋" w:cs="宋体"/>
          <w:b/>
          <w:bCs/>
          <w:color w:val="333333"/>
          <w:kern w:val="36"/>
          <w:sz w:val="32"/>
          <w:szCs w:val="32"/>
        </w:rPr>
      </w:pPr>
      <w:r>
        <w:rPr>
          <w:rFonts w:ascii="仿宋" w:eastAsia="仿宋" w:hAnsi="仿宋" w:cs="宋体" w:hint="eastAsia"/>
          <w:b/>
          <w:bCs/>
          <w:color w:val="333333"/>
          <w:kern w:val="36"/>
          <w:sz w:val="32"/>
          <w:szCs w:val="32"/>
        </w:rPr>
        <w:t xml:space="preserve">南县住房保障中心　</w:t>
      </w:r>
    </w:p>
    <w:p w:rsidR="009F2A6D" w:rsidRDefault="0063638B">
      <w:pPr>
        <w:shd w:val="clear" w:color="auto" w:fill="FFFFFF"/>
        <w:spacing w:line="520" w:lineRule="exact"/>
        <w:jc w:val="center"/>
        <w:outlineLvl w:val="0"/>
        <w:rPr>
          <w:rFonts w:ascii="仿宋" w:eastAsia="仿宋" w:hAnsi="仿宋" w:cs="宋体"/>
          <w:b/>
          <w:bCs/>
          <w:color w:val="333333"/>
          <w:kern w:val="36"/>
          <w:sz w:val="32"/>
          <w:szCs w:val="32"/>
        </w:rPr>
      </w:pPr>
      <w:r>
        <w:rPr>
          <w:rFonts w:ascii="仿宋" w:eastAsia="仿宋" w:hAnsi="仿宋" w:cs="宋体" w:hint="eastAsia"/>
          <w:b/>
          <w:bCs/>
          <w:color w:val="333333"/>
          <w:kern w:val="36"/>
          <w:sz w:val="32"/>
          <w:szCs w:val="32"/>
        </w:rPr>
        <w:t>2019年第一批保障性安居工程建设项目专项资金</w:t>
      </w:r>
    </w:p>
    <w:p w:rsidR="009F2A6D" w:rsidRDefault="0063638B">
      <w:pPr>
        <w:shd w:val="clear" w:color="auto" w:fill="FFFFFF"/>
        <w:spacing w:line="520" w:lineRule="exact"/>
        <w:jc w:val="center"/>
        <w:outlineLvl w:val="0"/>
        <w:rPr>
          <w:rFonts w:ascii="仿宋" w:eastAsia="仿宋" w:hAnsi="仿宋" w:cs="宋体"/>
          <w:b/>
          <w:bCs/>
          <w:color w:val="333333"/>
          <w:kern w:val="36"/>
          <w:sz w:val="32"/>
          <w:szCs w:val="32"/>
        </w:rPr>
      </w:pPr>
      <w:r>
        <w:rPr>
          <w:rFonts w:ascii="仿宋" w:eastAsia="仿宋" w:hAnsi="仿宋" w:cs="宋体" w:hint="eastAsia"/>
          <w:b/>
          <w:bCs/>
          <w:color w:val="333333"/>
          <w:kern w:val="36"/>
          <w:sz w:val="32"/>
          <w:szCs w:val="32"/>
        </w:rPr>
        <w:t>资金绩效评价报告</w:t>
      </w:r>
    </w:p>
    <w:p w:rsidR="009F2A6D" w:rsidRDefault="0063638B">
      <w:pPr>
        <w:spacing w:line="520" w:lineRule="exact"/>
        <w:ind w:firstLineChars="700" w:firstLine="2296"/>
        <w:rPr>
          <w:rFonts w:ascii="仿宋" w:eastAsia="仿宋" w:hAnsi="仿宋"/>
          <w:spacing w:val="24"/>
          <w:sz w:val="28"/>
          <w:szCs w:val="28"/>
        </w:rPr>
      </w:pPr>
      <w:r>
        <w:rPr>
          <w:rFonts w:ascii="仿宋" w:eastAsia="仿宋" w:hAnsi="仿宋" w:hint="eastAsia"/>
          <w:spacing w:val="24"/>
          <w:sz w:val="28"/>
          <w:szCs w:val="28"/>
        </w:rPr>
        <w:t>湘财苑绩评字[2020]1-</w:t>
      </w:r>
      <w:r w:rsidR="006C215F">
        <w:rPr>
          <w:rFonts w:ascii="仿宋" w:eastAsia="仿宋" w:hAnsi="仿宋" w:hint="eastAsia"/>
          <w:spacing w:val="24"/>
          <w:sz w:val="28"/>
          <w:szCs w:val="28"/>
        </w:rPr>
        <w:t>010</w:t>
      </w:r>
      <w:r>
        <w:rPr>
          <w:rFonts w:ascii="仿宋" w:eastAsia="仿宋" w:hAnsi="仿宋" w:hint="eastAsia"/>
          <w:spacing w:val="24"/>
          <w:sz w:val="28"/>
          <w:szCs w:val="28"/>
        </w:rPr>
        <w:t>号</w:t>
      </w:r>
    </w:p>
    <w:p w:rsidR="009F2A6D" w:rsidRDefault="0063638B">
      <w:pPr>
        <w:ind w:firstLineChars="200" w:firstLine="480"/>
        <w:rPr>
          <w:rFonts w:ascii="仿宋" w:eastAsia="仿宋" w:hAnsi="仿宋"/>
          <w:sz w:val="24"/>
          <w:szCs w:val="24"/>
        </w:rPr>
      </w:pPr>
      <w:r>
        <w:rPr>
          <w:rFonts w:ascii="仿宋" w:eastAsia="仿宋" w:hAnsi="仿宋" w:hint="eastAsia"/>
          <w:sz w:val="24"/>
          <w:szCs w:val="24"/>
        </w:rPr>
        <w:t>根据财政部《财政支出绩效评价管理暂行办法》(财预〔2011〕185号)、《中共湖南省委办公厅、湖南省人民政府办公厅关于全面实施预算绩效管理的实施意见》湘办发〔2019〕10号) 的文件精神以及《南县财政局关于对2020年度专项资金开展重点绩效评价工作的通知》（南财绩函[2021]10号）等文件的规定和要求，我所接受南县财政局预算绩效管理股的委托，成立绩效评价工作组，于2021年 4月17日至6月25日对南县住房保障中心“2019年第一批保障性安居工程建设项目专项资金”（以下简称项目资金）开展了绩效评价。现将有关情况报告如下：</w:t>
      </w:r>
    </w:p>
    <w:p w:rsidR="009F2A6D" w:rsidRDefault="0063638B" w:rsidP="00E26F0C">
      <w:pPr>
        <w:pStyle w:val="aa"/>
        <w:ind w:firstLineChars="200" w:firstLine="602"/>
        <w:rPr>
          <w:rFonts w:ascii="仿宋" w:eastAsia="仿宋" w:hAnsi="仿宋"/>
          <w:b/>
          <w:sz w:val="30"/>
          <w:szCs w:val="30"/>
        </w:rPr>
      </w:pPr>
      <w:r>
        <w:rPr>
          <w:rFonts w:ascii="仿宋" w:eastAsia="仿宋" w:hAnsi="仿宋" w:hint="eastAsia"/>
          <w:b/>
          <w:sz w:val="30"/>
          <w:szCs w:val="30"/>
        </w:rPr>
        <w:t>一、基本情况</w:t>
      </w:r>
    </w:p>
    <w:p w:rsidR="009F2A6D" w:rsidRDefault="0063638B">
      <w:pPr>
        <w:pStyle w:val="a7"/>
        <w:shd w:val="clear" w:color="auto" w:fill="FFFFFF"/>
        <w:spacing w:before="0" w:beforeAutospacing="0" w:after="0" w:afterAutospacing="0" w:line="480" w:lineRule="auto"/>
        <w:ind w:firstLine="480"/>
        <w:jc w:val="both"/>
        <w:rPr>
          <w:rFonts w:ascii="仿宋" w:eastAsia="仿宋" w:hAnsi="仿宋" w:cstheme="minorBidi"/>
          <w:kern w:val="2"/>
        </w:rPr>
      </w:pPr>
      <w:r>
        <w:rPr>
          <w:rFonts w:ascii="仿宋" w:eastAsia="仿宋" w:hAnsi="仿宋" w:hint="eastAsia"/>
        </w:rPr>
        <w:t>（一）项目单位基本情况</w:t>
      </w:r>
      <w:r>
        <w:rPr>
          <w:rFonts w:ascii="仿宋" w:eastAsia="仿宋" w:hAnsi="仿宋" w:cstheme="minorBidi" w:hint="eastAsia"/>
          <w:kern w:val="2"/>
        </w:rPr>
        <w:t>。南县住房保障服务中心为县住房和城乡建设局所属正科级公益一类事业单位，主要职责包括负责拟定全县保障性住房、城市棚户区（含城中村）改造年度计划和中期计划；拟定城镇老旧小区配套基础设施申报改造计划并负责组织实施等。</w:t>
      </w:r>
    </w:p>
    <w:p w:rsidR="009F2A6D" w:rsidRDefault="0063638B">
      <w:pPr>
        <w:ind w:firstLineChars="200" w:firstLine="480"/>
        <w:rPr>
          <w:rFonts w:ascii="仿宋" w:eastAsia="仿宋" w:hAnsi="仿宋"/>
          <w:sz w:val="24"/>
          <w:szCs w:val="24"/>
        </w:rPr>
      </w:pPr>
      <w:r>
        <w:rPr>
          <w:rFonts w:ascii="仿宋" w:eastAsia="仿宋" w:hAnsi="仿宋" w:hint="eastAsia"/>
          <w:sz w:val="24"/>
          <w:szCs w:val="24"/>
        </w:rPr>
        <w:t>（二）项目基本情况。根据《湖南省财政厅关于下达2019年第一批保障性安居工程配套基础设施建设中央预算内基建资金的通知》（湘财建一指﹝2019﹞45号）文件下达南县1326万元用于其他保障性安居工程支出，南县国库集中支</w:t>
      </w:r>
      <w:r>
        <w:rPr>
          <w:rFonts w:ascii="仿宋" w:eastAsia="仿宋" w:hAnsi="仿宋" w:hint="eastAsia"/>
          <w:sz w:val="24"/>
          <w:szCs w:val="24"/>
        </w:rPr>
        <w:lastRenderedPageBreak/>
        <w:t>付中心于2020年11月19日拨付南县住房保障服务中心244.2万元用于南县老政府老旧小区改造。改造项目按照《国务院办公厅关于全面推进老旧小区改造工作的指导意见》（国办发﹝2020﹞23号）、《住房和城乡建设部办公厅、国家发展和改革委办公厅、国家财政部办公厅关于做好2019年老旧小区改造工作的通知》（建办城函﹝2019﹞243号）和《湖南省住房和城乡建设厅、湖南省发展和改革委、湖南省财政厅关于推进全省城镇老旧小区改造工作的通知》（湘建城﹝2020﹞50号）与南县发展和改革局《关于南县老旧小区建设项目可行性研究报告的批复》等文件精神，由南县住房保障服务中心组织实施。该项目改造建设总共投资654.53万元，其中安排2019年第一批保障性安居工程配套基础设施建设中央预算内基建资金资金244.2万元。</w:t>
      </w:r>
    </w:p>
    <w:p w:rsidR="009F2A6D" w:rsidRDefault="0063638B">
      <w:pPr>
        <w:shd w:val="clear" w:color="auto" w:fill="FFFFFF"/>
        <w:spacing w:line="520" w:lineRule="exact"/>
        <w:ind w:firstLineChars="100" w:firstLine="240"/>
        <w:rPr>
          <w:rFonts w:ascii="仿宋" w:eastAsia="仿宋" w:hAnsi="仿宋"/>
          <w:sz w:val="24"/>
          <w:szCs w:val="24"/>
        </w:rPr>
      </w:pPr>
      <w:r>
        <w:rPr>
          <w:rFonts w:ascii="仿宋" w:eastAsia="仿宋" w:hAnsi="仿宋" w:hint="eastAsia"/>
          <w:sz w:val="24"/>
          <w:szCs w:val="24"/>
        </w:rPr>
        <w:t>（三）项目绩效目标设定及完成情况</w:t>
      </w:r>
    </w:p>
    <w:p w:rsidR="009F2A6D" w:rsidRDefault="0063638B">
      <w:pPr>
        <w:ind w:firstLineChars="200" w:firstLine="480"/>
        <w:rPr>
          <w:rFonts w:ascii="仿宋" w:eastAsia="仿宋" w:hAnsi="仿宋" w:cs="Times New Roman"/>
          <w:sz w:val="24"/>
          <w:szCs w:val="24"/>
          <w:shd w:val="clear" w:color="auto" w:fill="FFFFFF"/>
        </w:rPr>
      </w:pPr>
      <w:r>
        <w:rPr>
          <w:rFonts w:ascii="仿宋" w:eastAsia="仿宋" w:hAnsi="仿宋" w:hint="eastAsia"/>
          <w:sz w:val="24"/>
          <w:szCs w:val="24"/>
        </w:rPr>
        <w:t>1、绩效目标设定：</w:t>
      </w:r>
      <w:r>
        <w:rPr>
          <w:rFonts w:ascii="仿宋" w:eastAsia="仿宋" w:hAnsi="仿宋" w:cs="Times New Roman" w:hint="eastAsia"/>
          <w:sz w:val="24"/>
          <w:szCs w:val="24"/>
          <w:shd w:val="clear" w:color="auto" w:fill="FFFFFF"/>
        </w:rPr>
        <w:t>南县老政府老旧小区建成年代久远，配套基础设施短缺，居民居住环境差，安全隐患较大，居民对小区改造的意愿强烈。通过本次资金项目，对原县政府老旧小区进行维护改造，计划</w:t>
      </w:r>
      <w:r>
        <w:rPr>
          <w:rFonts w:ascii="仿宋" w:eastAsia="仿宋" w:hAnsi="仿宋" w:hint="eastAsia"/>
          <w:sz w:val="24"/>
          <w:szCs w:val="24"/>
        </w:rPr>
        <w:t>改造楼栋18栋，改造户数438户，改造面积5.2万平方米。改造范围</w:t>
      </w:r>
      <w:r>
        <w:rPr>
          <w:rFonts w:ascii="仿宋" w:eastAsia="仿宋" w:hAnsi="仿宋" w:cs="Times New Roman" w:hint="eastAsia"/>
          <w:sz w:val="24"/>
          <w:szCs w:val="24"/>
          <w:shd w:val="clear" w:color="auto" w:fill="FFFFFF"/>
        </w:rPr>
        <w:t>包括雨污管网全部更新改造、畅通给、排水，整改强、弱电线路、绿化和道路建设等。</w:t>
      </w:r>
      <w:r>
        <w:rPr>
          <w:rFonts w:ascii="仿宋" w:eastAsia="仿宋" w:hAnsi="仿宋" w:hint="eastAsia"/>
          <w:sz w:val="24"/>
          <w:szCs w:val="24"/>
        </w:rPr>
        <w:t>改造</w:t>
      </w:r>
      <w:r>
        <w:rPr>
          <w:rFonts w:ascii="仿宋_GB2312" w:eastAsia="仿宋_GB2312" w:hAnsi="仿宋_GB2312" w:cs="仿宋_GB2312" w:hint="eastAsia"/>
          <w:sz w:val="24"/>
          <w:szCs w:val="24"/>
        </w:rPr>
        <w:t>建设后</w:t>
      </w:r>
      <w:r>
        <w:rPr>
          <w:rFonts w:ascii="仿宋" w:eastAsia="仿宋" w:hAnsi="仿宋" w:cs="Times New Roman" w:hint="eastAsia"/>
          <w:sz w:val="24"/>
          <w:szCs w:val="24"/>
          <w:shd w:val="clear" w:color="auto" w:fill="FFFFFF"/>
        </w:rPr>
        <w:t>让小区生态环境更加优美，小区居民出行更加方便，居住环境和住房条件得到根本改善，并加快推动全县城镇老旧小区改造进程。</w:t>
      </w:r>
    </w:p>
    <w:p w:rsidR="009F2A6D" w:rsidRDefault="0063638B">
      <w:pPr>
        <w:ind w:firstLineChars="200" w:firstLine="480"/>
        <w:rPr>
          <w:rFonts w:ascii="仿宋" w:eastAsia="仿宋" w:hAnsi="仿宋"/>
          <w:sz w:val="24"/>
          <w:szCs w:val="24"/>
        </w:rPr>
      </w:pPr>
      <w:r>
        <w:rPr>
          <w:rFonts w:ascii="仿宋" w:eastAsia="仿宋" w:hAnsi="仿宋" w:hint="eastAsia"/>
          <w:sz w:val="24"/>
          <w:szCs w:val="24"/>
        </w:rPr>
        <w:t>2、目标完成情况：2019年第一批保障性安居工程配套基础设施建设中央预算内基建专项资金</w:t>
      </w:r>
      <w:r>
        <w:rPr>
          <w:rFonts w:ascii="仿宋" w:eastAsia="仿宋" w:hAnsi="仿宋" w:cs="Times New Roman" w:hint="eastAsia"/>
          <w:sz w:val="24"/>
          <w:szCs w:val="24"/>
          <w:shd w:val="clear" w:color="auto" w:fill="FFFFFF"/>
        </w:rPr>
        <w:t>建设的老县政府老旧小区改造工程项目已于2020年底按时、按量完成，并于2021年1月30日通过综合验收，现已投入使用。维护改造项目</w:t>
      </w:r>
      <w:r>
        <w:rPr>
          <w:rFonts w:ascii="仿宋" w:eastAsia="仿宋" w:hAnsi="仿宋" w:hint="eastAsia"/>
          <w:sz w:val="24"/>
          <w:szCs w:val="24"/>
        </w:rPr>
        <w:t>涉及</w:t>
      </w:r>
      <w:r>
        <w:rPr>
          <w:rFonts w:ascii="仿宋" w:eastAsia="仿宋" w:hAnsi="仿宋" w:cs="Times New Roman" w:hint="eastAsia"/>
          <w:sz w:val="24"/>
          <w:szCs w:val="24"/>
          <w:shd w:val="clear" w:color="auto" w:fill="FFFFFF"/>
        </w:rPr>
        <w:t>老县政府老旧小区</w:t>
      </w:r>
      <w:r>
        <w:rPr>
          <w:rFonts w:ascii="仿宋" w:eastAsia="仿宋" w:hAnsi="仿宋" w:hint="eastAsia"/>
          <w:sz w:val="24"/>
          <w:szCs w:val="24"/>
        </w:rPr>
        <w:t>楼栋18栋，户数438户，改造内容包括：</w:t>
      </w:r>
      <w:r>
        <w:rPr>
          <w:rFonts w:ascii="仿宋_GB2312" w:eastAsia="仿宋_GB2312" w:hAnsi="仿宋_GB2312" w:cs="仿宋_GB2312" w:hint="eastAsia"/>
          <w:sz w:val="24"/>
          <w:szCs w:val="24"/>
        </w:rPr>
        <w:t>拆除7栋建筑外墙立面抹灰3224.26㎡；屋面拆除3940.35㎡；外墙改造7589.21㎡；屋面改造3940.35㎡；拆除木窗543樘；安装铝合金中空玻璃窗2151.64㎡；拆除外墙强电线路150m；新建强电线路753m；建庭院灯23个；安室外枪式摄像机7个；</w:t>
      </w:r>
      <w:r>
        <w:rPr>
          <w:rFonts w:ascii="仿宋" w:eastAsia="仿宋" w:hAnsi="仿宋" w:cs="Times New Roman" w:hint="eastAsia"/>
          <w:sz w:val="24"/>
          <w:szCs w:val="24"/>
          <w:shd w:val="clear" w:color="auto" w:fill="FFFFFF"/>
        </w:rPr>
        <w:lastRenderedPageBreak/>
        <w:t>雨、污水管网</w:t>
      </w:r>
      <w:r>
        <w:rPr>
          <w:rFonts w:ascii="仿宋_GB2312" w:eastAsia="仿宋_GB2312" w:hAnsi="仿宋_GB2312" w:cs="仿宋_GB2312" w:hint="eastAsia"/>
          <w:sz w:val="24"/>
          <w:szCs w:val="24"/>
        </w:rPr>
        <w:t>改造629.3m；</w:t>
      </w:r>
      <w:r>
        <w:rPr>
          <w:rFonts w:ascii="仿宋" w:eastAsia="仿宋" w:hAnsi="仿宋" w:cs="Times New Roman" w:hint="eastAsia"/>
          <w:sz w:val="24"/>
          <w:szCs w:val="24"/>
          <w:shd w:val="clear" w:color="auto" w:fill="FFFFFF"/>
        </w:rPr>
        <w:t>雨、污水井30座</w:t>
      </w:r>
      <w:r>
        <w:rPr>
          <w:rFonts w:ascii="仿宋_GB2312" w:eastAsia="仿宋_GB2312" w:hAnsi="仿宋_GB2312" w:cs="仿宋_GB2312" w:hint="eastAsia"/>
          <w:sz w:val="24"/>
          <w:szCs w:val="24"/>
        </w:rPr>
        <w:t>；沥青混凝土路面建设2906㎡；园林绿化栽植乔木(桂花、红叶石楠等)、灌木（杜鹃、冬青等）137株，栽植花卉（红继木、女贞等）1050㎡；室主外消防栓2套；化粪池3座；景观工程塑胶地面139.056㎡，卵石地面103.76㎡、26套橡胶车轮定位器等。</w:t>
      </w:r>
      <w:r>
        <w:rPr>
          <w:rFonts w:ascii="仿宋" w:eastAsia="仿宋" w:hAnsi="仿宋" w:hint="eastAsia"/>
          <w:sz w:val="24"/>
          <w:szCs w:val="24"/>
        </w:rPr>
        <w:t>该项目改造建设总投资654.53万元，其中本次安排中央专项资金244.2万元。</w:t>
      </w:r>
    </w:p>
    <w:p w:rsidR="009F2A6D" w:rsidRDefault="0063638B" w:rsidP="00E26F0C">
      <w:pPr>
        <w:ind w:firstLineChars="200" w:firstLine="602"/>
        <w:rPr>
          <w:rFonts w:ascii="仿宋" w:eastAsia="仿宋" w:hAnsi="仿宋"/>
          <w:b/>
          <w:sz w:val="30"/>
          <w:szCs w:val="30"/>
        </w:rPr>
      </w:pPr>
      <w:r>
        <w:rPr>
          <w:rFonts w:ascii="仿宋" w:eastAsia="仿宋" w:hAnsi="仿宋" w:hint="eastAsia"/>
          <w:b/>
          <w:sz w:val="30"/>
          <w:szCs w:val="30"/>
        </w:rPr>
        <w:t>二、项目资金使用及管理情况</w:t>
      </w:r>
    </w:p>
    <w:p w:rsidR="009F2A6D" w:rsidRDefault="0063638B">
      <w:pPr>
        <w:ind w:firstLineChars="200" w:firstLine="480"/>
        <w:rPr>
          <w:rFonts w:ascii="仿宋" w:eastAsia="仿宋" w:hAnsi="仿宋"/>
          <w:sz w:val="24"/>
          <w:szCs w:val="24"/>
        </w:rPr>
      </w:pPr>
      <w:r>
        <w:rPr>
          <w:rFonts w:ascii="仿宋" w:eastAsia="仿宋" w:hAnsi="仿宋" w:hint="eastAsia"/>
          <w:sz w:val="24"/>
          <w:szCs w:val="24"/>
        </w:rPr>
        <w:t>（一）项目资金到位情况。2019年南县住房保障中心第一批保障性安居工程配套基础设施建设中央预算内基建资金项目共到位资金244.2万元，其中：中央专项资金244.2万元，资金到位率100%。</w:t>
      </w:r>
    </w:p>
    <w:p w:rsidR="009F2A6D" w:rsidRDefault="0063638B">
      <w:pPr>
        <w:ind w:firstLine="480"/>
        <w:rPr>
          <w:rFonts w:ascii="仿宋" w:eastAsia="仿宋" w:hAnsi="仿宋"/>
          <w:sz w:val="24"/>
          <w:szCs w:val="24"/>
        </w:rPr>
      </w:pPr>
      <w:r>
        <w:rPr>
          <w:rFonts w:ascii="仿宋" w:eastAsia="仿宋" w:hAnsi="仿宋" w:hint="eastAsia"/>
          <w:sz w:val="24"/>
          <w:szCs w:val="24"/>
        </w:rPr>
        <w:t xml:space="preserve">（二）项目资金使用情况。该住房保障中心第一批保障性安居工程配套基础设施建设中央预算内基建资金项目实际支出244.2万元，全部用于南县老政府老旧小区改造建设项目。具体支出明细如下： </w:t>
      </w:r>
    </w:p>
    <w:p w:rsidR="009F2A6D" w:rsidRDefault="0063638B">
      <w:pPr>
        <w:jc w:val="center"/>
        <w:rPr>
          <w:rFonts w:ascii="仿宋" w:eastAsia="仿宋" w:hAnsi="仿宋"/>
          <w:sz w:val="24"/>
          <w:szCs w:val="24"/>
        </w:rPr>
      </w:pPr>
      <w:r>
        <w:rPr>
          <w:rFonts w:ascii="仿宋" w:eastAsia="仿宋" w:hAnsi="仿宋" w:hint="eastAsia"/>
          <w:sz w:val="24"/>
          <w:szCs w:val="24"/>
        </w:rPr>
        <w:t>2019年第一批保障性安居工程中央预算内基建资金使用明细表</w:t>
      </w:r>
    </w:p>
    <w:tbl>
      <w:tblPr>
        <w:tblStyle w:val="a8"/>
        <w:tblW w:w="0" w:type="auto"/>
        <w:tblLook w:val="04A0"/>
      </w:tblPr>
      <w:tblGrid>
        <w:gridCol w:w="1951"/>
        <w:gridCol w:w="2126"/>
        <w:gridCol w:w="1843"/>
        <w:gridCol w:w="2410"/>
      </w:tblGrid>
      <w:tr w:rsidR="009F2A6D">
        <w:tc>
          <w:tcPr>
            <w:tcW w:w="1951" w:type="dxa"/>
          </w:tcPr>
          <w:p w:rsidR="009F2A6D" w:rsidRDefault="0063638B">
            <w:pPr>
              <w:jc w:val="center"/>
              <w:rPr>
                <w:rFonts w:ascii="仿宋" w:eastAsia="仿宋" w:hAnsi="仿宋"/>
                <w:sz w:val="24"/>
                <w:szCs w:val="24"/>
              </w:rPr>
            </w:pPr>
            <w:r>
              <w:rPr>
                <w:rFonts w:ascii="仿宋" w:eastAsia="仿宋" w:hAnsi="仿宋" w:hint="eastAsia"/>
                <w:sz w:val="24"/>
                <w:szCs w:val="24"/>
              </w:rPr>
              <w:t>明细支出内容</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金额（元）</w:t>
            </w:r>
          </w:p>
        </w:tc>
        <w:tc>
          <w:tcPr>
            <w:tcW w:w="1843" w:type="dxa"/>
          </w:tcPr>
          <w:p w:rsidR="009F2A6D" w:rsidRDefault="0063638B">
            <w:pPr>
              <w:jc w:val="center"/>
              <w:rPr>
                <w:rFonts w:ascii="仿宋" w:eastAsia="仿宋" w:hAnsi="仿宋"/>
                <w:sz w:val="24"/>
                <w:szCs w:val="24"/>
              </w:rPr>
            </w:pPr>
            <w:r>
              <w:rPr>
                <w:rFonts w:ascii="仿宋" w:eastAsia="仿宋" w:hAnsi="仿宋" w:cs="仿宋" w:hint="eastAsia"/>
                <w:color w:val="000000"/>
                <w:kern w:val="0"/>
                <w:szCs w:val="21"/>
              </w:rPr>
              <w:t>付款时间</w:t>
            </w:r>
          </w:p>
        </w:tc>
        <w:tc>
          <w:tcPr>
            <w:tcW w:w="2410" w:type="dxa"/>
          </w:tcPr>
          <w:p w:rsidR="009F2A6D" w:rsidRDefault="0063638B">
            <w:pPr>
              <w:jc w:val="center"/>
              <w:rPr>
                <w:rFonts w:ascii="仿宋" w:eastAsia="仿宋" w:hAnsi="仿宋"/>
                <w:sz w:val="24"/>
                <w:szCs w:val="24"/>
              </w:rPr>
            </w:pPr>
            <w:r>
              <w:rPr>
                <w:rFonts w:ascii="仿宋" w:eastAsia="仿宋" w:hAnsi="仿宋" w:cs="仿宋" w:hint="eastAsia"/>
                <w:color w:val="000000"/>
                <w:kern w:val="0"/>
                <w:szCs w:val="21"/>
              </w:rPr>
              <w:t>占实际使用资金比例</w:t>
            </w:r>
          </w:p>
        </w:tc>
      </w:tr>
      <w:tr w:rsidR="009F2A6D">
        <w:tc>
          <w:tcPr>
            <w:tcW w:w="1951" w:type="dxa"/>
          </w:tcPr>
          <w:p w:rsidR="009F2A6D" w:rsidRDefault="0063638B">
            <w:pPr>
              <w:jc w:val="center"/>
              <w:rPr>
                <w:rFonts w:ascii="仿宋" w:eastAsia="仿宋" w:hAnsi="仿宋"/>
                <w:sz w:val="24"/>
                <w:szCs w:val="24"/>
              </w:rPr>
            </w:pPr>
            <w:r>
              <w:rPr>
                <w:rFonts w:ascii="仿宋" w:eastAsia="仿宋" w:hAnsi="仿宋" w:hint="eastAsia"/>
                <w:sz w:val="24"/>
                <w:szCs w:val="24"/>
              </w:rPr>
              <w:t>测绘费</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31201.61</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2020.4.30</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0.48</w:t>
            </w:r>
            <w:r>
              <w:rPr>
                <w:rFonts w:ascii="仿宋" w:eastAsia="仿宋" w:hAnsi="仿宋" w:cs="仿宋" w:hint="eastAsia"/>
                <w:color w:val="000000"/>
                <w:kern w:val="0"/>
                <w:szCs w:val="21"/>
              </w:rPr>
              <w:t>%</w:t>
            </w:r>
          </w:p>
        </w:tc>
      </w:tr>
      <w:tr w:rsidR="009F2A6D">
        <w:tc>
          <w:tcPr>
            <w:tcW w:w="1951" w:type="dxa"/>
          </w:tcPr>
          <w:p w:rsidR="009F2A6D" w:rsidRDefault="0063638B">
            <w:pPr>
              <w:jc w:val="center"/>
              <w:rPr>
                <w:rFonts w:ascii="仿宋" w:eastAsia="仿宋" w:hAnsi="仿宋"/>
                <w:sz w:val="24"/>
                <w:szCs w:val="24"/>
              </w:rPr>
            </w:pPr>
            <w:r>
              <w:rPr>
                <w:rFonts w:ascii="仿宋" w:eastAsia="仿宋" w:hAnsi="仿宋" w:hint="eastAsia"/>
                <w:sz w:val="24"/>
                <w:szCs w:val="24"/>
              </w:rPr>
              <w:t>可行性咨询费</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6250.00</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2020.7.31</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0.10%</w:t>
            </w:r>
          </w:p>
        </w:tc>
      </w:tr>
      <w:tr w:rsidR="009F2A6D">
        <w:tc>
          <w:tcPr>
            <w:tcW w:w="1951" w:type="dxa"/>
          </w:tcPr>
          <w:p w:rsidR="009F2A6D" w:rsidRDefault="0063638B">
            <w:pPr>
              <w:jc w:val="center"/>
              <w:rPr>
                <w:rFonts w:ascii="仿宋" w:eastAsia="仿宋" w:hAnsi="仿宋"/>
                <w:sz w:val="24"/>
                <w:szCs w:val="24"/>
              </w:rPr>
            </w:pPr>
            <w:r>
              <w:rPr>
                <w:rFonts w:ascii="仿宋" w:eastAsia="仿宋" w:hAnsi="仿宋" w:hint="eastAsia"/>
                <w:sz w:val="24"/>
                <w:szCs w:val="24"/>
              </w:rPr>
              <w:t>预标编制费</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46263.00</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2020.7.31</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0.71%</w:t>
            </w:r>
          </w:p>
        </w:tc>
      </w:tr>
      <w:tr w:rsidR="009F2A6D">
        <w:tc>
          <w:tcPr>
            <w:tcW w:w="1951" w:type="dxa"/>
          </w:tcPr>
          <w:p w:rsidR="009F2A6D" w:rsidRDefault="0063638B">
            <w:pPr>
              <w:jc w:val="center"/>
              <w:rPr>
                <w:rFonts w:ascii="仿宋" w:eastAsia="仿宋" w:hAnsi="仿宋"/>
                <w:sz w:val="24"/>
                <w:szCs w:val="24"/>
              </w:rPr>
            </w:pPr>
            <w:r>
              <w:rPr>
                <w:rFonts w:ascii="仿宋" w:eastAsia="仿宋" w:hAnsi="仿宋" w:hint="eastAsia"/>
                <w:sz w:val="24"/>
                <w:szCs w:val="24"/>
              </w:rPr>
              <w:t>设计费</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273200.00</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2020.7.31</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4.17%</w:t>
            </w:r>
          </w:p>
        </w:tc>
      </w:tr>
      <w:tr w:rsidR="009F2A6D">
        <w:tc>
          <w:tcPr>
            <w:tcW w:w="1951" w:type="dxa"/>
          </w:tcPr>
          <w:p w:rsidR="009F2A6D" w:rsidRDefault="0063638B">
            <w:pPr>
              <w:jc w:val="center"/>
            </w:pPr>
            <w:r>
              <w:rPr>
                <w:rFonts w:hint="eastAsia"/>
              </w:rPr>
              <w:t>广告制作</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6960.00</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2020.9.30</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0.11%</w:t>
            </w:r>
          </w:p>
        </w:tc>
      </w:tr>
      <w:tr w:rsidR="009F2A6D">
        <w:tc>
          <w:tcPr>
            <w:tcW w:w="1951" w:type="dxa"/>
          </w:tcPr>
          <w:p w:rsidR="009F2A6D" w:rsidRDefault="0063638B">
            <w:pPr>
              <w:jc w:val="center"/>
            </w:pPr>
            <w:r>
              <w:rPr>
                <w:rFonts w:hint="eastAsia"/>
              </w:rPr>
              <w:t>预付工程款</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1035838.17</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2020.11.19</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15.83%</w:t>
            </w:r>
          </w:p>
        </w:tc>
      </w:tr>
      <w:tr w:rsidR="009F2A6D">
        <w:tc>
          <w:tcPr>
            <w:tcW w:w="1951" w:type="dxa"/>
          </w:tcPr>
          <w:p w:rsidR="009F2A6D" w:rsidRDefault="0063638B">
            <w:pPr>
              <w:jc w:val="center"/>
              <w:rPr>
                <w:rFonts w:ascii="仿宋" w:eastAsia="仿宋" w:hAnsi="仿宋"/>
                <w:sz w:val="24"/>
                <w:szCs w:val="24"/>
              </w:rPr>
            </w:pPr>
            <w:r>
              <w:rPr>
                <w:rFonts w:hint="eastAsia"/>
              </w:rPr>
              <w:t>预付工程款</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2589595.43</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2020.12.11</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39.55%</w:t>
            </w:r>
          </w:p>
        </w:tc>
      </w:tr>
      <w:tr w:rsidR="009F2A6D">
        <w:tc>
          <w:tcPr>
            <w:tcW w:w="1951" w:type="dxa"/>
          </w:tcPr>
          <w:p w:rsidR="009F2A6D" w:rsidRDefault="0063638B">
            <w:pPr>
              <w:jc w:val="center"/>
            </w:pPr>
            <w:r>
              <w:rPr>
                <w:rFonts w:hint="eastAsia"/>
              </w:rPr>
              <w:t>购垃圾箱</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11600.00</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2021.1.31</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0.18%</w:t>
            </w:r>
          </w:p>
        </w:tc>
      </w:tr>
      <w:tr w:rsidR="009F2A6D">
        <w:tc>
          <w:tcPr>
            <w:tcW w:w="1951" w:type="dxa"/>
          </w:tcPr>
          <w:p w:rsidR="009F2A6D" w:rsidRDefault="0063638B">
            <w:pPr>
              <w:jc w:val="center"/>
            </w:pPr>
            <w:r>
              <w:rPr>
                <w:rFonts w:hint="eastAsia"/>
              </w:rPr>
              <w:t>工程款</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2434219.72</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2021.2.28</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37.19%</w:t>
            </w:r>
          </w:p>
        </w:tc>
      </w:tr>
      <w:tr w:rsidR="009F2A6D">
        <w:tc>
          <w:tcPr>
            <w:tcW w:w="1951" w:type="dxa"/>
          </w:tcPr>
          <w:p w:rsidR="009F2A6D" w:rsidRDefault="0063638B">
            <w:pPr>
              <w:jc w:val="center"/>
            </w:pPr>
            <w:r>
              <w:rPr>
                <w:rFonts w:hint="eastAsia"/>
              </w:rPr>
              <w:t>监理费</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88046.00</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2021.2.28</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1.34%</w:t>
            </w:r>
          </w:p>
        </w:tc>
      </w:tr>
      <w:tr w:rsidR="009F2A6D">
        <w:tc>
          <w:tcPr>
            <w:tcW w:w="1951" w:type="dxa"/>
          </w:tcPr>
          <w:p w:rsidR="009F2A6D" w:rsidRDefault="0063638B">
            <w:pPr>
              <w:jc w:val="center"/>
            </w:pPr>
            <w:r>
              <w:rPr>
                <w:rFonts w:hint="eastAsia"/>
              </w:rPr>
              <w:t>补预算编制</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22165.00</w:t>
            </w:r>
          </w:p>
        </w:tc>
        <w:tc>
          <w:tcPr>
            <w:tcW w:w="1843" w:type="dxa"/>
          </w:tcPr>
          <w:p w:rsidR="009F2A6D" w:rsidRDefault="0063638B">
            <w:pPr>
              <w:jc w:val="center"/>
              <w:rPr>
                <w:rFonts w:ascii="仿宋" w:eastAsia="仿宋" w:hAnsi="仿宋"/>
                <w:sz w:val="24"/>
                <w:szCs w:val="24"/>
              </w:rPr>
            </w:pPr>
            <w:r>
              <w:rPr>
                <w:rFonts w:ascii="仿宋" w:eastAsia="仿宋" w:hAnsi="仿宋" w:hint="eastAsia"/>
                <w:sz w:val="24"/>
                <w:szCs w:val="24"/>
              </w:rPr>
              <w:t>2021.2.28</w:t>
            </w:r>
          </w:p>
        </w:tc>
        <w:tc>
          <w:tcPr>
            <w:tcW w:w="2410" w:type="dxa"/>
          </w:tcPr>
          <w:p w:rsidR="009F2A6D" w:rsidRDefault="0063638B">
            <w:pPr>
              <w:jc w:val="center"/>
              <w:rPr>
                <w:rFonts w:ascii="仿宋" w:eastAsia="仿宋" w:hAnsi="仿宋"/>
                <w:sz w:val="24"/>
                <w:szCs w:val="24"/>
              </w:rPr>
            </w:pPr>
            <w:r>
              <w:rPr>
                <w:rFonts w:ascii="仿宋" w:eastAsia="仿宋" w:hAnsi="仿宋" w:hint="eastAsia"/>
                <w:sz w:val="24"/>
                <w:szCs w:val="24"/>
              </w:rPr>
              <w:t>0.34%</w:t>
            </w:r>
          </w:p>
        </w:tc>
      </w:tr>
      <w:tr w:rsidR="009F2A6D">
        <w:tc>
          <w:tcPr>
            <w:tcW w:w="1951" w:type="dxa"/>
          </w:tcPr>
          <w:p w:rsidR="009F2A6D" w:rsidRDefault="0063638B">
            <w:pPr>
              <w:jc w:val="center"/>
              <w:rPr>
                <w:rFonts w:ascii="仿宋" w:eastAsia="仿宋" w:hAnsi="仿宋"/>
                <w:sz w:val="24"/>
                <w:szCs w:val="24"/>
              </w:rPr>
            </w:pPr>
            <w:r>
              <w:rPr>
                <w:rFonts w:ascii="仿宋" w:eastAsia="仿宋" w:hAnsi="仿宋" w:hint="eastAsia"/>
                <w:sz w:val="24"/>
                <w:szCs w:val="24"/>
              </w:rPr>
              <w:lastRenderedPageBreak/>
              <w:t>合计</w:t>
            </w:r>
          </w:p>
        </w:tc>
        <w:tc>
          <w:tcPr>
            <w:tcW w:w="2126" w:type="dxa"/>
          </w:tcPr>
          <w:p w:rsidR="009F2A6D" w:rsidRDefault="0063638B">
            <w:pPr>
              <w:jc w:val="center"/>
              <w:rPr>
                <w:rFonts w:ascii="仿宋" w:eastAsia="仿宋" w:hAnsi="仿宋"/>
                <w:sz w:val="24"/>
                <w:szCs w:val="24"/>
              </w:rPr>
            </w:pPr>
            <w:r>
              <w:rPr>
                <w:rFonts w:ascii="仿宋" w:eastAsia="仿宋" w:hAnsi="仿宋" w:hint="eastAsia"/>
                <w:sz w:val="24"/>
                <w:szCs w:val="24"/>
              </w:rPr>
              <w:t>6545338.93</w:t>
            </w:r>
          </w:p>
        </w:tc>
        <w:tc>
          <w:tcPr>
            <w:tcW w:w="1843" w:type="dxa"/>
          </w:tcPr>
          <w:p w:rsidR="009F2A6D" w:rsidRDefault="009F2A6D">
            <w:pPr>
              <w:jc w:val="center"/>
              <w:rPr>
                <w:rFonts w:ascii="仿宋" w:eastAsia="仿宋" w:hAnsi="仿宋"/>
                <w:sz w:val="24"/>
                <w:szCs w:val="24"/>
              </w:rPr>
            </w:pPr>
          </w:p>
        </w:tc>
        <w:tc>
          <w:tcPr>
            <w:tcW w:w="2410" w:type="dxa"/>
          </w:tcPr>
          <w:p w:rsidR="009F2A6D" w:rsidRDefault="0063638B">
            <w:pPr>
              <w:ind w:firstLineChars="200" w:firstLine="480"/>
              <w:jc w:val="center"/>
              <w:rPr>
                <w:rFonts w:ascii="仿宋" w:eastAsia="仿宋" w:hAnsi="仿宋"/>
                <w:sz w:val="24"/>
                <w:szCs w:val="24"/>
              </w:rPr>
            </w:pPr>
            <w:r>
              <w:rPr>
                <w:rFonts w:ascii="仿宋" w:eastAsia="仿宋" w:hAnsi="仿宋" w:hint="eastAsia"/>
                <w:sz w:val="24"/>
                <w:szCs w:val="24"/>
              </w:rPr>
              <w:t>100%</w:t>
            </w:r>
          </w:p>
        </w:tc>
      </w:tr>
    </w:tbl>
    <w:p w:rsidR="009F2A6D" w:rsidRDefault="0063638B">
      <w:pPr>
        <w:ind w:firstLineChars="200" w:firstLine="480"/>
        <w:rPr>
          <w:rFonts w:ascii="仿宋" w:eastAsia="仿宋" w:hAnsi="仿宋"/>
          <w:sz w:val="24"/>
          <w:szCs w:val="24"/>
        </w:rPr>
      </w:pPr>
      <w:r>
        <w:rPr>
          <w:rFonts w:ascii="仿宋" w:eastAsia="仿宋" w:hAnsi="仿宋" w:cs="Times New Roman" w:hint="eastAsia"/>
          <w:sz w:val="24"/>
          <w:szCs w:val="24"/>
          <w:shd w:val="clear" w:color="auto" w:fill="FFFFFF"/>
        </w:rPr>
        <w:t>老县政府老旧小区</w:t>
      </w:r>
      <w:r>
        <w:rPr>
          <w:rFonts w:ascii="仿宋" w:eastAsia="仿宋" w:hAnsi="仿宋" w:hint="eastAsia"/>
          <w:sz w:val="24"/>
          <w:szCs w:val="24"/>
        </w:rPr>
        <w:t>改造建设项目总共投资654.53万元，其中含本项目资金244.2万元。以上实施项目与年初绩效目标相符，符合保障性安居工程配套基础设施建设中央预算内基建专项资金使用范围，资金安排合理，费用报销程序合规，资金管理到位，不存在截留、挪用等现象。</w:t>
      </w:r>
    </w:p>
    <w:p w:rsidR="009F2A6D" w:rsidRDefault="0063638B">
      <w:pPr>
        <w:ind w:firstLineChars="200" w:firstLine="480"/>
        <w:rPr>
          <w:rFonts w:ascii="仿宋" w:eastAsia="仿宋" w:hAnsi="仿宋"/>
          <w:sz w:val="24"/>
          <w:szCs w:val="24"/>
        </w:rPr>
      </w:pPr>
      <w:r>
        <w:rPr>
          <w:rFonts w:ascii="仿宋" w:eastAsia="仿宋" w:hAnsi="仿宋" w:hint="eastAsia"/>
          <w:sz w:val="24"/>
          <w:szCs w:val="24"/>
        </w:rPr>
        <w:t>（三）项目资金管理情况。项目资金由南县财政局拨付至南县住房保障服务中心，南县住房保障服务中心再根据施工合同与施工进度进行支付，南县住房保障服务中心针对老旧小区改造专项资金项目，成立了项目建设工作领导小组，要求在资金管理上严格做到以下几点：</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1、专项资金严格按批准的用途专款专用，单位单独立项核算，因特殊状况需改变资金用途的，书面报请县财政局批准后，方可使用。</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2、制定专项资金管理制度，规定财务股会同业务股室应定期对项目实施进度和资金使用状况进行检查和监督，发现问题及时解决。</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3、项目完成后，要求业务股室及时向财务股报送专项资金支出状况和使用效益的文字报告，财务股应会同业务股室对已完成的项目及时进行效益考核和验收，当年完不成的项目，其资金可结转下年使用。</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4、凡由于管理不善，造成项目金额超支的、对虚报冒领、挪用专项资金和由于主观原因造成项目延期或达不到预期目标的，停止支付专项资金。</w:t>
      </w:r>
    </w:p>
    <w:p w:rsidR="009F2A6D" w:rsidRDefault="0063638B" w:rsidP="006770A6">
      <w:pPr>
        <w:ind w:firstLineChars="200" w:firstLine="602"/>
        <w:rPr>
          <w:rFonts w:ascii="仿宋" w:eastAsia="仿宋" w:hAnsi="仿宋"/>
          <w:b/>
          <w:sz w:val="30"/>
          <w:szCs w:val="30"/>
        </w:rPr>
      </w:pPr>
      <w:r>
        <w:rPr>
          <w:rFonts w:ascii="仿宋" w:eastAsia="仿宋" w:hAnsi="仿宋" w:hint="eastAsia"/>
          <w:b/>
          <w:sz w:val="30"/>
          <w:szCs w:val="30"/>
        </w:rPr>
        <w:t>三、项目组织实施情况</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一）制度建设情况。南县住房保障服务中心针对一批保障性安居工程配套基础设施建设中央预算内基建资金项目，成立了项目建设工作领导小组。根据本单位实际制定了《南县住房保障服务中心专项资金管理制度》与《南县老县政府老旧小区改造实施方案》。</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（二）项目实施情况。为保证财政专项经费的使用效益，南县住房保障服务中心实施了以下措施：</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lastRenderedPageBreak/>
        <w:t>1、严格实行审批监管程序。项目经县发展和改革局（南发改字﹝2019﹞150号）批复立项。严格实行政府采购、工程招投标制、国库集中支付和资金报账制、合同管理制；实行财政双控账户管理和财政专户管理。</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2、坚持信息公开。现场设立公示牌，将小区现状、改造内容及改造效果以图文并茂方式进行公示，充分听取群众意见建议，不断完善改造方案，在市政府督查时得到领导好评，成为2020年全市城镇老旧小区改造工作亮点。</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3、严格工程监理制。质量安全项目法人终身负责制和工程竣工验收备案制。中心委派专业技术人员作为项目建设方代表，负责工程质量安全监督管理。做到施工现场有工程质量安全和生产安全管理制度，有临时性标识牌，接受公众和社会监督。通过建设方、施工方、监理方、质监部门和施工人员的共同努力，确保了我县保障性安居工程所有建设项目工程质量合格率100%，全年未发生任何人</w:t>
      </w:r>
      <w:r w:rsidR="006770A6">
        <w:rPr>
          <w:rFonts w:ascii="仿宋" w:eastAsia="仿宋" w:hAnsi="仿宋" w:hint="eastAsia"/>
          <w:sz w:val="24"/>
          <w:szCs w:val="24"/>
        </w:rPr>
        <w:t>身</w:t>
      </w:r>
      <w:r>
        <w:rPr>
          <w:rFonts w:ascii="仿宋" w:eastAsia="仿宋" w:hAnsi="仿宋" w:hint="eastAsia"/>
          <w:sz w:val="24"/>
          <w:szCs w:val="24"/>
        </w:rPr>
        <w:t>和质量安全事故。</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4、严格项目竣工验收。项目完工后，由南县建设工程质量安全监督站组织项目竣工验收，经验收合格。</w:t>
      </w:r>
    </w:p>
    <w:p w:rsidR="009F2A6D" w:rsidRDefault="0063638B" w:rsidP="006770A6">
      <w:pPr>
        <w:ind w:firstLineChars="200" w:firstLine="602"/>
        <w:rPr>
          <w:rFonts w:ascii="仿宋" w:eastAsia="仿宋" w:hAnsi="仿宋"/>
          <w:b/>
          <w:sz w:val="30"/>
          <w:szCs w:val="30"/>
        </w:rPr>
      </w:pPr>
      <w:r>
        <w:rPr>
          <w:rFonts w:ascii="仿宋" w:eastAsia="仿宋" w:hAnsi="仿宋" w:hint="eastAsia"/>
          <w:b/>
          <w:sz w:val="30"/>
          <w:szCs w:val="30"/>
        </w:rPr>
        <w:t>四、绩效评价工作情况</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（一）绩效评价目的</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 xml:space="preserve"> 通过绩效评价全面分析该项目资金使用、管理和项目实施情况，进一步规范南县住房保障中心2020年第一批保障性安居工程配套基础设施建设中央预算内基建资金项目立项、审批、实施、验收及后期管护等，完善资金分配、使用及管理等制度，切实提高财政资金使用效益。</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（二）绩效评价工作过程。</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根据相关政策规定南财绩函（﹝2020﹞10号）文件要求，我所按下列步骤开展了绩效评价工作。</w:t>
      </w:r>
    </w:p>
    <w:p w:rsidR="009F2A6D" w:rsidRDefault="0063638B" w:rsidP="006770A6">
      <w:pPr>
        <w:pStyle w:val="aa"/>
        <w:ind w:firstLineChars="200"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1、前期准备。我所抽调专人成立了绩效评价工作组，明确了工作职责，制定了现场评价方案，设计了相关表格，联系了相关部门和单位，确定了实施时间。</w:t>
      </w:r>
    </w:p>
    <w:p w:rsidR="009F2A6D" w:rsidRDefault="0063638B" w:rsidP="006770A6">
      <w:pPr>
        <w:pStyle w:val="aa"/>
        <w:ind w:firstLineChars="200" w:firstLine="480"/>
        <w:rPr>
          <w:rFonts w:ascii="仿宋" w:eastAsia="仿宋" w:hAnsi="仿宋"/>
          <w:b/>
          <w:sz w:val="24"/>
          <w:szCs w:val="24"/>
        </w:rPr>
      </w:pPr>
      <w:r>
        <w:rPr>
          <w:rFonts w:ascii="仿宋" w:eastAsia="仿宋" w:hAnsi="仿宋" w:hint="eastAsia"/>
          <w:sz w:val="24"/>
          <w:szCs w:val="24"/>
        </w:rPr>
        <w:lastRenderedPageBreak/>
        <w:t>2、实施情况。项目绩效评价实施步骤：（1）召开座谈会。组织项目单位、建设单位及受益群体代表召开座谈会，听取该项目有关情况介绍。（2）收集核查资料。收集该项目建设相关文件和项目建设单位相关制度等资料；核查相关制度是否完善，项目立项、评审、验收等程序是否符合要求，项目支出是否合规，资金拨付手续是否齐全，是否存在截留、挪用等情况。（3）现场查看。进入实地查看，拍照取证，调查走访，发放问卷调查。（4）得出评价结论，形成绩效评价报告。</w:t>
      </w:r>
    </w:p>
    <w:p w:rsidR="009F2A6D" w:rsidRDefault="0063638B" w:rsidP="006770A6">
      <w:pPr>
        <w:pStyle w:val="aa"/>
        <w:ind w:firstLineChars="200" w:firstLine="602"/>
        <w:rPr>
          <w:rFonts w:ascii="仿宋" w:eastAsia="仿宋" w:hAnsi="仿宋"/>
          <w:b/>
          <w:sz w:val="30"/>
          <w:szCs w:val="30"/>
        </w:rPr>
      </w:pPr>
      <w:r>
        <w:rPr>
          <w:rFonts w:ascii="仿宋" w:eastAsia="仿宋" w:hAnsi="仿宋" w:hint="eastAsia"/>
          <w:b/>
          <w:sz w:val="30"/>
          <w:szCs w:val="30"/>
        </w:rPr>
        <w:t>五、</w:t>
      </w:r>
      <w:r>
        <w:rPr>
          <w:rFonts w:ascii="仿宋" w:eastAsia="仿宋" w:hAnsi="仿宋" w:hint="eastAsia"/>
          <w:b/>
          <w:sz w:val="32"/>
          <w:szCs w:val="32"/>
        </w:rPr>
        <w:t>绩效评价结果和绩效分析</w:t>
      </w:r>
    </w:p>
    <w:p w:rsidR="009F2A6D" w:rsidRDefault="0063638B" w:rsidP="006770A6">
      <w:pPr>
        <w:pStyle w:val="aa"/>
        <w:ind w:firstLineChars="200" w:firstLine="480"/>
        <w:rPr>
          <w:rFonts w:ascii="仿宋" w:eastAsia="仿宋" w:hAnsi="仿宋"/>
          <w:sz w:val="24"/>
          <w:szCs w:val="24"/>
        </w:rPr>
      </w:pPr>
      <w:r>
        <w:rPr>
          <w:rFonts w:ascii="仿宋" w:eastAsia="仿宋" w:hAnsi="仿宋" w:hint="eastAsia"/>
          <w:sz w:val="24"/>
          <w:szCs w:val="24"/>
        </w:rPr>
        <w:t>绩效评价小组通过一个多月的实地调查了解、实地查勘、资料收集再加以认真分析比较，认为南县住房保障中心2019年第一批保障性安居工程配套基础设施建设中央预算内基建资金项目在项目决策上科学合理，实施过程严谨规范，项目产出效果明显，较好地达到了预期的绩效目标。按照第一批保障性安居工程配套基础设施建设中央预算内基建资金项目绩效评价体系，综合得分为92分，综合绩效评价结果为“优”。 主要绩效表现在以下几个方面：</w:t>
      </w:r>
    </w:p>
    <w:p w:rsidR="009F2A6D" w:rsidRDefault="006770A6" w:rsidP="006770A6">
      <w:pPr>
        <w:pStyle w:val="aa"/>
        <w:ind w:firstLineChars="200" w:firstLine="480"/>
        <w:rPr>
          <w:rFonts w:ascii="仿宋" w:eastAsia="仿宋" w:hAnsi="仿宋"/>
          <w:sz w:val="24"/>
          <w:szCs w:val="24"/>
        </w:rPr>
      </w:pPr>
      <w:r>
        <w:rPr>
          <w:rFonts w:ascii="仿宋" w:eastAsia="仿宋" w:hAnsi="仿宋" w:hint="eastAsia"/>
          <w:sz w:val="24"/>
          <w:szCs w:val="24"/>
        </w:rPr>
        <w:t>（一）</w:t>
      </w:r>
      <w:r w:rsidR="0063638B">
        <w:rPr>
          <w:rFonts w:ascii="仿宋" w:eastAsia="仿宋" w:hAnsi="仿宋" w:hint="eastAsia"/>
          <w:sz w:val="24"/>
          <w:szCs w:val="24"/>
        </w:rPr>
        <w:t>项目的经济性效益分析</w:t>
      </w:r>
    </w:p>
    <w:p w:rsidR="009F2A6D" w:rsidRDefault="0063638B" w:rsidP="006770A6">
      <w:pPr>
        <w:pStyle w:val="aa"/>
        <w:ind w:firstLineChars="200" w:firstLine="480"/>
        <w:rPr>
          <w:rFonts w:ascii="仿宋" w:eastAsia="仿宋" w:hAnsi="仿宋"/>
          <w:sz w:val="24"/>
          <w:szCs w:val="24"/>
        </w:rPr>
      </w:pPr>
      <w:r>
        <w:rPr>
          <w:rFonts w:ascii="仿宋" w:eastAsia="仿宋" w:hAnsi="仿宋" w:hint="eastAsia"/>
          <w:sz w:val="24"/>
          <w:szCs w:val="24"/>
        </w:rPr>
        <w:t>2019年第一批保障性安居工程配套基础设施建设中央预算内基建资金项目南县财政预算244.2万元，实际支出244.2万元，实际使用资金未超预算。</w:t>
      </w:r>
    </w:p>
    <w:p w:rsidR="009F2A6D" w:rsidRDefault="006770A6" w:rsidP="006770A6">
      <w:pPr>
        <w:ind w:firstLineChars="200" w:firstLine="480"/>
        <w:rPr>
          <w:rFonts w:ascii="仿宋" w:eastAsia="仿宋" w:hAnsi="仿宋"/>
          <w:sz w:val="24"/>
          <w:szCs w:val="24"/>
        </w:rPr>
      </w:pPr>
      <w:r>
        <w:rPr>
          <w:rFonts w:ascii="仿宋" w:eastAsia="仿宋" w:hAnsi="仿宋" w:hint="eastAsia"/>
          <w:sz w:val="24"/>
          <w:szCs w:val="24"/>
        </w:rPr>
        <w:t>（</w:t>
      </w:r>
      <w:r w:rsidR="0063638B">
        <w:rPr>
          <w:rFonts w:ascii="仿宋" w:eastAsia="仿宋" w:hAnsi="仿宋" w:hint="eastAsia"/>
          <w:sz w:val="24"/>
          <w:szCs w:val="24"/>
        </w:rPr>
        <w:t>二</w:t>
      </w:r>
      <w:r>
        <w:rPr>
          <w:rFonts w:ascii="仿宋" w:eastAsia="仿宋" w:hAnsi="仿宋" w:hint="eastAsia"/>
          <w:sz w:val="24"/>
          <w:szCs w:val="24"/>
        </w:rPr>
        <w:t>）</w:t>
      </w:r>
      <w:r w:rsidR="0063638B">
        <w:rPr>
          <w:rFonts w:ascii="仿宋" w:eastAsia="仿宋" w:hAnsi="仿宋" w:hint="eastAsia"/>
          <w:sz w:val="24"/>
          <w:szCs w:val="24"/>
        </w:rPr>
        <w:t>项目的社会性效益分析</w:t>
      </w:r>
    </w:p>
    <w:p w:rsidR="009F2A6D" w:rsidRDefault="0063638B" w:rsidP="006770A6">
      <w:pPr>
        <w:ind w:firstLineChars="200" w:firstLine="480"/>
        <w:rPr>
          <w:rFonts w:ascii="仿宋" w:eastAsia="仿宋" w:hAnsi="仿宋"/>
          <w:sz w:val="24"/>
          <w:szCs w:val="24"/>
        </w:rPr>
      </w:pPr>
      <w:r>
        <w:rPr>
          <w:rFonts w:ascii="仿宋" w:eastAsia="仿宋" w:hAnsi="仿宋" w:hint="eastAsia"/>
          <w:sz w:val="24"/>
          <w:szCs w:val="24"/>
        </w:rPr>
        <w:t>1、通过实施老旧小区改造，县政府老旧小区雨污管网全部更新改造，给、排水通畅，完善道路建设，居民出行方便，强、弱电线路整改，消除了安全隐患，完善垃圾处理设施和绿化，小区生态环境更加优美，小区18栋住宅共438户居民的居住环境和住房条件得到根本改善。</w:t>
      </w:r>
    </w:p>
    <w:p w:rsidR="009F2A6D" w:rsidRDefault="0063638B" w:rsidP="006770A6">
      <w:pPr>
        <w:pStyle w:val="aa"/>
        <w:ind w:firstLineChars="200" w:firstLine="480"/>
        <w:rPr>
          <w:rFonts w:ascii="仿宋" w:eastAsia="仿宋" w:hAnsi="仿宋"/>
          <w:sz w:val="24"/>
          <w:szCs w:val="24"/>
        </w:rPr>
      </w:pPr>
      <w:r>
        <w:rPr>
          <w:rFonts w:ascii="仿宋" w:eastAsia="仿宋" w:hAnsi="仿宋" w:hint="eastAsia"/>
          <w:sz w:val="24"/>
          <w:szCs w:val="24"/>
        </w:rPr>
        <w:t>2、通过实施老旧小区改造，维护了社会稳定，促进了家庭和谐。老旧小区存在比较大的低收入群体，老旧小区改造为这部分低收入家庭提供了居住条件，使老旧小区居民有更大的获得感和幸福感。有利于社会的稳定及家庭的和谐。</w:t>
      </w:r>
    </w:p>
    <w:p w:rsidR="009F2A6D" w:rsidRDefault="0063638B" w:rsidP="006770A6">
      <w:pPr>
        <w:pStyle w:val="aa"/>
        <w:ind w:firstLineChars="200" w:firstLine="480"/>
        <w:rPr>
          <w:rFonts w:ascii="仿宋" w:eastAsia="仿宋" w:hAnsi="仿宋"/>
          <w:sz w:val="24"/>
          <w:szCs w:val="24"/>
        </w:rPr>
      </w:pPr>
      <w:r>
        <w:rPr>
          <w:rFonts w:ascii="仿宋" w:eastAsia="仿宋" w:hAnsi="仿宋" w:hint="eastAsia"/>
          <w:sz w:val="24"/>
          <w:szCs w:val="24"/>
        </w:rPr>
        <w:lastRenderedPageBreak/>
        <w:t>3、通过实施老旧小区改造，有利于美化城市环境，提升城市形象，按照党的十九大提出的“两步走”战略目标，在2020-2035年基本实现社会主义现代化。而城镇老旧小区改造就是基本实现社会主义现代化阶段的重要内容和重要步骤。</w:t>
      </w:r>
    </w:p>
    <w:p w:rsidR="009F2A6D" w:rsidRDefault="006770A6" w:rsidP="006770A6">
      <w:pPr>
        <w:pStyle w:val="aa"/>
        <w:ind w:firstLineChars="200" w:firstLine="480"/>
        <w:rPr>
          <w:rFonts w:ascii="仿宋" w:eastAsia="仿宋" w:hAnsi="仿宋"/>
          <w:sz w:val="24"/>
          <w:szCs w:val="24"/>
        </w:rPr>
      </w:pPr>
      <w:r>
        <w:rPr>
          <w:rFonts w:ascii="仿宋" w:eastAsia="仿宋" w:hAnsi="仿宋" w:hint="eastAsia"/>
          <w:sz w:val="24"/>
          <w:szCs w:val="24"/>
        </w:rPr>
        <w:t>（</w:t>
      </w:r>
      <w:r w:rsidR="0063638B">
        <w:rPr>
          <w:rFonts w:ascii="仿宋" w:eastAsia="仿宋" w:hAnsi="仿宋" w:hint="eastAsia"/>
          <w:sz w:val="24"/>
          <w:szCs w:val="24"/>
        </w:rPr>
        <w:t>三</w:t>
      </w:r>
      <w:r>
        <w:rPr>
          <w:rFonts w:ascii="仿宋" w:eastAsia="仿宋" w:hAnsi="仿宋" w:hint="eastAsia"/>
          <w:sz w:val="24"/>
          <w:szCs w:val="24"/>
        </w:rPr>
        <w:t>）</w:t>
      </w:r>
      <w:r w:rsidR="0063638B">
        <w:rPr>
          <w:rFonts w:ascii="仿宋" w:eastAsia="仿宋" w:hAnsi="仿宋" w:hint="eastAsia"/>
          <w:sz w:val="24"/>
          <w:szCs w:val="24"/>
        </w:rPr>
        <w:t>效率性分析：</w:t>
      </w:r>
    </w:p>
    <w:p w:rsidR="009F2A6D" w:rsidRDefault="0063638B" w:rsidP="006770A6">
      <w:pPr>
        <w:pStyle w:val="aa"/>
        <w:ind w:firstLineChars="200" w:firstLine="480"/>
        <w:rPr>
          <w:rFonts w:ascii="仿宋" w:eastAsia="仿宋" w:hAnsi="仿宋"/>
          <w:sz w:val="24"/>
          <w:szCs w:val="24"/>
        </w:rPr>
      </w:pPr>
      <w:r>
        <w:rPr>
          <w:rFonts w:ascii="仿宋" w:eastAsia="仿宋" w:hAnsi="仿宋" w:hint="eastAsia"/>
          <w:sz w:val="24"/>
          <w:szCs w:val="24"/>
        </w:rPr>
        <w:t>南县住房保障服务中心第一批保障性安居工程配套基础设施建设中央预算内基建资金建设项目，2020年已按时按量按质完成。</w:t>
      </w:r>
    </w:p>
    <w:p w:rsidR="009F2A6D" w:rsidRDefault="006770A6" w:rsidP="006770A6">
      <w:pPr>
        <w:pStyle w:val="aa"/>
        <w:ind w:firstLineChars="200" w:firstLine="480"/>
        <w:rPr>
          <w:rFonts w:ascii="仿宋" w:eastAsia="仿宋" w:hAnsi="仿宋"/>
          <w:sz w:val="24"/>
          <w:szCs w:val="24"/>
        </w:rPr>
      </w:pPr>
      <w:r>
        <w:rPr>
          <w:rFonts w:ascii="仿宋" w:eastAsia="仿宋" w:hAnsi="仿宋" w:hint="eastAsia"/>
          <w:sz w:val="24"/>
          <w:szCs w:val="24"/>
        </w:rPr>
        <w:t>（</w:t>
      </w:r>
      <w:r w:rsidR="0063638B">
        <w:rPr>
          <w:rFonts w:ascii="仿宋" w:eastAsia="仿宋" w:hAnsi="仿宋" w:hint="eastAsia"/>
          <w:sz w:val="24"/>
          <w:szCs w:val="24"/>
        </w:rPr>
        <w:t>四</w:t>
      </w:r>
      <w:r>
        <w:rPr>
          <w:rFonts w:ascii="仿宋" w:eastAsia="仿宋" w:hAnsi="仿宋" w:hint="eastAsia"/>
          <w:sz w:val="24"/>
          <w:szCs w:val="24"/>
        </w:rPr>
        <w:t>）</w:t>
      </w:r>
      <w:r w:rsidR="0063638B">
        <w:rPr>
          <w:rFonts w:ascii="仿宋" w:eastAsia="仿宋" w:hAnsi="仿宋" w:hint="eastAsia"/>
          <w:sz w:val="24"/>
          <w:szCs w:val="24"/>
        </w:rPr>
        <w:t>项目的可持续性分析：</w:t>
      </w:r>
    </w:p>
    <w:p w:rsidR="009F2A6D" w:rsidRDefault="0063638B" w:rsidP="006770A6">
      <w:pPr>
        <w:ind w:firstLineChars="200" w:firstLine="480"/>
        <w:rPr>
          <w:rFonts w:ascii="仿宋" w:eastAsia="仿宋" w:hAnsi="仿宋" w:cs="Times New Roman"/>
          <w:sz w:val="24"/>
          <w:szCs w:val="24"/>
        </w:rPr>
      </w:pPr>
      <w:r>
        <w:rPr>
          <w:rFonts w:ascii="仿宋" w:eastAsia="仿宋" w:hAnsi="仿宋" w:hint="eastAsia"/>
          <w:sz w:val="24"/>
          <w:szCs w:val="24"/>
        </w:rPr>
        <w:t>南县住房保障服务中心实施的第一批保障性安居工程配套基础设施建设中央预算内基建资金项目，美化城市环境，保障了城市低收入家庭的居住需求，是一项可持续项目，</w:t>
      </w:r>
      <w:r>
        <w:rPr>
          <w:rFonts w:ascii="仿宋" w:eastAsia="仿宋" w:hAnsi="仿宋" w:cs="Times New Roman" w:hint="eastAsia"/>
          <w:sz w:val="24"/>
          <w:szCs w:val="24"/>
        </w:rPr>
        <w:t>南县住房保障服务中心</w:t>
      </w:r>
      <w:r>
        <w:rPr>
          <w:rFonts w:ascii="仿宋" w:eastAsia="仿宋" w:hAnsi="仿宋" w:hint="eastAsia"/>
          <w:sz w:val="24"/>
          <w:szCs w:val="24"/>
        </w:rPr>
        <w:t>成立了项目建设领导小组，</w:t>
      </w:r>
      <w:r>
        <w:rPr>
          <w:rFonts w:ascii="仿宋" w:eastAsia="仿宋" w:hAnsi="仿宋" w:cs="Times New Roman" w:hint="eastAsia"/>
          <w:sz w:val="24"/>
          <w:szCs w:val="24"/>
        </w:rPr>
        <w:t>已</w:t>
      </w:r>
      <w:r>
        <w:rPr>
          <w:rFonts w:ascii="仿宋" w:eastAsia="仿宋" w:hAnsi="仿宋" w:hint="eastAsia"/>
          <w:sz w:val="24"/>
          <w:szCs w:val="24"/>
        </w:rPr>
        <w:t>明确二级机构项目建设股所为本项目的</w:t>
      </w:r>
      <w:r>
        <w:rPr>
          <w:rFonts w:ascii="仿宋" w:eastAsia="仿宋" w:hAnsi="仿宋" w:cs="Times New Roman" w:hint="eastAsia"/>
          <w:sz w:val="24"/>
          <w:szCs w:val="24"/>
        </w:rPr>
        <w:t>具体负责科室，全面负责南县</w:t>
      </w:r>
      <w:r>
        <w:rPr>
          <w:rFonts w:ascii="仿宋" w:eastAsia="仿宋" w:hAnsi="仿宋" w:hint="eastAsia"/>
          <w:sz w:val="24"/>
          <w:szCs w:val="24"/>
        </w:rPr>
        <w:t>保障性安居工程</w:t>
      </w:r>
      <w:r>
        <w:rPr>
          <w:rFonts w:ascii="仿宋" w:eastAsia="仿宋" w:hAnsi="仿宋" w:cs="Times New Roman" w:hint="eastAsia"/>
          <w:sz w:val="24"/>
          <w:szCs w:val="24"/>
        </w:rPr>
        <w:t>工作，并出台了《</w:t>
      </w:r>
      <w:r>
        <w:rPr>
          <w:rFonts w:ascii="仿宋" w:eastAsia="仿宋" w:hAnsi="仿宋" w:hint="eastAsia"/>
          <w:sz w:val="24"/>
          <w:szCs w:val="24"/>
        </w:rPr>
        <w:t>南县住房保障服务中心专项资金管理制度</w:t>
      </w:r>
      <w:r>
        <w:rPr>
          <w:rFonts w:ascii="仿宋" w:eastAsia="仿宋" w:hAnsi="仿宋" w:cs="Times New Roman" w:hint="eastAsia"/>
          <w:sz w:val="24"/>
          <w:szCs w:val="24"/>
        </w:rPr>
        <w:t>》和一系列规范第一批保障性安居工程配套基础设施建设中央预算内基建资金项目的资金申请、审批、验收等流程的文件，以上制度与后续管理措施的形成能保障项目的持续发展。</w:t>
      </w:r>
    </w:p>
    <w:p w:rsidR="009F2A6D" w:rsidRDefault="006770A6" w:rsidP="006770A6">
      <w:pPr>
        <w:pStyle w:val="aa"/>
        <w:ind w:firstLineChars="200" w:firstLine="480"/>
        <w:rPr>
          <w:rFonts w:ascii="仿宋" w:eastAsia="仿宋" w:hAnsi="仿宋"/>
          <w:sz w:val="24"/>
          <w:szCs w:val="24"/>
        </w:rPr>
      </w:pPr>
      <w:r>
        <w:rPr>
          <w:rFonts w:ascii="仿宋" w:eastAsia="仿宋" w:hAnsi="仿宋" w:hint="eastAsia"/>
          <w:sz w:val="24"/>
          <w:szCs w:val="24"/>
        </w:rPr>
        <w:t>（</w:t>
      </w:r>
      <w:r w:rsidR="0063638B">
        <w:rPr>
          <w:rFonts w:ascii="仿宋" w:eastAsia="仿宋" w:hAnsi="仿宋" w:hint="eastAsia"/>
          <w:sz w:val="24"/>
          <w:szCs w:val="24"/>
        </w:rPr>
        <w:t>五</w:t>
      </w:r>
      <w:r>
        <w:rPr>
          <w:rFonts w:ascii="仿宋" w:eastAsia="仿宋" w:hAnsi="仿宋" w:hint="eastAsia"/>
          <w:sz w:val="24"/>
          <w:szCs w:val="24"/>
        </w:rPr>
        <w:t>）</w:t>
      </w:r>
      <w:r w:rsidR="0063638B">
        <w:rPr>
          <w:rFonts w:ascii="仿宋" w:eastAsia="仿宋" w:hAnsi="仿宋" w:hint="eastAsia"/>
          <w:sz w:val="24"/>
          <w:szCs w:val="24"/>
        </w:rPr>
        <w:t>服务对象的满意度分析：</w:t>
      </w:r>
    </w:p>
    <w:p w:rsidR="009F2A6D" w:rsidRDefault="0063638B" w:rsidP="006770A6">
      <w:pPr>
        <w:ind w:firstLineChars="200" w:firstLine="480"/>
        <w:rPr>
          <w:rFonts w:ascii="仿宋" w:eastAsia="仿宋" w:hAnsi="仿宋"/>
          <w:sz w:val="24"/>
          <w:szCs w:val="24"/>
        </w:rPr>
      </w:pPr>
      <w:r>
        <w:rPr>
          <w:rFonts w:ascii="仿宋" w:eastAsia="仿宋" w:hAnsi="仿宋" w:cs="Times New Roman" w:hint="eastAsia"/>
          <w:sz w:val="24"/>
          <w:szCs w:val="24"/>
        </w:rPr>
        <w:t>南县住房保障服务中心2019年第一批保障性安居工程配套基础设施建设中央预算内基建资金项目，从调查问卷中可以看出已改造老旧小区群众对实施的项目极为满意，而其他群众也对该项目极为期待，表示支持与认同，认为该项目是与人民群众切身利益密切相关，是一项利国利民的民生工程。满意度调查结果在98%以上。</w:t>
      </w:r>
    </w:p>
    <w:p w:rsidR="009F2A6D" w:rsidRDefault="0063638B" w:rsidP="006770A6">
      <w:pPr>
        <w:pStyle w:val="aa"/>
        <w:ind w:firstLineChars="200" w:firstLine="602"/>
        <w:rPr>
          <w:rFonts w:ascii="仿宋" w:eastAsia="仿宋" w:hAnsi="仿宋"/>
          <w:b/>
          <w:sz w:val="30"/>
          <w:szCs w:val="30"/>
        </w:rPr>
      </w:pPr>
      <w:r>
        <w:rPr>
          <w:rFonts w:ascii="仿宋" w:eastAsia="仿宋" w:hAnsi="仿宋" w:hint="eastAsia"/>
          <w:b/>
          <w:sz w:val="30"/>
          <w:szCs w:val="30"/>
        </w:rPr>
        <w:t>六、存在的主要问题</w:t>
      </w:r>
    </w:p>
    <w:p w:rsidR="009F2A6D" w:rsidRDefault="008D0737" w:rsidP="006770A6">
      <w:pPr>
        <w:pStyle w:val="aa"/>
        <w:ind w:firstLineChars="200" w:firstLine="480"/>
        <w:rPr>
          <w:rFonts w:ascii="仿宋" w:eastAsia="仿宋" w:hAnsi="仿宋"/>
          <w:sz w:val="24"/>
          <w:szCs w:val="24"/>
        </w:rPr>
      </w:pPr>
      <w:r>
        <w:rPr>
          <w:rFonts w:ascii="仿宋" w:eastAsia="仿宋" w:hAnsi="仿宋" w:hint="eastAsia"/>
          <w:sz w:val="24"/>
          <w:szCs w:val="24"/>
        </w:rPr>
        <w:t>1、</w:t>
      </w:r>
      <w:r w:rsidR="0063638B">
        <w:rPr>
          <w:rFonts w:ascii="仿宋" w:eastAsia="仿宋" w:hAnsi="仿宋" w:hint="eastAsia"/>
          <w:sz w:val="24"/>
          <w:szCs w:val="24"/>
        </w:rPr>
        <w:t>管理制度未落实，内部监督检查工作未到位。监督检查是保证预算执行的重要手段，通过实施内部监督检查，可以及时查找并督促整改财政管理中存在的问题，发挥监督预算、纠偏、评价及监管职能 ，推动财政管理更加规范、科学、合理、高效。本专项未见项目单位内部监督检查相关资料。</w:t>
      </w:r>
    </w:p>
    <w:p w:rsidR="009F2A6D" w:rsidRDefault="008D0737" w:rsidP="006770A6">
      <w:pPr>
        <w:pStyle w:val="aa"/>
        <w:ind w:firstLineChars="200" w:firstLine="480"/>
        <w:rPr>
          <w:rFonts w:ascii="仿宋" w:eastAsia="仿宋" w:hAnsi="仿宋"/>
          <w:sz w:val="24"/>
          <w:szCs w:val="24"/>
        </w:rPr>
      </w:pPr>
      <w:r>
        <w:rPr>
          <w:rFonts w:ascii="仿宋" w:eastAsia="仿宋" w:hAnsi="仿宋" w:hint="eastAsia"/>
          <w:sz w:val="24"/>
          <w:szCs w:val="24"/>
        </w:rPr>
        <w:lastRenderedPageBreak/>
        <w:t>2、</w:t>
      </w:r>
      <w:r w:rsidR="0063638B">
        <w:rPr>
          <w:rFonts w:ascii="仿宋" w:eastAsia="仿宋" w:hAnsi="仿宋" w:hint="eastAsia"/>
          <w:sz w:val="24"/>
          <w:szCs w:val="24"/>
        </w:rPr>
        <w:t>南县住房保障中心2019年第一批保障性安居工程配套基础设施建设中央预算内基建资金项目未设专账、未专户核算。项目资金存在拨付不及时及本项目资金与其他项目资金混同使用于同一建设项目现象。</w:t>
      </w:r>
    </w:p>
    <w:p w:rsidR="009F2A6D" w:rsidRDefault="008D0737" w:rsidP="006770A6">
      <w:pPr>
        <w:pStyle w:val="aa"/>
        <w:ind w:firstLineChars="200" w:firstLine="480"/>
        <w:rPr>
          <w:rFonts w:ascii="仿宋" w:eastAsia="仿宋" w:hAnsi="仿宋"/>
          <w:sz w:val="24"/>
          <w:szCs w:val="24"/>
        </w:rPr>
      </w:pPr>
      <w:r>
        <w:rPr>
          <w:rFonts w:ascii="仿宋" w:eastAsia="仿宋" w:hAnsi="仿宋" w:hint="eastAsia"/>
          <w:sz w:val="24"/>
          <w:szCs w:val="24"/>
        </w:rPr>
        <w:t>3、</w:t>
      </w:r>
      <w:r w:rsidR="0063638B">
        <w:rPr>
          <w:rFonts w:ascii="仿宋" w:eastAsia="仿宋" w:hAnsi="仿宋" w:hint="eastAsia"/>
          <w:sz w:val="24"/>
          <w:szCs w:val="24"/>
        </w:rPr>
        <w:t>改造项目前期耗时较长，规划编制对不可预见性问题考虑不详，影响项目按期开工。</w:t>
      </w:r>
    </w:p>
    <w:p w:rsidR="009F2A6D" w:rsidRDefault="008D0737" w:rsidP="006770A6">
      <w:pPr>
        <w:pStyle w:val="aa"/>
        <w:ind w:firstLineChars="200" w:firstLine="480"/>
        <w:rPr>
          <w:rFonts w:ascii="仿宋" w:eastAsia="仿宋" w:hAnsi="仿宋"/>
          <w:sz w:val="24"/>
          <w:szCs w:val="24"/>
        </w:rPr>
      </w:pPr>
      <w:r>
        <w:rPr>
          <w:rFonts w:ascii="仿宋" w:eastAsia="仿宋" w:hAnsi="仿宋" w:hint="eastAsia"/>
          <w:sz w:val="24"/>
          <w:szCs w:val="24"/>
        </w:rPr>
        <w:t>4、</w:t>
      </w:r>
      <w:r w:rsidR="0063638B">
        <w:rPr>
          <w:rFonts w:ascii="仿宋" w:eastAsia="仿宋" w:hAnsi="仿宋" w:hint="eastAsia"/>
          <w:sz w:val="24"/>
          <w:szCs w:val="24"/>
        </w:rPr>
        <w:t>财政资金有限而居民期望值过高。小区居民对改造的要求和标准过高，希望政府满足所有的要求，且认为是政府投资，不愿意个人出资，造成政府负担过重。如：居民强烈要求进行房屋外墙立面改造、路面黑化等。</w:t>
      </w:r>
    </w:p>
    <w:p w:rsidR="009F2A6D" w:rsidRDefault="008D0737" w:rsidP="006770A6">
      <w:pPr>
        <w:pStyle w:val="aa"/>
        <w:ind w:firstLineChars="200" w:firstLine="480"/>
        <w:rPr>
          <w:rFonts w:ascii="仿宋" w:eastAsia="仿宋" w:hAnsi="仿宋"/>
          <w:sz w:val="24"/>
          <w:szCs w:val="24"/>
        </w:rPr>
      </w:pPr>
      <w:r>
        <w:rPr>
          <w:rFonts w:ascii="仿宋" w:eastAsia="仿宋" w:hAnsi="仿宋" w:hint="eastAsia"/>
          <w:sz w:val="24"/>
          <w:szCs w:val="24"/>
        </w:rPr>
        <w:t>5、</w:t>
      </w:r>
      <w:r w:rsidR="0063638B">
        <w:rPr>
          <w:rFonts w:ascii="仿宋" w:eastAsia="仿宋" w:hAnsi="仿宋" w:hint="eastAsia"/>
          <w:sz w:val="24"/>
          <w:szCs w:val="24"/>
        </w:rPr>
        <w:t>项目资料收集欠完备，部分资料或记录未能及时完整归档。如本次支付的工程款合计是6059653.32元比中标金额及合同金额5179190.85元多88046.47元，但未见到补充合同、竣工结算等付款依据，项目单位绩效自评报告质量也有待提高。</w:t>
      </w:r>
    </w:p>
    <w:p w:rsidR="009F2A6D" w:rsidRDefault="0063638B" w:rsidP="006770A6">
      <w:pPr>
        <w:pStyle w:val="aa"/>
        <w:ind w:firstLineChars="200" w:firstLine="602"/>
        <w:rPr>
          <w:rFonts w:ascii="仿宋" w:eastAsia="仿宋" w:hAnsi="仿宋"/>
          <w:b/>
          <w:sz w:val="30"/>
          <w:szCs w:val="30"/>
        </w:rPr>
      </w:pPr>
      <w:r>
        <w:rPr>
          <w:rFonts w:ascii="仿宋" w:eastAsia="仿宋" w:hAnsi="仿宋" w:hint="eastAsia"/>
          <w:b/>
          <w:sz w:val="30"/>
          <w:szCs w:val="30"/>
        </w:rPr>
        <w:t>七、建议</w:t>
      </w:r>
    </w:p>
    <w:p w:rsidR="009F2A6D" w:rsidRDefault="006770A6" w:rsidP="006770A6">
      <w:pPr>
        <w:pStyle w:val="aa"/>
        <w:ind w:firstLineChars="200" w:firstLine="480"/>
        <w:rPr>
          <w:rFonts w:ascii="仿宋" w:eastAsia="仿宋" w:hAnsi="仿宋"/>
          <w:sz w:val="24"/>
          <w:szCs w:val="24"/>
        </w:rPr>
      </w:pPr>
      <w:r>
        <w:rPr>
          <w:rFonts w:ascii="仿宋" w:eastAsia="仿宋" w:hAnsi="仿宋" w:hint="eastAsia"/>
          <w:sz w:val="24"/>
          <w:szCs w:val="24"/>
        </w:rPr>
        <w:t>1</w:t>
      </w:r>
      <w:r w:rsidR="0063638B">
        <w:rPr>
          <w:rFonts w:ascii="仿宋" w:eastAsia="仿宋" w:hAnsi="仿宋" w:hint="eastAsia"/>
          <w:sz w:val="24"/>
          <w:szCs w:val="24"/>
        </w:rPr>
        <w:t>、建立建全各项管理制度，完善项目监督管理制度和专项资金管理办法，并予以落实，加强内部监督检查，并保留好相关档案。</w:t>
      </w:r>
    </w:p>
    <w:p w:rsidR="009F2A6D" w:rsidRDefault="006770A6" w:rsidP="006770A6">
      <w:pPr>
        <w:ind w:firstLineChars="200" w:firstLine="480"/>
        <w:rPr>
          <w:rFonts w:ascii="仿宋" w:eastAsia="仿宋" w:hAnsi="仿宋"/>
          <w:sz w:val="24"/>
          <w:szCs w:val="24"/>
        </w:rPr>
      </w:pPr>
      <w:r>
        <w:rPr>
          <w:rFonts w:ascii="仿宋" w:eastAsia="仿宋" w:hAnsi="仿宋" w:hint="eastAsia"/>
          <w:sz w:val="24"/>
          <w:szCs w:val="24"/>
        </w:rPr>
        <w:t>2</w:t>
      </w:r>
      <w:r w:rsidR="0063638B">
        <w:rPr>
          <w:rFonts w:ascii="仿宋" w:eastAsia="仿宋" w:hAnsi="仿宋" w:hint="eastAsia"/>
          <w:sz w:val="24"/>
          <w:szCs w:val="24"/>
        </w:rPr>
        <w:t>、建议对专项资金开设专户、建立专账，在财政资金拨入住房保障中心、住房保障中心支付施工方的记帐过程中，如与其他经费一起统收统付时应严格注明资金来源与用途。</w:t>
      </w:r>
    </w:p>
    <w:p w:rsidR="009F2A6D" w:rsidRDefault="006770A6" w:rsidP="006770A6">
      <w:pPr>
        <w:ind w:firstLineChars="200" w:firstLine="480"/>
        <w:rPr>
          <w:rFonts w:ascii="仿宋" w:eastAsia="仿宋" w:hAnsi="仿宋"/>
          <w:sz w:val="24"/>
          <w:szCs w:val="24"/>
        </w:rPr>
      </w:pPr>
      <w:r>
        <w:rPr>
          <w:rFonts w:ascii="仿宋" w:eastAsia="仿宋" w:hAnsi="仿宋" w:hint="eastAsia"/>
          <w:sz w:val="24"/>
          <w:szCs w:val="24"/>
        </w:rPr>
        <w:t>3</w:t>
      </w:r>
      <w:r w:rsidR="0063638B">
        <w:rPr>
          <w:rFonts w:ascii="仿宋" w:eastAsia="仿宋" w:hAnsi="仿宋" w:hint="eastAsia"/>
          <w:sz w:val="24"/>
          <w:szCs w:val="24"/>
        </w:rPr>
        <w:t>、坚持规划设计的整体性。从战略层次优化新老城区城市功能定位，形成城市整体功能布局，科学制定改造区域大规划，用心处理区域内的插花地、边角地、零散地等。建立老旧小区改造项目库，分区域、成片区、有重点地进行改造。</w:t>
      </w:r>
    </w:p>
    <w:p w:rsidR="009F2A6D" w:rsidRDefault="006770A6" w:rsidP="006770A6">
      <w:pPr>
        <w:ind w:firstLineChars="200" w:firstLine="480"/>
        <w:rPr>
          <w:rFonts w:ascii="仿宋" w:eastAsia="仿宋" w:hAnsi="仿宋"/>
          <w:sz w:val="24"/>
          <w:szCs w:val="24"/>
        </w:rPr>
      </w:pPr>
      <w:r>
        <w:rPr>
          <w:rFonts w:ascii="仿宋" w:eastAsia="仿宋" w:hAnsi="仿宋" w:hint="eastAsia"/>
          <w:sz w:val="24"/>
          <w:szCs w:val="24"/>
        </w:rPr>
        <w:t>4</w:t>
      </w:r>
      <w:r w:rsidR="0063638B">
        <w:rPr>
          <w:rFonts w:ascii="仿宋" w:eastAsia="仿宋" w:hAnsi="仿宋" w:hint="eastAsia"/>
          <w:sz w:val="24"/>
          <w:szCs w:val="24"/>
        </w:rPr>
        <w:t>、加强政策宣传引导，充分发挥社区党组织战斗堡垒作用，激发党员干部先锋模范作用，积极探索建立社区党组织领导下的线管单位、居委会、业委会、物业公司共同参与的多方联动机制，推进改造工作顺利实施。</w:t>
      </w:r>
    </w:p>
    <w:p w:rsidR="009F2A6D" w:rsidRDefault="006770A6" w:rsidP="006770A6">
      <w:pPr>
        <w:spacing w:line="600" w:lineRule="exact"/>
        <w:ind w:firstLineChars="200" w:firstLine="480"/>
        <w:rPr>
          <w:rFonts w:ascii="仿宋" w:eastAsia="仿宋" w:hAnsi="仿宋"/>
          <w:sz w:val="24"/>
          <w:szCs w:val="24"/>
        </w:rPr>
      </w:pPr>
      <w:r>
        <w:rPr>
          <w:rFonts w:ascii="仿宋" w:eastAsia="仿宋" w:hAnsi="仿宋" w:hint="eastAsia"/>
          <w:sz w:val="24"/>
          <w:szCs w:val="24"/>
        </w:rPr>
        <w:lastRenderedPageBreak/>
        <w:t>5</w:t>
      </w:r>
      <w:r w:rsidR="0063638B">
        <w:rPr>
          <w:rFonts w:ascii="仿宋" w:eastAsia="仿宋" w:hAnsi="仿宋" w:hint="eastAsia"/>
          <w:sz w:val="24"/>
          <w:szCs w:val="24"/>
        </w:rPr>
        <w:t>、项目单位应提高认识，努力提高资料收集及项目绩效自评水平。全面绩效评价工作已经提升到了党的政策高度，因此绩效评价工作也是一个常态性的重要工作，资料收集完备以及项目自评报告的水平也直接反映了项目单位的重视程度及专项工作做得好坏的重要参考。</w:t>
      </w:r>
    </w:p>
    <w:p w:rsidR="009F2A6D" w:rsidRDefault="009F2A6D">
      <w:pPr>
        <w:pStyle w:val="2"/>
      </w:pPr>
    </w:p>
    <w:p w:rsidR="009F2A6D" w:rsidRDefault="009F2A6D">
      <w:pPr>
        <w:pStyle w:val="aa"/>
        <w:ind w:firstLineChars="150" w:firstLine="360"/>
        <w:rPr>
          <w:rFonts w:ascii="仿宋" w:eastAsia="仿宋" w:hAnsi="仿宋"/>
          <w:sz w:val="24"/>
          <w:szCs w:val="24"/>
        </w:rPr>
      </w:pPr>
    </w:p>
    <w:p w:rsidR="009F2A6D" w:rsidRDefault="00E26F0C">
      <w:pPr>
        <w:pStyle w:val="aa"/>
        <w:ind w:firstLineChars="100" w:firstLine="280"/>
        <w:rPr>
          <w:rFonts w:ascii="仿宋" w:eastAsia="仿宋" w:hAnsi="仿宋"/>
          <w:sz w:val="28"/>
          <w:szCs w:val="28"/>
        </w:rPr>
      </w:pPr>
      <w:r>
        <w:rPr>
          <w:rFonts w:ascii="仿宋" w:eastAsia="仿宋" w:hAnsi="仿宋"/>
          <w:noProof/>
          <w:sz w:val="28"/>
          <w:szCs w:val="28"/>
        </w:rPr>
        <w:drawing>
          <wp:anchor distT="0" distB="0" distL="114300" distR="114300" simplePos="0" relativeHeight="251659264" behindDoc="1" locked="0" layoutInCell="1" allowOverlap="1">
            <wp:simplePos x="0" y="0"/>
            <wp:positionH relativeFrom="column">
              <wp:posOffset>4194175</wp:posOffset>
            </wp:positionH>
            <wp:positionV relativeFrom="paragraph">
              <wp:posOffset>140335</wp:posOffset>
            </wp:positionV>
            <wp:extent cx="865505" cy="657860"/>
            <wp:effectExtent l="19050" t="0" r="0" b="0"/>
            <wp:wrapTight wrapText="bothSides">
              <wp:wrapPolygon edited="0">
                <wp:start x="-475" y="0"/>
                <wp:lineTo x="-475" y="21266"/>
                <wp:lineTo x="21394" y="21266"/>
                <wp:lineTo x="21394" y="0"/>
                <wp:lineTo x="-475" y="0"/>
              </wp:wrapPolygon>
            </wp:wrapTight>
            <wp:docPr id="3" name="图片 3"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签章节第四页7"/>
                    <pic:cNvPicPr>
                      <a:picLocks noChangeAspect="1" noChangeArrowheads="1"/>
                    </pic:cNvPicPr>
                  </pic:nvPicPr>
                  <pic:blipFill>
                    <a:blip r:embed="rId7" cstate="print">
                      <a:lum bright="-42000" contrast="100000"/>
                    </a:blip>
                    <a:srcRect l="72916" t="10272" r="14258" b="82861"/>
                    <a:stretch>
                      <a:fillRect/>
                    </a:stretch>
                  </pic:blipFill>
                  <pic:spPr bwMode="auto">
                    <a:xfrm>
                      <a:off x="0" y="0"/>
                      <a:ext cx="865505" cy="657860"/>
                    </a:xfrm>
                    <a:prstGeom prst="rect">
                      <a:avLst/>
                    </a:prstGeom>
                    <a:solidFill>
                      <a:srgbClr val="000000"/>
                    </a:solidFill>
                    <a:ln w="9525">
                      <a:noFill/>
                      <a:miter lim="800000"/>
                      <a:headEnd/>
                      <a:tailEnd/>
                    </a:ln>
                  </pic:spPr>
                </pic:pic>
              </a:graphicData>
            </a:graphic>
          </wp:anchor>
        </w:drawing>
      </w:r>
    </w:p>
    <w:p w:rsidR="009F2A6D" w:rsidRDefault="0063638B">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w:t>
      </w:r>
    </w:p>
    <w:p w:rsidR="009F2A6D" w:rsidRDefault="00E26F0C">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8240" behindDoc="1" locked="0" layoutInCell="1" allowOverlap="0">
            <wp:simplePos x="0" y="0"/>
            <wp:positionH relativeFrom="column">
              <wp:posOffset>4194175</wp:posOffset>
            </wp:positionH>
            <wp:positionV relativeFrom="paragraph">
              <wp:posOffset>217170</wp:posOffset>
            </wp:positionV>
            <wp:extent cx="800100" cy="599440"/>
            <wp:effectExtent l="19050" t="0" r="0" b="0"/>
            <wp:wrapTight wrapText="bothSides">
              <wp:wrapPolygon edited="0">
                <wp:start x="-514" y="0"/>
                <wp:lineTo x="-514" y="20593"/>
                <wp:lineTo x="21600" y="20593"/>
                <wp:lineTo x="21600" y="0"/>
                <wp:lineTo x="-514" y="0"/>
              </wp:wrapPolygon>
            </wp:wrapTight>
            <wp:docPr id="2" name="图片 2"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的签章节第一页4"/>
                    <pic:cNvPicPr>
                      <a:picLocks noChangeAspect="1" noChangeArrowheads="1"/>
                    </pic:cNvPicPr>
                  </pic:nvPicPr>
                  <pic:blipFill>
                    <a:blip r:embed="rId8" cstate="print">
                      <a:lum bright="-60000" contrast="100000"/>
                    </a:blip>
                    <a:srcRect l="70921" t="31078" r="16826" b="61583"/>
                    <a:stretch>
                      <a:fillRect/>
                    </a:stretch>
                  </pic:blipFill>
                  <pic:spPr bwMode="auto">
                    <a:xfrm>
                      <a:off x="0" y="0"/>
                      <a:ext cx="800100" cy="599440"/>
                    </a:xfrm>
                    <a:prstGeom prst="rect">
                      <a:avLst/>
                    </a:prstGeom>
                    <a:solidFill>
                      <a:srgbClr val="000000"/>
                    </a:solidFill>
                    <a:ln w="9525">
                      <a:noFill/>
                      <a:miter lim="800000"/>
                      <a:headEnd/>
                      <a:tailEnd/>
                    </a:ln>
                  </pic:spPr>
                </pic:pic>
              </a:graphicData>
            </a:graphic>
          </wp:anchor>
        </w:drawing>
      </w:r>
      <w:r w:rsidR="0063638B">
        <w:rPr>
          <w:rFonts w:ascii="宋体" w:eastAsia="仿宋" w:hAnsi="宋体" w:hint="eastAsia"/>
          <w:b/>
          <w:color w:val="000000"/>
          <w:sz w:val="24"/>
          <w:szCs w:val="24"/>
        </w:rPr>
        <w:t> </w:t>
      </w:r>
      <w:r w:rsidR="0063638B">
        <w:rPr>
          <w:rFonts w:ascii="仿宋" w:eastAsia="仿宋" w:hAnsi="仿宋" w:hint="eastAsia"/>
          <w:b/>
          <w:color w:val="000000"/>
          <w:sz w:val="24"/>
          <w:szCs w:val="24"/>
        </w:rPr>
        <w:t xml:space="preserve"> 有限公司</w:t>
      </w:r>
      <w:r w:rsidR="0063638B">
        <w:rPr>
          <w:rFonts w:ascii="宋体" w:eastAsia="仿宋" w:hAnsi="宋体" w:hint="eastAsia"/>
          <w:b/>
          <w:color w:val="000000"/>
          <w:sz w:val="24"/>
          <w:szCs w:val="24"/>
        </w:rPr>
        <w:t> </w:t>
      </w:r>
      <w:r w:rsidR="0063638B">
        <w:rPr>
          <w:rFonts w:ascii="仿宋" w:eastAsia="仿宋" w:hAnsi="仿宋" w:hint="eastAsia"/>
          <w:b/>
          <w:color w:val="000000"/>
          <w:sz w:val="24"/>
          <w:szCs w:val="24"/>
        </w:rPr>
        <w:t xml:space="preserve"> </w:t>
      </w:r>
      <w:r w:rsidR="0063638B">
        <w:rPr>
          <w:rFonts w:ascii="宋体" w:eastAsia="仿宋" w:hAnsi="宋体" w:hint="eastAsia"/>
          <w:b/>
          <w:color w:val="000000"/>
          <w:sz w:val="24"/>
          <w:szCs w:val="24"/>
        </w:rPr>
        <w:t> </w:t>
      </w:r>
      <w:r w:rsidR="0063638B">
        <w:rPr>
          <w:rFonts w:ascii="仿宋" w:eastAsia="仿宋" w:hAnsi="仿宋" w:hint="eastAsia"/>
          <w:b/>
          <w:color w:val="000000"/>
          <w:sz w:val="24"/>
          <w:szCs w:val="24"/>
        </w:rPr>
        <w:t xml:space="preserve"> </w:t>
      </w:r>
      <w:r w:rsidR="0063638B">
        <w:rPr>
          <w:rFonts w:ascii="宋体" w:eastAsia="仿宋" w:hAnsi="宋体" w:hint="eastAsia"/>
          <w:b/>
          <w:color w:val="000000"/>
          <w:sz w:val="24"/>
          <w:szCs w:val="24"/>
        </w:rPr>
        <w:t> </w:t>
      </w:r>
      <w:r w:rsidR="0063638B">
        <w:rPr>
          <w:rFonts w:ascii="仿宋" w:eastAsia="仿宋" w:hAnsi="仿宋" w:hint="eastAsia"/>
          <w:b/>
          <w:color w:val="000000"/>
          <w:sz w:val="24"/>
          <w:szCs w:val="24"/>
        </w:rPr>
        <w:t xml:space="preserve"> </w:t>
      </w:r>
      <w:r w:rsidR="0063638B">
        <w:rPr>
          <w:rFonts w:ascii="宋体" w:eastAsia="仿宋" w:hAnsi="宋体" w:hint="eastAsia"/>
          <w:b/>
          <w:color w:val="000000"/>
          <w:sz w:val="24"/>
          <w:szCs w:val="24"/>
        </w:rPr>
        <w:t> </w:t>
      </w:r>
      <w:r w:rsidR="0063638B">
        <w:rPr>
          <w:rFonts w:ascii="仿宋" w:eastAsia="仿宋" w:hAnsi="仿宋" w:hint="eastAsia"/>
          <w:b/>
          <w:color w:val="000000"/>
          <w:sz w:val="24"/>
          <w:szCs w:val="24"/>
        </w:rPr>
        <w:t xml:space="preserve"> </w:t>
      </w:r>
      <w:r w:rsidR="0063638B">
        <w:rPr>
          <w:rFonts w:ascii="宋体" w:eastAsia="仿宋" w:hAnsi="宋体" w:hint="eastAsia"/>
          <w:b/>
          <w:color w:val="000000"/>
          <w:sz w:val="24"/>
          <w:szCs w:val="24"/>
        </w:rPr>
        <w:t> </w:t>
      </w:r>
      <w:r w:rsidR="0063638B">
        <w:rPr>
          <w:rFonts w:ascii="仿宋" w:eastAsia="仿宋" w:hAnsi="仿宋" w:hint="eastAsia"/>
          <w:b/>
          <w:color w:val="000000"/>
          <w:sz w:val="24"/>
          <w:szCs w:val="24"/>
        </w:rPr>
        <w:t xml:space="preserve"> </w:t>
      </w:r>
      <w:r w:rsidR="0063638B">
        <w:rPr>
          <w:rFonts w:ascii="宋体" w:eastAsia="仿宋" w:hAnsi="宋体" w:hint="eastAsia"/>
          <w:b/>
          <w:color w:val="000000"/>
          <w:sz w:val="24"/>
          <w:szCs w:val="24"/>
        </w:rPr>
        <w:t> </w:t>
      </w:r>
      <w:r w:rsidR="0063638B">
        <w:rPr>
          <w:rFonts w:ascii="仿宋" w:eastAsia="仿宋" w:hAnsi="仿宋" w:hint="eastAsia"/>
          <w:b/>
          <w:color w:val="000000"/>
          <w:sz w:val="24"/>
          <w:szCs w:val="24"/>
        </w:rPr>
        <w:t xml:space="preserve"> </w:t>
      </w:r>
      <w:r w:rsidR="0063638B">
        <w:rPr>
          <w:rFonts w:ascii="宋体" w:eastAsia="仿宋" w:hAnsi="宋体" w:hint="eastAsia"/>
          <w:b/>
          <w:color w:val="000000"/>
          <w:sz w:val="24"/>
          <w:szCs w:val="24"/>
        </w:rPr>
        <w:t> </w:t>
      </w:r>
      <w:r w:rsidR="0063638B">
        <w:rPr>
          <w:rFonts w:ascii="仿宋" w:eastAsia="仿宋" w:hAnsi="仿宋" w:hint="eastAsia"/>
          <w:b/>
          <w:color w:val="000000"/>
          <w:sz w:val="24"/>
          <w:szCs w:val="24"/>
        </w:rPr>
        <w:t xml:space="preserve">                                                      </w:t>
      </w:r>
    </w:p>
    <w:p w:rsidR="009F2A6D" w:rsidRDefault="0063638B">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9F2A6D" w:rsidRDefault="0063638B">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9F2A6D" w:rsidRDefault="0063638B">
      <w:pPr>
        <w:pStyle w:val="aa"/>
        <w:ind w:firstLine="480"/>
        <w:rPr>
          <w:rFonts w:ascii="仿宋" w:eastAsia="仿宋" w:hAnsi="仿宋"/>
          <w:sz w:val="28"/>
          <w:szCs w:val="28"/>
        </w:rPr>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xml:space="preserve">    </w:t>
      </w:r>
      <w:r>
        <w:rPr>
          <w:rFonts w:ascii="仿宋" w:eastAsia="仿宋" w:hAnsi="仿宋" w:hint="eastAsia"/>
          <w:b/>
          <w:color w:val="000000"/>
          <w:sz w:val="24"/>
          <w:szCs w:val="24"/>
        </w:rPr>
        <w:t>2021年6月25日</w:t>
      </w:r>
      <w:r>
        <w:rPr>
          <w:rFonts w:ascii="仿宋" w:eastAsia="仿宋" w:hAnsi="仿宋" w:hint="eastAsia"/>
          <w:sz w:val="28"/>
          <w:szCs w:val="28"/>
        </w:rPr>
        <w:t xml:space="preserve">    </w:t>
      </w:r>
    </w:p>
    <w:p w:rsidR="009F2A6D" w:rsidRDefault="009F2A6D">
      <w:pPr>
        <w:pStyle w:val="aa"/>
        <w:ind w:firstLine="480"/>
        <w:rPr>
          <w:rFonts w:ascii="仿宋" w:eastAsia="仿宋" w:hAnsi="仿宋"/>
          <w:sz w:val="28"/>
          <w:szCs w:val="28"/>
        </w:rPr>
      </w:pPr>
    </w:p>
    <w:p w:rsidR="009F2A6D" w:rsidRDefault="009F2A6D">
      <w:pPr>
        <w:pStyle w:val="aa"/>
        <w:ind w:firstLine="480"/>
        <w:rPr>
          <w:rFonts w:ascii="仿宋" w:eastAsia="仿宋" w:hAnsi="仿宋"/>
          <w:sz w:val="28"/>
          <w:szCs w:val="28"/>
        </w:rPr>
      </w:pPr>
    </w:p>
    <w:p w:rsidR="009F2A6D" w:rsidRDefault="009F2A6D">
      <w:pPr>
        <w:pStyle w:val="aa"/>
        <w:ind w:firstLine="480"/>
        <w:rPr>
          <w:rFonts w:ascii="仿宋" w:eastAsia="仿宋" w:hAnsi="仿宋"/>
          <w:sz w:val="28"/>
          <w:szCs w:val="28"/>
        </w:rPr>
      </w:pPr>
    </w:p>
    <w:p w:rsidR="009F2A6D" w:rsidRDefault="009F2A6D">
      <w:pPr>
        <w:pStyle w:val="aa"/>
        <w:ind w:firstLine="480"/>
        <w:rPr>
          <w:rFonts w:ascii="仿宋" w:eastAsia="仿宋" w:hAnsi="仿宋"/>
          <w:sz w:val="28"/>
          <w:szCs w:val="28"/>
        </w:rPr>
      </w:pPr>
    </w:p>
    <w:p w:rsidR="009F2A6D" w:rsidRDefault="009F2A6D">
      <w:pPr>
        <w:pStyle w:val="aa"/>
        <w:ind w:firstLine="480"/>
        <w:rPr>
          <w:rFonts w:ascii="仿宋" w:eastAsia="仿宋" w:hAnsi="仿宋"/>
          <w:sz w:val="28"/>
          <w:szCs w:val="28"/>
        </w:rPr>
      </w:pPr>
    </w:p>
    <w:p w:rsidR="009F2A6D" w:rsidRDefault="009F2A6D">
      <w:pPr>
        <w:pStyle w:val="aa"/>
        <w:ind w:firstLine="480"/>
        <w:rPr>
          <w:rFonts w:ascii="仿宋" w:eastAsia="仿宋" w:hAnsi="仿宋"/>
          <w:sz w:val="28"/>
          <w:szCs w:val="28"/>
        </w:rPr>
      </w:pPr>
    </w:p>
    <w:p w:rsidR="009F2A6D" w:rsidRDefault="009F2A6D">
      <w:pPr>
        <w:pStyle w:val="aa"/>
        <w:ind w:firstLine="480"/>
        <w:rPr>
          <w:rFonts w:ascii="仿宋" w:eastAsia="仿宋" w:hAnsi="仿宋"/>
          <w:sz w:val="28"/>
          <w:szCs w:val="28"/>
        </w:rPr>
      </w:pPr>
    </w:p>
    <w:p w:rsidR="009F2A6D" w:rsidRDefault="009F2A6D">
      <w:pPr>
        <w:pStyle w:val="aa"/>
        <w:ind w:firstLine="480"/>
        <w:rPr>
          <w:rFonts w:ascii="仿宋" w:eastAsia="仿宋" w:hAnsi="仿宋"/>
          <w:sz w:val="28"/>
          <w:szCs w:val="28"/>
        </w:rPr>
      </w:pPr>
    </w:p>
    <w:p w:rsidR="009F2A6D" w:rsidRDefault="009F2A6D">
      <w:pPr>
        <w:pStyle w:val="aa"/>
        <w:ind w:firstLine="480"/>
        <w:rPr>
          <w:rFonts w:ascii="仿宋" w:eastAsia="仿宋" w:hAnsi="仿宋"/>
          <w:sz w:val="28"/>
          <w:szCs w:val="28"/>
        </w:rPr>
      </w:pPr>
    </w:p>
    <w:p w:rsidR="009F2A6D" w:rsidRDefault="009F2A6D">
      <w:pPr>
        <w:pStyle w:val="aa"/>
      </w:pPr>
    </w:p>
    <w:sectPr w:rsidR="009F2A6D" w:rsidSect="009F2A6D">
      <w:footerReference w:type="default" r:id="rId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111BB" w:rsidRDefault="002111BB" w:rsidP="009F2A6D">
      <w:pPr>
        <w:spacing w:line="240" w:lineRule="auto"/>
      </w:pPr>
      <w:r>
        <w:separator/>
      </w:r>
    </w:p>
  </w:endnote>
  <w:endnote w:type="continuationSeparator" w:id="0">
    <w:p w:rsidR="002111BB" w:rsidRDefault="002111BB" w:rsidP="009F2A6D">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_GB2312">
    <w:altName w:val="仿宋"/>
    <w:charset w:val="86"/>
    <w:family w:val="modern"/>
    <w:pitch w:val="default"/>
    <w:sig w:usb0="00000000" w:usb1="00000000" w:usb2="00000010" w:usb3="00000000" w:csb0="00040000" w:csb1="00000000"/>
  </w:font>
  <w:font w:name="Tahoma">
    <w:panose1 w:val="020B0604030504040204"/>
    <w:charset w:val="00"/>
    <w:family w:val="swiss"/>
    <w:pitch w:val="variable"/>
    <w:sig w:usb0="E1002EFF" w:usb1="C000605B" w:usb2="00000029" w:usb3="00000000" w:csb0="000101F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953096"/>
    </w:sdtPr>
    <w:sdtContent>
      <w:p w:rsidR="009F2A6D" w:rsidRDefault="00A13000">
        <w:pPr>
          <w:pStyle w:val="a5"/>
          <w:jc w:val="right"/>
        </w:pPr>
        <w:r w:rsidRPr="00A13000">
          <w:fldChar w:fldCharType="begin"/>
        </w:r>
        <w:r w:rsidR="0063638B">
          <w:instrText xml:space="preserve"> PAGE   \* MERGEFORMAT </w:instrText>
        </w:r>
        <w:r w:rsidRPr="00A13000">
          <w:fldChar w:fldCharType="separate"/>
        </w:r>
        <w:r w:rsidR="008D0737" w:rsidRPr="008D0737">
          <w:rPr>
            <w:noProof/>
            <w:lang w:val="zh-CN"/>
          </w:rPr>
          <w:t>10</w:t>
        </w:r>
        <w:r>
          <w:rPr>
            <w:lang w:val="zh-CN"/>
          </w:rPr>
          <w:fldChar w:fldCharType="end"/>
        </w:r>
      </w:p>
    </w:sdtContent>
  </w:sdt>
  <w:p w:rsidR="009F2A6D" w:rsidRDefault="009F2A6D">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111BB" w:rsidRDefault="002111BB" w:rsidP="009F2A6D">
      <w:pPr>
        <w:spacing w:line="240" w:lineRule="auto"/>
      </w:pPr>
      <w:r>
        <w:separator/>
      </w:r>
    </w:p>
  </w:footnote>
  <w:footnote w:type="continuationSeparator" w:id="0">
    <w:p w:rsidR="002111BB" w:rsidRDefault="002111BB" w:rsidP="009F2A6D">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proofState w:spelling="clean"/>
  <w:defaultTabStop w:val="420"/>
  <w:drawingGridVerticalSpacing w:val="156"/>
  <w:noPunctuationKerning/>
  <w:characterSpacingControl w:val="compressPunctuation"/>
  <w:hdrShapeDefaults>
    <o:shapedefaults v:ext="edit" spidmax="7170"/>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C30877"/>
    <w:rsid w:val="000037B8"/>
    <w:rsid w:val="00007460"/>
    <w:rsid w:val="00007DBF"/>
    <w:rsid w:val="00011DDE"/>
    <w:rsid w:val="00017531"/>
    <w:rsid w:val="0002296C"/>
    <w:rsid w:val="000253A7"/>
    <w:rsid w:val="00041372"/>
    <w:rsid w:val="000414F5"/>
    <w:rsid w:val="0004188B"/>
    <w:rsid w:val="000419C9"/>
    <w:rsid w:val="00042001"/>
    <w:rsid w:val="00046E21"/>
    <w:rsid w:val="00054562"/>
    <w:rsid w:val="000576F5"/>
    <w:rsid w:val="000634FD"/>
    <w:rsid w:val="0006592A"/>
    <w:rsid w:val="00065F1D"/>
    <w:rsid w:val="00073E96"/>
    <w:rsid w:val="00074523"/>
    <w:rsid w:val="00074878"/>
    <w:rsid w:val="00074B39"/>
    <w:rsid w:val="00074D57"/>
    <w:rsid w:val="000826A6"/>
    <w:rsid w:val="00082CBD"/>
    <w:rsid w:val="00084EA0"/>
    <w:rsid w:val="00087D72"/>
    <w:rsid w:val="00090644"/>
    <w:rsid w:val="00091F0F"/>
    <w:rsid w:val="00094C67"/>
    <w:rsid w:val="00097882"/>
    <w:rsid w:val="000B0C05"/>
    <w:rsid w:val="000B48DC"/>
    <w:rsid w:val="000B57BB"/>
    <w:rsid w:val="000C2FFC"/>
    <w:rsid w:val="000C405E"/>
    <w:rsid w:val="000C448C"/>
    <w:rsid w:val="000C535A"/>
    <w:rsid w:val="000C5825"/>
    <w:rsid w:val="000C6B51"/>
    <w:rsid w:val="000C7AE9"/>
    <w:rsid w:val="000D0239"/>
    <w:rsid w:val="000D5CEF"/>
    <w:rsid w:val="000D7F1B"/>
    <w:rsid w:val="000E3CCE"/>
    <w:rsid w:val="000E45BB"/>
    <w:rsid w:val="000E650A"/>
    <w:rsid w:val="000E70F0"/>
    <w:rsid w:val="000F4E04"/>
    <w:rsid w:val="000F5783"/>
    <w:rsid w:val="000F6A2A"/>
    <w:rsid w:val="001007D4"/>
    <w:rsid w:val="00107EAA"/>
    <w:rsid w:val="00110A9B"/>
    <w:rsid w:val="00111EC5"/>
    <w:rsid w:val="001126F7"/>
    <w:rsid w:val="001134B1"/>
    <w:rsid w:val="00113638"/>
    <w:rsid w:val="001254D3"/>
    <w:rsid w:val="00131014"/>
    <w:rsid w:val="00131CEA"/>
    <w:rsid w:val="0013595B"/>
    <w:rsid w:val="00136ED7"/>
    <w:rsid w:val="00140421"/>
    <w:rsid w:val="00142CFE"/>
    <w:rsid w:val="00144766"/>
    <w:rsid w:val="00145401"/>
    <w:rsid w:val="00145C72"/>
    <w:rsid w:val="00150FE7"/>
    <w:rsid w:val="00153E9A"/>
    <w:rsid w:val="001545E8"/>
    <w:rsid w:val="00156105"/>
    <w:rsid w:val="0016025F"/>
    <w:rsid w:val="0016324B"/>
    <w:rsid w:val="00165C41"/>
    <w:rsid w:val="00183A42"/>
    <w:rsid w:val="00183D52"/>
    <w:rsid w:val="001873F1"/>
    <w:rsid w:val="00187C4A"/>
    <w:rsid w:val="00191483"/>
    <w:rsid w:val="001A1D50"/>
    <w:rsid w:val="001A47E4"/>
    <w:rsid w:val="001A574D"/>
    <w:rsid w:val="001B072E"/>
    <w:rsid w:val="001C7B28"/>
    <w:rsid w:val="001D0CCF"/>
    <w:rsid w:val="001D242D"/>
    <w:rsid w:val="001D41F8"/>
    <w:rsid w:val="001D51AA"/>
    <w:rsid w:val="001D7D11"/>
    <w:rsid w:val="001E0546"/>
    <w:rsid w:val="001F0DF7"/>
    <w:rsid w:val="001F3587"/>
    <w:rsid w:val="001F4C96"/>
    <w:rsid w:val="002043A2"/>
    <w:rsid w:val="002111BB"/>
    <w:rsid w:val="00213DCB"/>
    <w:rsid w:val="00216B9A"/>
    <w:rsid w:val="0021780C"/>
    <w:rsid w:val="00222ABB"/>
    <w:rsid w:val="0022738A"/>
    <w:rsid w:val="00227629"/>
    <w:rsid w:val="00227D5B"/>
    <w:rsid w:val="00234443"/>
    <w:rsid w:val="00234C6A"/>
    <w:rsid w:val="002362E9"/>
    <w:rsid w:val="00246089"/>
    <w:rsid w:val="002530C0"/>
    <w:rsid w:val="002530D8"/>
    <w:rsid w:val="00260261"/>
    <w:rsid w:val="0026110F"/>
    <w:rsid w:val="002631CF"/>
    <w:rsid w:val="00265B73"/>
    <w:rsid w:val="00267257"/>
    <w:rsid w:val="002705D7"/>
    <w:rsid w:val="00276263"/>
    <w:rsid w:val="00283026"/>
    <w:rsid w:val="002853CD"/>
    <w:rsid w:val="00285AB1"/>
    <w:rsid w:val="0028631C"/>
    <w:rsid w:val="00293DCE"/>
    <w:rsid w:val="002A448C"/>
    <w:rsid w:val="002B3D04"/>
    <w:rsid w:val="002B5279"/>
    <w:rsid w:val="002C0864"/>
    <w:rsid w:val="002C0C25"/>
    <w:rsid w:val="002C2CCC"/>
    <w:rsid w:val="002D1C50"/>
    <w:rsid w:val="002E42D9"/>
    <w:rsid w:val="002E480E"/>
    <w:rsid w:val="00306E5F"/>
    <w:rsid w:val="0031123D"/>
    <w:rsid w:val="00315641"/>
    <w:rsid w:val="00317C4F"/>
    <w:rsid w:val="00317C6B"/>
    <w:rsid w:val="00323F55"/>
    <w:rsid w:val="00324424"/>
    <w:rsid w:val="00325936"/>
    <w:rsid w:val="00327674"/>
    <w:rsid w:val="003329FC"/>
    <w:rsid w:val="00333381"/>
    <w:rsid w:val="00333386"/>
    <w:rsid w:val="00337B34"/>
    <w:rsid w:val="003400F8"/>
    <w:rsid w:val="00340A7E"/>
    <w:rsid w:val="003418C2"/>
    <w:rsid w:val="0034257D"/>
    <w:rsid w:val="00345BD6"/>
    <w:rsid w:val="0035287E"/>
    <w:rsid w:val="00353B39"/>
    <w:rsid w:val="00360864"/>
    <w:rsid w:val="00360BB8"/>
    <w:rsid w:val="00362B0F"/>
    <w:rsid w:val="00364A23"/>
    <w:rsid w:val="00364B8D"/>
    <w:rsid w:val="00364D2F"/>
    <w:rsid w:val="00370330"/>
    <w:rsid w:val="0037157E"/>
    <w:rsid w:val="00385111"/>
    <w:rsid w:val="00386744"/>
    <w:rsid w:val="00390796"/>
    <w:rsid w:val="0039765D"/>
    <w:rsid w:val="003A0828"/>
    <w:rsid w:val="003A0F22"/>
    <w:rsid w:val="003A212B"/>
    <w:rsid w:val="003A6695"/>
    <w:rsid w:val="003A680C"/>
    <w:rsid w:val="003B0282"/>
    <w:rsid w:val="003B63C4"/>
    <w:rsid w:val="003C090B"/>
    <w:rsid w:val="003C20F2"/>
    <w:rsid w:val="003C3110"/>
    <w:rsid w:val="003D0E33"/>
    <w:rsid w:val="003D24DA"/>
    <w:rsid w:val="003D65CC"/>
    <w:rsid w:val="003E09DA"/>
    <w:rsid w:val="003E17BA"/>
    <w:rsid w:val="003E29B1"/>
    <w:rsid w:val="003E339D"/>
    <w:rsid w:val="003E3FA3"/>
    <w:rsid w:val="003E6B8E"/>
    <w:rsid w:val="003E7244"/>
    <w:rsid w:val="003F1797"/>
    <w:rsid w:val="003F3935"/>
    <w:rsid w:val="003F4068"/>
    <w:rsid w:val="00401A97"/>
    <w:rsid w:val="00402034"/>
    <w:rsid w:val="00402292"/>
    <w:rsid w:val="004148F5"/>
    <w:rsid w:val="00415ED3"/>
    <w:rsid w:val="00416A1A"/>
    <w:rsid w:val="00416D74"/>
    <w:rsid w:val="00417003"/>
    <w:rsid w:val="004177C0"/>
    <w:rsid w:val="00420B03"/>
    <w:rsid w:val="0042241C"/>
    <w:rsid w:val="0042287F"/>
    <w:rsid w:val="004268A9"/>
    <w:rsid w:val="00434E49"/>
    <w:rsid w:val="00435617"/>
    <w:rsid w:val="00443600"/>
    <w:rsid w:val="00443EF3"/>
    <w:rsid w:val="004448D5"/>
    <w:rsid w:val="004477E6"/>
    <w:rsid w:val="00450353"/>
    <w:rsid w:val="00452F42"/>
    <w:rsid w:val="0045448F"/>
    <w:rsid w:val="00455C0D"/>
    <w:rsid w:val="00456765"/>
    <w:rsid w:val="0046179D"/>
    <w:rsid w:val="0046221C"/>
    <w:rsid w:val="004626DF"/>
    <w:rsid w:val="00462C64"/>
    <w:rsid w:val="004660AA"/>
    <w:rsid w:val="004676C1"/>
    <w:rsid w:val="00472CC0"/>
    <w:rsid w:val="00480FA6"/>
    <w:rsid w:val="00482576"/>
    <w:rsid w:val="004832AD"/>
    <w:rsid w:val="004844DB"/>
    <w:rsid w:val="00493795"/>
    <w:rsid w:val="004A32F4"/>
    <w:rsid w:val="004A5B61"/>
    <w:rsid w:val="004A7A39"/>
    <w:rsid w:val="004A7F73"/>
    <w:rsid w:val="004B1C03"/>
    <w:rsid w:val="004B2FC5"/>
    <w:rsid w:val="004B3747"/>
    <w:rsid w:val="004B3F18"/>
    <w:rsid w:val="004B73BD"/>
    <w:rsid w:val="004C0B53"/>
    <w:rsid w:val="004C1306"/>
    <w:rsid w:val="004C2DAA"/>
    <w:rsid w:val="004C3085"/>
    <w:rsid w:val="004C5F17"/>
    <w:rsid w:val="004D08B4"/>
    <w:rsid w:val="004D17A0"/>
    <w:rsid w:val="004D6B88"/>
    <w:rsid w:val="004D6C0D"/>
    <w:rsid w:val="004E3705"/>
    <w:rsid w:val="004E3A9A"/>
    <w:rsid w:val="004E75B3"/>
    <w:rsid w:val="004E7B69"/>
    <w:rsid w:val="00500E0B"/>
    <w:rsid w:val="005079CA"/>
    <w:rsid w:val="005116FA"/>
    <w:rsid w:val="00511CDF"/>
    <w:rsid w:val="0051322D"/>
    <w:rsid w:val="0052085E"/>
    <w:rsid w:val="00532458"/>
    <w:rsid w:val="0053380A"/>
    <w:rsid w:val="005360AE"/>
    <w:rsid w:val="0054019B"/>
    <w:rsid w:val="0054487C"/>
    <w:rsid w:val="005475E8"/>
    <w:rsid w:val="00552573"/>
    <w:rsid w:val="00554177"/>
    <w:rsid w:val="00555CE5"/>
    <w:rsid w:val="00560640"/>
    <w:rsid w:val="00560F7B"/>
    <w:rsid w:val="0056170A"/>
    <w:rsid w:val="005648AA"/>
    <w:rsid w:val="00572504"/>
    <w:rsid w:val="00574003"/>
    <w:rsid w:val="00574E54"/>
    <w:rsid w:val="0058354E"/>
    <w:rsid w:val="00594897"/>
    <w:rsid w:val="005A4DEE"/>
    <w:rsid w:val="005A707C"/>
    <w:rsid w:val="005B7014"/>
    <w:rsid w:val="005C36D0"/>
    <w:rsid w:val="005C6704"/>
    <w:rsid w:val="005D0CA3"/>
    <w:rsid w:val="005E5B0A"/>
    <w:rsid w:val="005F01FC"/>
    <w:rsid w:val="005F031A"/>
    <w:rsid w:val="005F057F"/>
    <w:rsid w:val="005F1693"/>
    <w:rsid w:val="005F357D"/>
    <w:rsid w:val="006046DC"/>
    <w:rsid w:val="00606961"/>
    <w:rsid w:val="006079D1"/>
    <w:rsid w:val="00610D24"/>
    <w:rsid w:val="00612117"/>
    <w:rsid w:val="0061332E"/>
    <w:rsid w:val="00615532"/>
    <w:rsid w:val="00615E51"/>
    <w:rsid w:val="006211FA"/>
    <w:rsid w:val="0062321B"/>
    <w:rsid w:val="00623422"/>
    <w:rsid w:val="00631177"/>
    <w:rsid w:val="0063435C"/>
    <w:rsid w:val="00634A16"/>
    <w:rsid w:val="006362AA"/>
    <w:rsid w:val="0063638B"/>
    <w:rsid w:val="0064228D"/>
    <w:rsid w:val="00644C04"/>
    <w:rsid w:val="006474FC"/>
    <w:rsid w:val="00650890"/>
    <w:rsid w:val="00651193"/>
    <w:rsid w:val="006518F2"/>
    <w:rsid w:val="00657252"/>
    <w:rsid w:val="006575B1"/>
    <w:rsid w:val="00657D6F"/>
    <w:rsid w:val="00665FDE"/>
    <w:rsid w:val="00670D37"/>
    <w:rsid w:val="0067399F"/>
    <w:rsid w:val="006750B2"/>
    <w:rsid w:val="006768EE"/>
    <w:rsid w:val="006770A6"/>
    <w:rsid w:val="006809EF"/>
    <w:rsid w:val="0068463F"/>
    <w:rsid w:val="006847A9"/>
    <w:rsid w:val="00685DA7"/>
    <w:rsid w:val="0069051E"/>
    <w:rsid w:val="0069066C"/>
    <w:rsid w:val="006976B8"/>
    <w:rsid w:val="00697D4B"/>
    <w:rsid w:val="006A179C"/>
    <w:rsid w:val="006A1DC8"/>
    <w:rsid w:val="006B04C5"/>
    <w:rsid w:val="006B09B0"/>
    <w:rsid w:val="006B138E"/>
    <w:rsid w:val="006B75DA"/>
    <w:rsid w:val="006B76A6"/>
    <w:rsid w:val="006C0A74"/>
    <w:rsid w:val="006C215F"/>
    <w:rsid w:val="006C2535"/>
    <w:rsid w:val="006C325F"/>
    <w:rsid w:val="006C35E9"/>
    <w:rsid w:val="006D1975"/>
    <w:rsid w:val="006D7378"/>
    <w:rsid w:val="006D7CAA"/>
    <w:rsid w:val="006E1B56"/>
    <w:rsid w:val="006E277C"/>
    <w:rsid w:val="006E3CC2"/>
    <w:rsid w:val="006E5874"/>
    <w:rsid w:val="006E710A"/>
    <w:rsid w:val="006F1D16"/>
    <w:rsid w:val="006F3DAB"/>
    <w:rsid w:val="006F59F7"/>
    <w:rsid w:val="006F61A6"/>
    <w:rsid w:val="006F6580"/>
    <w:rsid w:val="00702F57"/>
    <w:rsid w:val="00710C4E"/>
    <w:rsid w:val="00712E81"/>
    <w:rsid w:val="00723DF9"/>
    <w:rsid w:val="00731365"/>
    <w:rsid w:val="00731A71"/>
    <w:rsid w:val="0073287D"/>
    <w:rsid w:val="00732C23"/>
    <w:rsid w:val="007346CC"/>
    <w:rsid w:val="0073578E"/>
    <w:rsid w:val="00737472"/>
    <w:rsid w:val="00743344"/>
    <w:rsid w:val="00743AB7"/>
    <w:rsid w:val="00753863"/>
    <w:rsid w:val="007566D7"/>
    <w:rsid w:val="00760078"/>
    <w:rsid w:val="007633EB"/>
    <w:rsid w:val="00767E0E"/>
    <w:rsid w:val="007736BC"/>
    <w:rsid w:val="00776B6B"/>
    <w:rsid w:val="00780DB5"/>
    <w:rsid w:val="00786D74"/>
    <w:rsid w:val="00790D99"/>
    <w:rsid w:val="00796360"/>
    <w:rsid w:val="007A1FD3"/>
    <w:rsid w:val="007A2980"/>
    <w:rsid w:val="007A2C63"/>
    <w:rsid w:val="007A6ED7"/>
    <w:rsid w:val="007B1AF7"/>
    <w:rsid w:val="007B456A"/>
    <w:rsid w:val="007B4798"/>
    <w:rsid w:val="007C14C9"/>
    <w:rsid w:val="007C1BC2"/>
    <w:rsid w:val="007C27BF"/>
    <w:rsid w:val="007C32E9"/>
    <w:rsid w:val="007C446E"/>
    <w:rsid w:val="007C61E5"/>
    <w:rsid w:val="007D07C2"/>
    <w:rsid w:val="007D130B"/>
    <w:rsid w:val="007D41B5"/>
    <w:rsid w:val="007E1043"/>
    <w:rsid w:val="007E34F2"/>
    <w:rsid w:val="007F05AD"/>
    <w:rsid w:val="007F22DD"/>
    <w:rsid w:val="00800C1A"/>
    <w:rsid w:val="0080189B"/>
    <w:rsid w:val="00807071"/>
    <w:rsid w:val="008141CB"/>
    <w:rsid w:val="00826F1E"/>
    <w:rsid w:val="0083074C"/>
    <w:rsid w:val="008410B4"/>
    <w:rsid w:val="00841CB0"/>
    <w:rsid w:val="00842E44"/>
    <w:rsid w:val="00842F06"/>
    <w:rsid w:val="00857824"/>
    <w:rsid w:val="00857D0D"/>
    <w:rsid w:val="0086368F"/>
    <w:rsid w:val="00866843"/>
    <w:rsid w:val="00871B49"/>
    <w:rsid w:val="00873DCB"/>
    <w:rsid w:val="00874731"/>
    <w:rsid w:val="008762C7"/>
    <w:rsid w:val="00877237"/>
    <w:rsid w:val="0088500C"/>
    <w:rsid w:val="00885D63"/>
    <w:rsid w:val="008864A6"/>
    <w:rsid w:val="008864C4"/>
    <w:rsid w:val="008879E2"/>
    <w:rsid w:val="00887A40"/>
    <w:rsid w:val="00887BE4"/>
    <w:rsid w:val="00894AE7"/>
    <w:rsid w:val="008960FC"/>
    <w:rsid w:val="00896D17"/>
    <w:rsid w:val="008A018E"/>
    <w:rsid w:val="008B2A06"/>
    <w:rsid w:val="008B4706"/>
    <w:rsid w:val="008B6D0C"/>
    <w:rsid w:val="008C16AF"/>
    <w:rsid w:val="008C1ADF"/>
    <w:rsid w:val="008C2306"/>
    <w:rsid w:val="008C72D5"/>
    <w:rsid w:val="008D0737"/>
    <w:rsid w:val="008D18B4"/>
    <w:rsid w:val="008D241A"/>
    <w:rsid w:val="008D28C5"/>
    <w:rsid w:val="008D2E2B"/>
    <w:rsid w:val="008D477D"/>
    <w:rsid w:val="008D6BA7"/>
    <w:rsid w:val="008D75E3"/>
    <w:rsid w:val="008D7918"/>
    <w:rsid w:val="008E04DA"/>
    <w:rsid w:val="008E1FE2"/>
    <w:rsid w:val="008E608D"/>
    <w:rsid w:val="008F4F2C"/>
    <w:rsid w:val="008F5D39"/>
    <w:rsid w:val="0090635E"/>
    <w:rsid w:val="00907124"/>
    <w:rsid w:val="00910985"/>
    <w:rsid w:val="009225B0"/>
    <w:rsid w:val="009230BB"/>
    <w:rsid w:val="00923738"/>
    <w:rsid w:val="00931D3D"/>
    <w:rsid w:val="00935DD6"/>
    <w:rsid w:val="009405FA"/>
    <w:rsid w:val="00947F0B"/>
    <w:rsid w:val="0095018C"/>
    <w:rsid w:val="0095173E"/>
    <w:rsid w:val="0095418E"/>
    <w:rsid w:val="00960435"/>
    <w:rsid w:val="00961F8F"/>
    <w:rsid w:val="00962B80"/>
    <w:rsid w:val="00963F57"/>
    <w:rsid w:val="00964B1B"/>
    <w:rsid w:val="009665CE"/>
    <w:rsid w:val="00976FC6"/>
    <w:rsid w:val="00985EC8"/>
    <w:rsid w:val="00990152"/>
    <w:rsid w:val="0099127A"/>
    <w:rsid w:val="00993F9D"/>
    <w:rsid w:val="009949F6"/>
    <w:rsid w:val="009A23BE"/>
    <w:rsid w:val="009B0083"/>
    <w:rsid w:val="009B377F"/>
    <w:rsid w:val="009B66FD"/>
    <w:rsid w:val="009B74D4"/>
    <w:rsid w:val="009C0DF5"/>
    <w:rsid w:val="009C1113"/>
    <w:rsid w:val="009C26F6"/>
    <w:rsid w:val="009D2870"/>
    <w:rsid w:val="009D3BBC"/>
    <w:rsid w:val="009D520F"/>
    <w:rsid w:val="009D554E"/>
    <w:rsid w:val="009D68AF"/>
    <w:rsid w:val="009D76E7"/>
    <w:rsid w:val="009E0899"/>
    <w:rsid w:val="009E43A7"/>
    <w:rsid w:val="009F2774"/>
    <w:rsid w:val="009F2A6D"/>
    <w:rsid w:val="009F2AB5"/>
    <w:rsid w:val="009F3E73"/>
    <w:rsid w:val="009F42FC"/>
    <w:rsid w:val="009F4C13"/>
    <w:rsid w:val="009F70B8"/>
    <w:rsid w:val="00A00A95"/>
    <w:rsid w:val="00A047A9"/>
    <w:rsid w:val="00A13000"/>
    <w:rsid w:val="00A145A5"/>
    <w:rsid w:val="00A162A5"/>
    <w:rsid w:val="00A1668A"/>
    <w:rsid w:val="00A265E8"/>
    <w:rsid w:val="00A31303"/>
    <w:rsid w:val="00A50CC3"/>
    <w:rsid w:val="00A55263"/>
    <w:rsid w:val="00A56155"/>
    <w:rsid w:val="00A574D3"/>
    <w:rsid w:val="00A602A6"/>
    <w:rsid w:val="00A61313"/>
    <w:rsid w:val="00A61458"/>
    <w:rsid w:val="00A660D6"/>
    <w:rsid w:val="00A670F5"/>
    <w:rsid w:val="00A719D9"/>
    <w:rsid w:val="00A74D13"/>
    <w:rsid w:val="00A77B21"/>
    <w:rsid w:val="00A82449"/>
    <w:rsid w:val="00A82CF4"/>
    <w:rsid w:val="00A84FD9"/>
    <w:rsid w:val="00A94ED1"/>
    <w:rsid w:val="00A96DDD"/>
    <w:rsid w:val="00AA55F0"/>
    <w:rsid w:val="00AB0C4A"/>
    <w:rsid w:val="00AB1ED2"/>
    <w:rsid w:val="00AB37B7"/>
    <w:rsid w:val="00AB3CB9"/>
    <w:rsid w:val="00AB7571"/>
    <w:rsid w:val="00AC1CDA"/>
    <w:rsid w:val="00AC3840"/>
    <w:rsid w:val="00AC528C"/>
    <w:rsid w:val="00AC531D"/>
    <w:rsid w:val="00AC5F85"/>
    <w:rsid w:val="00AC6CFC"/>
    <w:rsid w:val="00AC6DD0"/>
    <w:rsid w:val="00AC7E28"/>
    <w:rsid w:val="00AD3EF5"/>
    <w:rsid w:val="00AE6DBB"/>
    <w:rsid w:val="00AE7A8A"/>
    <w:rsid w:val="00AF00CB"/>
    <w:rsid w:val="00AF16DB"/>
    <w:rsid w:val="00AF3557"/>
    <w:rsid w:val="00AF526C"/>
    <w:rsid w:val="00B04875"/>
    <w:rsid w:val="00B070A9"/>
    <w:rsid w:val="00B07714"/>
    <w:rsid w:val="00B10F75"/>
    <w:rsid w:val="00B13E49"/>
    <w:rsid w:val="00B259B7"/>
    <w:rsid w:val="00B30688"/>
    <w:rsid w:val="00B340B3"/>
    <w:rsid w:val="00B43744"/>
    <w:rsid w:val="00B4770C"/>
    <w:rsid w:val="00B505AF"/>
    <w:rsid w:val="00B51ABB"/>
    <w:rsid w:val="00B525D4"/>
    <w:rsid w:val="00B57191"/>
    <w:rsid w:val="00B600E9"/>
    <w:rsid w:val="00B60D09"/>
    <w:rsid w:val="00B611D4"/>
    <w:rsid w:val="00B6130F"/>
    <w:rsid w:val="00B615B6"/>
    <w:rsid w:val="00B62366"/>
    <w:rsid w:val="00B70C09"/>
    <w:rsid w:val="00B768BC"/>
    <w:rsid w:val="00B818A6"/>
    <w:rsid w:val="00B83286"/>
    <w:rsid w:val="00B84ED4"/>
    <w:rsid w:val="00B86F73"/>
    <w:rsid w:val="00B87E82"/>
    <w:rsid w:val="00B908CB"/>
    <w:rsid w:val="00B93EC7"/>
    <w:rsid w:val="00B93F10"/>
    <w:rsid w:val="00B95E0D"/>
    <w:rsid w:val="00BA39E4"/>
    <w:rsid w:val="00BA4023"/>
    <w:rsid w:val="00BA4CF2"/>
    <w:rsid w:val="00BA6070"/>
    <w:rsid w:val="00BA6847"/>
    <w:rsid w:val="00BA7BF7"/>
    <w:rsid w:val="00BB0330"/>
    <w:rsid w:val="00BB38AD"/>
    <w:rsid w:val="00BC2914"/>
    <w:rsid w:val="00BC5657"/>
    <w:rsid w:val="00BC5D28"/>
    <w:rsid w:val="00BC6FFC"/>
    <w:rsid w:val="00BD0AD3"/>
    <w:rsid w:val="00BD0B13"/>
    <w:rsid w:val="00BD4C3A"/>
    <w:rsid w:val="00BD54E1"/>
    <w:rsid w:val="00BD5779"/>
    <w:rsid w:val="00BD5F45"/>
    <w:rsid w:val="00BD668D"/>
    <w:rsid w:val="00BD7FFA"/>
    <w:rsid w:val="00BE271C"/>
    <w:rsid w:val="00BF3578"/>
    <w:rsid w:val="00BF52C0"/>
    <w:rsid w:val="00BF6697"/>
    <w:rsid w:val="00C0425E"/>
    <w:rsid w:val="00C052B6"/>
    <w:rsid w:val="00C068D6"/>
    <w:rsid w:val="00C12BFB"/>
    <w:rsid w:val="00C16179"/>
    <w:rsid w:val="00C1741B"/>
    <w:rsid w:val="00C22018"/>
    <w:rsid w:val="00C23F81"/>
    <w:rsid w:val="00C30226"/>
    <w:rsid w:val="00C30873"/>
    <w:rsid w:val="00C30877"/>
    <w:rsid w:val="00C31609"/>
    <w:rsid w:val="00C35178"/>
    <w:rsid w:val="00C40322"/>
    <w:rsid w:val="00C43925"/>
    <w:rsid w:val="00C441A4"/>
    <w:rsid w:val="00C45E6C"/>
    <w:rsid w:val="00C466AE"/>
    <w:rsid w:val="00C519DF"/>
    <w:rsid w:val="00C52648"/>
    <w:rsid w:val="00C60B98"/>
    <w:rsid w:val="00C64F47"/>
    <w:rsid w:val="00C65AB9"/>
    <w:rsid w:val="00C65D29"/>
    <w:rsid w:val="00C67396"/>
    <w:rsid w:val="00C74222"/>
    <w:rsid w:val="00C74DC5"/>
    <w:rsid w:val="00C84315"/>
    <w:rsid w:val="00C84E84"/>
    <w:rsid w:val="00C877A5"/>
    <w:rsid w:val="00C87D5A"/>
    <w:rsid w:val="00CA0510"/>
    <w:rsid w:val="00CA5151"/>
    <w:rsid w:val="00CA6644"/>
    <w:rsid w:val="00CA73AE"/>
    <w:rsid w:val="00CA73E5"/>
    <w:rsid w:val="00CB0F64"/>
    <w:rsid w:val="00CB5BA9"/>
    <w:rsid w:val="00CC082B"/>
    <w:rsid w:val="00CC3B79"/>
    <w:rsid w:val="00CC3E12"/>
    <w:rsid w:val="00CD25AC"/>
    <w:rsid w:val="00CD5054"/>
    <w:rsid w:val="00CD60E3"/>
    <w:rsid w:val="00CD68E7"/>
    <w:rsid w:val="00CD799F"/>
    <w:rsid w:val="00CE1F4D"/>
    <w:rsid w:val="00CE402F"/>
    <w:rsid w:val="00CF2F09"/>
    <w:rsid w:val="00CF3232"/>
    <w:rsid w:val="00D06AE5"/>
    <w:rsid w:val="00D14809"/>
    <w:rsid w:val="00D1675A"/>
    <w:rsid w:val="00D169F9"/>
    <w:rsid w:val="00D16B59"/>
    <w:rsid w:val="00D22298"/>
    <w:rsid w:val="00D2772E"/>
    <w:rsid w:val="00D401F8"/>
    <w:rsid w:val="00D407E5"/>
    <w:rsid w:val="00D41F5E"/>
    <w:rsid w:val="00D45992"/>
    <w:rsid w:val="00D5014D"/>
    <w:rsid w:val="00D514F0"/>
    <w:rsid w:val="00D52A9E"/>
    <w:rsid w:val="00D55FA3"/>
    <w:rsid w:val="00D577A2"/>
    <w:rsid w:val="00D603E9"/>
    <w:rsid w:val="00D62FB4"/>
    <w:rsid w:val="00D63E49"/>
    <w:rsid w:val="00D704BC"/>
    <w:rsid w:val="00D71388"/>
    <w:rsid w:val="00D715F4"/>
    <w:rsid w:val="00D717DC"/>
    <w:rsid w:val="00D72080"/>
    <w:rsid w:val="00D73D7E"/>
    <w:rsid w:val="00D74395"/>
    <w:rsid w:val="00D820AA"/>
    <w:rsid w:val="00D92614"/>
    <w:rsid w:val="00D96C2E"/>
    <w:rsid w:val="00DA521E"/>
    <w:rsid w:val="00DA5B08"/>
    <w:rsid w:val="00DA657E"/>
    <w:rsid w:val="00DA6C6F"/>
    <w:rsid w:val="00DA7BFB"/>
    <w:rsid w:val="00DB0D7C"/>
    <w:rsid w:val="00DC065D"/>
    <w:rsid w:val="00DC0AFE"/>
    <w:rsid w:val="00DC138F"/>
    <w:rsid w:val="00DC3830"/>
    <w:rsid w:val="00DC44FB"/>
    <w:rsid w:val="00DC79E6"/>
    <w:rsid w:val="00DD1C66"/>
    <w:rsid w:val="00DD1D2F"/>
    <w:rsid w:val="00DD4057"/>
    <w:rsid w:val="00DD5E08"/>
    <w:rsid w:val="00DD672B"/>
    <w:rsid w:val="00DD7F4C"/>
    <w:rsid w:val="00DF1FE5"/>
    <w:rsid w:val="00DF4A9A"/>
    <w:rsid w:val="00E0001B"/>
    <w:rsid w:val="00E0160D"/>
    <w:rsid w:val="00E030CD"/>
    <w:rsid w:val="00E056EB"/>
    <w:rsid w:val="00E10F4A"/>
    <w:rsid w:val="00E17B98"/>
    <w:rsid w:val="00E20EF4"/>
    <w:rsid w:val="00E246FE"/>
    <w:rsid w:val="00E25241"/>
    <w:rsid w:val="00E25D16"/>
    <w:rsid w:val="00E2676A"/>
    <w:rsid w:val="00E26F0C"/>
    <w:rsid w:val="00E3099E"/>
    <w:rsid w:val="00E33740"/>
    <w:rsid w:val="00E35E18"/>
    <w:rsid w:val="00E37C39"/>
    <w:rsid w:val="00E433D2"/>
    <w:rsid w:val="00E45A4F"/>
    <w:rsid w:val="00E45D7F"/>
    <w:rsid w:val="00E47399"/>
    <w:rsid w:val="00E54046"/>
    <w:rsid w:val="00E54936"/>
    <w:rsid w:val="00E55FDF"/>
    <w:rsid w:val="00E56574"/>
    <w:rsid w:val="00E5759B"/>
    <w:rsid w:val="00E63E43"/>
    <w:rsid w:val="00E64C01"/>
    <w:rsid w:val="00E64D82"/>
    <w:rsid w:val="00E6611F"/>
    <w:rsid w:val="00E70201"/>
    <w:rsid w:val="00E72551"/>
    <w:rsid w:val="00E72AA1"/>
    <w:rsid w:val="00E72C65"/>
    <w:rsid w:val="00E73DCD"/>
    <w:rsid w:val="00E76F33"/>
    <w:rsid w:val="00E82243"/>
    <w:rsid w:val="00E82657"/>
    <w:rsid w:val="00E8565D"/>
    <w:rsid w:val="00E86032"/>
    <w:rsid w:val="00E90F1D"/>
    <w:rsid w:val="00E95248"/>
    <w:rsid w:val="00E97A87"/>
    <w:rsid w:val="00EA3B4A"/>
    <w:rsid w:val="00EA4DFF"/>
    <w:rsid w:val="00EB6103"/>
    <w:rsid w:val="00EB6A41"/>
    <w:rsid w:val="00EB6E37"/>
    <w:rsid w:val="00EC357C"/>
    <w:rsid w:val="00EC41D3"/>
    <w:rsid w:val="00ED1BFD"/>
    <w:rsid w:val="00ED25F5"/>
    <w:rsid w:val="00ED2876"/>
    <w:rsid w:val="00ED4E7E"/>
    <w:rsid w:val="00ED5117"/>
    <w:rsid w:val="00ED5279"/>
    <w:rsid w:val="00ED5C7A"/>
    <w:rsid w:val="00EE08F3"/>
    <w:rsid w:val="00EE3173"/>
    <w:rsid w:val="00EE552B"/>
    <w:rsid w:val="00EE74A3"/>
    <w:rsid w:val="00EF540B"/>
    <w:rsid w:val="00EF59F5"/>
    <w:rsid w:val="00F10A0D"/>
    <w:rsid w:val="00F10C05"/>
    <w:rsid w:val="00F137F2"/>
    <w:rsid w:val="00F13A8C"/>
    <w:rsid w:val="00F17BD6"/>
    <w:rsid w:val="00F24902"/>
    <w:rsid w:val="00F25F67"/>
    <w:rsid w:val="00F344C7"/>
    <w:rsid w:val="00F3529F"/>
    <w:rsid w:val="00F40628"/>
    <w:rsid w:val="00F4282D"/>
    <w:rsid w:val="00F42984"/>
    <w:rsid w:val="00F5132F"/>
    <w:rsid w:val="00F51971"/>
    <w:rsid w:val="00F609B5"/>
    <w:rsid w:val="00F61D47"/>
    <w:rsid w:val="00F6359B"/>
    <w:rsid w:val="00F66125"/>
    <w:rsid w:val="00F66546"/>
    <w:rsid w:val="00F75966"/>
    <w:rsid w:val="00F76C17"/>
    <w:rsid w:val="00F76C8C"/>
    <w:rsid w:val="00F77391"/>
    <w:rsid w:val="00F804E9"/>
    <w:rsid w:val="00F8331C"/>
    <w:rsid w:val="00F84746"/>
    <w:rsid w:val="00F858AB"/>
    <w:rsid w:val="00F875B2"/>
    <w:rsid w:val="00F915CA"/>
    <w:rsid w:val="00F92868"/>
    <w:rsid w:val="00F93241"/>
    <w:rsid w:val="00FA73AA"/>
    <w:rsid w:val="00FB0C1D"/>
    <w:rsid w:val="00FB1CC8"/>
    <w:rsid w:val="00FB2CC5"/>
    <w:rsid w:val="00FB4AA4"/>
    <w:rsid w:val="00FC59D9"/>
    <w:rsid w:val="00FC7F7C"/>
    <w:rsid w:val="00FD070A"/>
    <w:rsid w:val="00FD3C2C"/>
    <w:rsid w:val="00FD453B"/>
    <w:rsid w:val="00FD4BA1"/>
    <w:rsid w:val="00FD516C"/>
    <w:rsid w:val="00FE0B37"/>
    <w:rsid w:val="00FE1A44"/>
    <w:rsid w:val="00FE23B8"/>
    <w:rsid w:val="00FE4FBC"/>
    <w:rsid w:val="00FE5D02"/>
    <w:rsid w:val="00FE79DD"/>
    <w:rsid w:val="00FF028F"/>
    <w:rsid w:val="00FF0421"/>
    <w:rsid w:val="00FF558A"/>
    <w:rsid w:val="00FF63AA"/>
    <w:rsid w:val="00FF7715"/>
    <w:rsid w:val="05534BA8"/>
    <w:rsid w:val="058C39B9"/>
    <w:rsid w:val="17FF5F8A"/>
    <w:rsid w:val="1A8B12F4"/>
    <w:rsid w:val="212E0C40"/>
    <w:rsid w:val="214A52CA"/>
    <w:rsid w:val="284D7C48"/>
    <w:rsid w:val="2C2A0763"/>
    <w:rsid w:val="31A31793"/>
    <w:rsid w:val="31D52B67"/>
    <w:rsid w:val="348012F2"/>
    <w:rsid w:val="4A8116E7"/>
    <w:rsid w:val="51622BCD"/>
    <w:rsid w:val="56774220"/>
    <w:rsid w:val="5A7867BE"/>
    <w:rsid w:val="5B315DDE"/>
    <w:rsid w:val="66C302E0"/>
    <w:rsid w:val="6D6C547F"/>
    <w:rsid w:val="70EE652C"/>
    <w:rsid w:val="787A2662"/>
    <w:rsid w:val="7C15552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Body Text Indent" w:semiHidden="0" w:uiPriority="0" w:unhideWhenUsed="0" w:qFormat="1"/>
    <w:lsdException w:name="Subtitle" w:semiHidden="0" w:uiPriority="11" w:unhideWhenUsed="0" w:qFormat="1"/>
    <w:lsdException w:name="Body Text First Indent 2" w:semiHidden="0" w:uiPriority="0"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qFormat="1"/>
    <w:lsdException w:name="Table Grid" w:semiHidden="0" w:uiPriority="59"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2"/>
    <w:qFormat/>
    <w:rsid w:val="009F2A6D"/>
    <w:pPr>
      <w:spacing w:line="540" w:lineRule="exact"/>
    </w:pPr>
    <w:rPr>
      <w:rFonts w:asciiTheme="minorHAnsi" w:eastAsiaTheme="minorEastAsia" w:hAnsiTheme="minorHAnsi" w:cstheme="minorBidi"/>
      <w:kern w:val="2"/>
      <w:sz w:val="21"/>
      <w:szCs w:val="22"/>
    </w:rPr>
  </w:style>
  <w:style w:type="paragraph" w:styleId="1">
    <w:name w:val="heading 1"/>
    <w:basedOn w:val="a"/>
    <w:next w:val="a"/>
    <w:uiPriority w:val="9"/>
    <w:qFormat/>
    <w:rsid w:val="009F2A6D"/>
    <w:pPr>
      <w:keepNext/>
      <w:keepLines/>
      <w:spacing w:line="576" w:lineRule="auto"/>
      <w:outlineLvl w:val="0"/>
    </w:pPr>
    <w:rPr>
      <w:b/>
      <w:kern w:val="44"/>
      <w:sz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First Indent 2"/>
    <w:basedOn w:val="a3"/>
    <w:qFormat/>
    <w:rsid w:val="009F2A6D"/>
    <w:pPr>
      <w:spacing w:before="100" w:beforeAutospacing="1"/>
      <w:ind w:leftChars="0" w:left="0" w:firstLine="420"/>
    </w:pPr>
    <w:rPr>
      <w:rFonts w:ascii="仿宋_GB2312" w:hAnsi="宋体" w:cs="宋体"/>
    </w:rPr>
  </w:style>
  <w:style w:type="paragraph" w:styleId="a3">
    <w:name w:val="Body Text Indent"/>
    <w:basedOn w:val="a"/>
    <w:qFormat/>
    <w:rsid w:val="009F2A6D"/>
    <w:pPr>
      <w:spacing w:after="120"/>
      <w:ind w:leftChars="200" w:left="420"/>
    </w:pPr>
  </w:style>
  <w:style w:type="paragraph" w:styleId="a4">
    <w:name w:val="Balloon Text"/>
    <w:basedOn w:val="a"/>
    <w:link w:val="Char"/>
    <w:uiPriority w:val="99"/>
    <w:semiHidden/>
    <w:unhideWhenUsed/>
    <w:qFormat/>
    <w:rsid w:val="009F2A6D"/>
    <w:pPr>
      <w:spacing w:line="240" w:lineRule="auto"/>
    </w:pPr>
    <w:rPr>
      <w:sz w:val="18"/>
      <w:szCs w:val="18"/>
    </w:rPr>
  </w:style>
  <w:style w:type="paragraph" w:styleId="a5">
    <w:name w:val="footer"/>
    <w:basedOn w:val="a"/>
    <w:link w:val="Char0"/>
    <w:uiPriority w:val="99"/>
    <w:unhideWhenUsed/>
    <w:qFormat/>
    <w:rsid w:val="009F2A6D"/>
    <w:pPr>
      <w:tabs>
        <w:tab w:val="center" w:pos="4153"/>
        <w:tab w:val="right" w:pos="8306"/>
      </w:tabs>
      <w:snapToGrid w:val="0"/>
      <w:spacing w:line="240" w:lineRule="atLeast"/>
    </w:pPr>
    <w:rPr>
      <w:sz w:val="18"/>
      <w:szCs w:val="18"/>
    </w:rPr>
  </w:style>
  <w:style w:type="paragraph" w:styleId="a6">
    <w:name w:val="header"/>
    <w:basedOn w:val="a"/>
    <w:link w:val="Char1"/>
    <w:uiPriority w:val="99"/>
    <w:unhideWhenUsed/>
    <w:qFormat/>
    <w:rsid w:val="009F2A6D"/>
    <w:pPr>
      <w:pBdr>
        <w:bottom w:val="single" w:sz="6" w:space="1" w:color="auto"/>
      </w:pBdr>
      <w:tabs>
        <w:tab w:val="center" w:pos="4153"/>
        <w:tab w:val="right" w:pos="8306"/>
      </w:tabs>
      <w:snapToGrid w:val="0"/>
      <w:spacing w:line="240" w:lineRule="atLeast"/>
      <w:jc w:val="center"/>
    </w:pPr>
    <w:rPr>
      <w:sz w:val="18"/>
      <w:szCs w:val="18"/>
    </w:rPr>
  </w:style>
  <w:style w:type="paragraph" w:styleId="10">
    <w:name w:val="toc 1"/>
    <w:basedOn w:val="a"/>
    <w:next w:val="a"/>
    <w:uiPriority w:val="39"/>
    <w:unhideWhenUsed/>
    <w:qFormat/>
    <w:rsid w:val="009F2A6D"/>
  </w:style>
  <w:style w:type="paragraph" w:styleId="a7">
    <w:name w:val="Normal (Web)"/>
    <w:basedOn w:val="a"/>
    <w:uiPriority w:val="99"/>
    <w:unhideWhenUsed/>
    <w:qFormat/>
    <w:rsid w:val="009F2A6D"/>
    <w:pPr>
      <w:spacing w:before="100" w:beforeAutospacing="1" w:after="100" w:afterAutospacing="1"/>
    </w:pPr>
    <w:rPr>
      <w:rFonts w:ascii="宋体" w:eastAsia="宋体" w:hAnsi="宋体" w:cs="宋体"/>
      <w:kern w:val="0"/>
      <w:sz w:val="24"/>
      <w:szCs w:val="24"/>
    </w:rPr>
  </w:style>
  <w:style w:type="table" w:styleId="a8">
    <w:name w:val="Table Grid"/>
    <w:basedOn w:val="a1"/>
    <w:uiPriority w:val="59"/>
    <w:qFormat/>
    <w:rsid w:val="009F2A6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List Paragraph"/>
    <w:basedOn w:val="a"/>
    <w:uiPriority w:val="34"/>
    <w:qFormat/>
    <w:rsid w:val="009F2A6D"/>
    <w:pPr>
      <w:ind w:firstLineChars="200" w:firstLine="420"/>
    </w:pPr>
  </w:style>
  <w:style w:type="paragraph" w:styleId="aa">
    <w:name w:val="No Spacing"/>
    <w:uiPriority w:val="1"/>
    <w:qFormat/>
    <w:rsid w:val="009F2A6D"/>
    <w:pPr>
      <w:widowControl w:val="0"/>
      <w:spacing w:line="540" w:lineRule="exact"/>
      <w:jc w:val="both"/>
    </w:pPr>
    <w:rPr>
      <w:rFonts w:asciiTheme="minorHAnsi" w:eastAsiaTheme="minorEastAsia" w:hAnsiTheme="minorHAnsi" w:cstheme="minorBidi"/>
      <w:kern w:val="2"/>
      <w:sz w:val="21"/>
      <w:szCs w:val="22"/>
    </w:rPr>
  </w:style>
  <w:style w:type="paragraph" w:customStyle="1" w:styleId="CharCharCharCharCharChar1">
    <w:name w:val="Char Char Char Char Char Char1"/>
    <w:basedOn w:val="a"/>
    <w:qFormat/>
    <w:rsid w:val="009F2A6D"/>
    <w:pPr>
      <w:widowControl w:val="0"/>
      <w:spacing w:line="240" w:lineRule="auto"/>
      <w:jc w:val="both"/>
    </w:pPr>
    <w:rPr>
      <w:rFonts w:ascii="Tahoma" w:eastAsia="宋体" w:hAnsi="Tahoma" w:cs="Times New Roman"/>
      <w:sz w:val="24"/>
      <w:szCs w:val="20"/>
    </w:rPr>
  </w:style>
  <w:style w:type="character" w:customStyle="1" w:styleId="Char1">
    <w:name w:val="页眉 Char"/>
    <w:basedOn w:val="a0"/>
    <w:link w:val="a6"/>
    <w:uiPriority w:val="99"/>
    <w:qFormat/>
    <w:rsid w:val="009F2A6D"/>
    <w:rPr>
      <w:sz w:val="18"/>
      <w:szCs w:val="18"/>
    </w:rPr>
  </w:style>
  <w:style w:type="character" w:customStyle="1" w:styleId="Char0">
    <w:name w:val="页脚 Char"/>
    <w:basedOn w:val="a0"/>
    <w:link w:val="a5"/>
    <w:uiPriority w:val="99"/>
    <w:qFormat/>
    <w:rsid w:val="009F2A6D"/>
    <w:rPr>
      <w:sz w:val="18"/>
      <w:szCs w:val="18"/>
    </w:rPr>
  </w:style>
  <w:style w:type="character" w:customStyle="1" w:styleId="Char">
    <w:name w:val="批注框文本 Char"/>
    <w:basedOn w:val="a0"/>
    <w:link w:val="a4"/>
    <w:uiPriority w:val="99"/>
    <w:semiHidden/>
    <w:qFormat/>
    <w:rsid w:val="009F2A6D"/>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957</Words>
  <Characters>5459</Characters>
  <Application>Microsoft Office Word</Application>
  <DocSecurity>0</DocSecurity>
  <Lines>45</Lines>
  <Paragraphs>12</Paragraphs>
  <ScaleCrop>false</ScaleCrop>
  <Company/>
  <LinksUpToDate>false</LinksUpToDate>
  <CharactersWithSpaces>6404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xb21cn</dc:creator>
  <cp:lastModifiedBy>Administrator</cp:lastModifiedBy>
  <cp:revision>11</cp:revision>
  <cp:lastPrinted>2021-09-06T02:00:00Z</cp:lastPrinted>
  <dcterms:created xsi:type="dcterms:W3CDTF">2021-07-05T00:51:00Z</dcterms:created>
  <dcterms:modified xsi:type="dcterms:W3CDTF">2021-09-06T02:01:00Z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