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12885" w:rsidRDefault="00D12885">
      <w:pPr>
        <w:shd w:val="clear" w:color="auto" w:fill="FFFFFF"/>
        <w:spacing w:line="900" w:lineRule="atLeast"/>
        <w:jc w:val="center"/>
        <w:outlineLvl w:val="0"/>
        <w:rPr>
          <w:rFonts w:ascii="仿宋" w:eastAsia="仿宋" w:hAnsi="仿宋" w:cs="宋体"/>
          <w:b/>
          <w:bCs/>
          <w:color w:val="333333"/>
          <w:kern w:val="36"/>
          <w:sz w:val="36"/>
          <w:szCs w:val="36"/>
        </w:rPr>
      </w:pPr>
    </w:p>
    <w:p w:rsidR="00D12885" w:rsidRDefault="00D12885">
      <w:pPr>
        <w:shd w:val="clear" w:color="auto" w:fill="FFFFFF"/>
        <w:spacing w:line="900" w:lineRule="atLeast"/>
        <w:jc w:val="center"/>
        <w:outlineLvl w:val="0"/>
        <w:rPr>
          <w:rFonts w:ascii="仿宋" w:eastAsia="仿宋" w:hAnsi="仿宋" w:cs="宋体"/>
          <w:b/>
          <w:bCs/>
          <w:color w:val="333333"/>
          <w:kern w:val="36"/>
          <w:sz w:val="36"/>
          <w:szCs w:val="36"/>
        </w:rPr>
      </w:pPr>
    </w:p>
    <w:p w:rsidR="007B3E1B" w:rsidRPr="007B3E1B" w:rsidRDefault="00525D86" w:rsidP="007B3E1B">
      <w:pPr>
        <w:shd w:val="clear" w:color="auto" w:fill="FFFFFF"/>
        <w:spacing w:line="900" w:lineRule="atLeast"/>
        <w:jc w:val="center"/>
        <w:outlineLvl w:val="0"/>
        <w:rPr>
          <w:rFonts w:ascii="仿宋" w:eastAsia="仿宋" w:hAnsi="仿宋" w:cs="宋体"/>
          <w:b/>
          <w:bCs/>
          <w:color w:val="333333"/>
          <w:kern w:val="36"/>
          <w:sz w:val="30"/>
          <w:szCs w:val="36"/>
        </w:rPr>
      </w:pPr>
      <w:r w:rsidRPr="007B3E1B">
        <w:rPr>
          <w:rFonts w:ascii="仿宋" w:eastAsia="仿宋" w:hAnsi="仿宋" w:cs="宋体" w:hint="eastAsia"/>
          <w:b/>
          <w:bCs/>
          <w:color w:val="333333"/>
          <w:kern w:val="36"/>
          <w:sz w:val="30"/>
          <w:szCs w:val="36"/>
        </w:rPr>
        <w:t>南县文化旅游广电体育局</w:t>
      </w:r>
      <w:r w:rsidR="007B3E1B" w:rsidRPr="007B3E1B">
        <w:rPr>
          <w:rFonts w:ascii="仿宋" w:eastAsia="仿宋" w:hAnsi="仿宋" w:cs="宋体" w:hint="eastAsia"/>
          <w:b/>
          <w:bCs/>
          <w:color w:val="333333"/>
          <w:kern w:val="36"/>
          <w:sz w:val="30"/>
          <w:szCs w:val="36"/>
        </w:rPr>
        <w:t>2020年地花鼓发展专项资金</w:t>
      </w:r>
    </w:p>
    <w:p w:rsidR="00D12885" w:rsidRPr="007B3E1B" w:rsidRDefault="00525D86">
      <w:pPr>
        <w:shd w:val="clear" w:color="auto" w:fill="FFFFFF"/>
        <w:spacing w:line="900" w:lineRule="atLeast"/>
        <w:jc w:val="center"/>
        <w:outlineLvl w:val="0"/>
        <w:rPr>
          <w:rFonts w:ascii="仿宋" w:eastAsia="仿宋" w:hAnsi="仿宋" w:cs="宋体"/>
          <w:b/>
          <w:bCs/>
          <w:color w:val="333333"/>
          <w:kern w:val="36"/>
          <w:sz w:val="30"/>
          <w:szCs w:val="36"/>
        </w:rPr>
      </w:pPr>
      <w:r w:rsidRPr="007B3E1B">
        <w:rPr>
          <w:rFonts w:ascii="仿宋" w:eastAsia="仿宋" w:hAnsi="仿宋" w:cs="宋体" w:hint="eastAsia"/>
          <w:b/>
          <w:bCs/>
          <w:color w:val="333333"/>
          <w:kern w:val="36"/>
          <w:sz w:val="30"/>
          <w:szCs w:val="36"/>
        </w:rPr>
        <w:t>绩效评价报告</w:t>
      </w:r>
    </w:p>
    <w:p w:rsidR="00D12885" w:rsidRDefault="00525D86">
      <w:pPr>
        <w:tabs>
          <w:tab w:val="left" w:pos="1260"/>
          <w:tab w:val="left" w:pos="6090"/>
        </w:tabs>
        <w:spacing w:line="740" w:lineRule="exact"/>
        <w:jc w:val="center"/>
        <w:rPr>
          <w:rFonts w:ascii="仿宋" w:eastAsia="仿宋" w:hAnsi="仿宋"/>
          <w:b/>
          <w:spacing w:val="24"/>
          <w:sz w:val="28"/>
          <w:szCs w:val="28"/>
        </w:rPr>
      </w:pPr>
      <w:r>
        <w:rPr>
          <w:rFonts w:ascii="仿宋" w:eastAsia="仿宋" w:hAnsi="仿宋" w:hint="eastAsia"/>
          <w:b/>
          <w:spacing w:val="24"/>
          <w:sz w:val="28"/>
          <w:szCs w:val="28"/>
        </w:rPr>
        <w:t xml:space="preserve"> 湘财苑绩评字[2021]1-</w:t>
      </w:r>
      <w:r w:rsidR="006467F8">
        <w:rPr>
          <w:rFonts w:ascii="仿宋" w:eastAsia="仿宋" w:hAnsi="仿宋" w:hint="eastAsia"/>
          <w:b/>
          <w:spacing w:val="24"/>
          <w:sz w:val="28"/>
          <w:szCs w:val="28"/>
        </w:rPr>
        <w:t>015</w:t>
      </w:r>
      <w:r>
        <w:rPr>
          <w:rFonts w:ascii="仿宋" w:eastAsia="仿宋" w:hAnsi="仿宋" w:hint="eastAsia"/>
          <w:b/>
          <w:spacing w:val="24"/>
          <w:sz w:val="28"/>
          <w:szCs w:val="28"/>
        </w:rPr>
        <w:t>号</w:t>
      </w:r>
    </w:p>
    <w:p w:rsidR="00D12885" w:rsidRDefault="00D12885">
      <w:pPr>
        <w:tabs>
          <w:tab w:val="left" w:pos="1260"/>
          <w:tab w:val="left" w:pos="6090"/>
        </w:tabs>
        <w:spacing w:line="740" w:lineRule="exact"/>
        <w:jc w:val="center"/>
        <w:rPr>
          <w:rFonts w:ascii="仿宋" w:eastAsia="仿宋" w:hAnsi="仿宋"/>
          <w:b/>
          <w:spacing w:val="24"/>
          <w:sz w:val="52"/>
          <w:szCs w:val="52"/>
        </w:rPr>
      </w:pPr>
    </w:p>
    <w:p w:rsidR="00D12885" w:rsidRDefault="00D12885">
      <w:pPr>
        <w:tabs>
          <w:tab w:val="left" w:pos="1260"/>
          <w:tab w:val="left" w:pos="6090"/>
        </w:tabs>
        <w:spacing w:line="740" w:lineRule="exact"/>
        <w:jc w:val="center"/>
        <w:rPr>
          <w:rFonts w:ascii="仿宋" w:eastAsia="仿宋" w:hAnsi="仿宋"/>
          <w:b/>
          <w:spacing w:val="24"/>
          <w:sz w:val="52"/>
          <w:szCs w:val="52"/>
        </w:rPr>
      </w:pPr>
    </w:p>
    <w:p w:rsidR="00D12885" w:rsidRDefault="00D12885">
      <w:pPr>
        <w:tabs>
          <w:tab w:val="left" w:pos="1260"/>
          <w:tab w:val="left" w:pos="6090"/>
        </w:tabs>
        <w:spacing w:line="740" w:lineRule="exact"/>
        <w:jc w:val="center"/>
        <w:rPr>
          <w:rFonts w:ascii="仿宋" w:eastAsia="仿宋" w:hAnsi="仿宋"/>
          <w:b/>
          <w:spacing w:val="24"/>
          <w:sz w:val="52"/>
          <w:szCs w:val="52"/>
        </w:rPr>
      </w:pPr>
    </w:p>
    <w:p w:rsidR="00D12885" w:rsidRDefault="00D12885">
      <w:pPr>
        <w:tabs>
          <w:tab w:val="left" w:pos="1260"/>
          <w:tab w:val="left" w:pos="6090"/>
        </w:tabs>
        <w:spacing w:line="740" w:lineRule="exact"/>
        <w:jc w:val="center"/>
        <w:rPr>
          <w:rFonts w:ascii="仿宋" w:eastAsia="仿宋" w:hAnsi="仿宋"/>
          <w:b/>
          <w:spacing w:val="24"/>
          <w:sz w:val="52"/>
          <w:szCs w:val="52"/>
        </w:rPr>
      </w:pPr>
    </w:p>
    <w:p w:rsidR="00D12885" w:rsidRDefault="00D12885">
      <w:pPr>
        <w:tabs>
          <w:tab w:val="left" w:pos="1260"/>
          <w:tab w:val="left" w:pos="6090"/>
        </w:tabs>
        <w:spacing w:line="740" w:lineRule="exact"/>
        <w:jc w:val="center"/>
        <w:rPr>
          <w:rFonts w:ascii="仿宋" w:eastAsia="仿宋" w:hAnsi="仿宋"/>
          <w:b/>
          <w:spacing w:val="24"/>
          <w:sz w:val="52"/>
          <w:szCs w:val="52"/>
        </w:rPr>
      </w:pPr>
    </w:p>
    <w:p w:rsidR="00D12885" w:rsidRDefault="00D12885">
      <w:pPr>
        <w:tabs>
          <w:tab w:val="left" w:pos="1260"/>
          <w:tab w:val="left" w:pos="6090"/>
        </w:tabs>
        <w:spacing w:line="740" w:lineRule="exact"/>
        <w:jc w:val="center"/>
        <w:rPr>
          <w:rFonts w:ascii="仿宋" w:eastAsia="仿宋" w:hAnsi="仿宋"/>
          <w:b/>
          <w:spacing w:val="24"/>
          <w:sz w:val="52"/>
          <w:szCs w:val="52"/>
        </w:rPr>
      </w:pPr>
    </w:p>
    <w:p w:rsidR="00D12885" w:rsidRDefault="00D12885">
      <w:pPr>
        <w:tabs>
          <w:tab w:val="left" w:pos="1260"/>
          <w:tab w:val="left" w:pos="6090"/>
        </w:tabs>
        <w:spacing w:line="740" w:lineRule="exact"/>
        <w:jc w:val="center"/>
        <w:rPr>
          <w:rFonts w:ascii="仿宋" w:eastAsia="仿宋" w:hAnsi="仿宋"/>
          <w:b/>
          <w:spacing w:val="24"/>
          <w:sz w:val="52"/>
          <w:szCs w:val="52"/>
        </w:rPr>
      </w:pPr>
    </w:p>
    <w:p w:rsidR="00D12885" w:rsidRDefault="00D12885">
      <w:pPr>
        <w:tabs>
          <w:tab w:val="left" w:pos="1260"/>
          <w:tab w:val="left" w:pos="6090"/>
        </w:tabs>
        <w:spacing w:line="740" w:lineRule="exact"/>
        <w:jc w:val="center"/>
        <w:rPr>
          <w:rFonts w:ascii="仿宋" w:eastAsia="仿宋" w:hAnsi="仿宋"/>
          <w:b/>
          <w:spacing w:val="24"/>
          <w:sz w:val="52"/>
          <w:szCs w:val="52"/>
        </w:rPr>
      </w:pPr>
    </w:p>
    <w:p w:rsidR="00D12885" w:rsidRDefault="00525D86">
      <w:pPr>
        <w:tabs>
          <w:tab w:val="left" w:pos="1260"/>
          <w:tab w:val="left" w:pos="6090"/>
        </w:tabs>
        <w:spacing w:line="740" w:lineRule="exact"/>
        <w:jc w:val="center"/>
        <w:rPr>
          <w:rFonts w:ascii="仿宋" w:eastAsia="仿宋" w:hAnsi="仿宋"/>
          <w:b/>
          <w:spacing w:val="24"/>
          <w:sz w:val="32"/>
          <w:szCs w:val="32"/>
        </w:rPr>
      </w:pPr>
      <w:r>
        <w:rPr>
          <w:rFonts w:ascii="仿宋" w:eastAsia="仿宋" w:hAnsi="仿宋" w:hint="eastAsia"/>
          <w:b/>
          <w:spacing w:val="24"/>
          <w:sz w:val="32"/>
          <w:szCs w:val="32"/>
        </w:rPr>
        <w:t>湖南新财苑会计师事务所有限公司</w:t>
      </w:r>
    </w:p>
    <w:p w:rsidR="00D12885" w:rsidRDefault="00D12885">
      <w:pPr>
        <w:tabs>
          <w:tab w:val="left" w:pos="1260"/>
          <w:tab w:val="left" w:pos="6090"/>
        </w:tabs>
        <w:spacing w:line="740" w:lineRule="exact"/>
        <w:jc w:val="center"/>
        <w:rPr>
          <w:rFonts w:ascii="仿宋" w:eastAsia="仿宋" w:hAnsi="仿宋"/>
          <w:b/>
          <w:spacing w:val="24"/>
          <w:sz w:val="32"/>
          <w:szCs w:val="32"/>
        </w:rPr>
      </w:pPr>
    </w:p>
    <w:p w:rsidR="00D12885" w:rsidRDefault="00D12885">
      <w:pPr>
        <w:tabs>
          <w:tab w:val="left" w:pos="1260"/>
          <w:tab w:val="left" w:pos="6090"/>
        </w:tabs>
        <w:spacing w:line="740" w:lineRule="exact"/>
        <w:jc w:val="center"/>
        <w:rPr>
          <w:rFonts w:ascii="仿宋" w:eastAsia="仿宋" w:hAnsi="仿宋"/>
          <w:b/>
          <w:spacing w:val="24"/>
          <w:sz w:val="32"/>
          <w:szCs w:val="32"/>
        </w:rPr>
      </w:pPr>
    </w:p>
    <w:p w:rsidR="007B3E1B" w:rsidRDefault="007B3E1B">
      <w:pPr>
        <w:tabs>
          <w:tab w:val="left" w:pos="1260"/>
          <w:tab w:val="left" w:pos="6090"/>
        </w:tabs>
        <w:spacing w:line="740" w:lineRule="exact"/>
        <w:jc w:val="center"/>
        <w:rPr>
          <w:rFonts w:ascii="仿宋" w:eastAsia="仿宋" w:hAnsi="仿宋"/>
          <w:b/>
          <w:spacing w:val="24"/>
          <w:sz w:val="32"/>
          <w:szCs w:val="32"/>
        </w:rPr>
      </w:pPr>
    </w:p>
    <w:p w:rsidR="00D12885" w:rsidRDefault="00525D86">
      <w:pPr>
        <w:tabs>
          <w:tab w:val="left" w:pos="1260"/>
          <w:tab w:val="left" w:pos="6090"/>
        </w:tabs>
        <w:spacing w:line="740" w:lineRule="exact"/>
        <w:jc w:val="distribute"/>
        <w:rPr>
          <w:rFonts w:ascii="宋体" w:hAnsi="宋体"/>
          <w:b/>
          <w:spacing w:val="24"/>
          <w:sz w:val="48"/>
          <w:szCs w:val="48"/>
        </w:rPr>
      </w:pPr>
      <w:r>
        <w:rPr>
          <w:rFonts w:ascii="宋体" w:hAnsi="宋体" w:hint="eastAsia"/>
          <w:b/>
          <w:spacing w:val="24"/>
          <w:sz w:val="48"/>
          <w:szCs w:val="48"/>
        </w:rPr>
        <w:lastRenderedPageBreak/>
        <w:t>湖南新财苑会计师事务所有限公司</w:t>
      </w:r>
    </w:p>
    <w:p w:rsidR="00D12885" w:rsidRDefault="00525D86">
      <w:pPr>
        <w:jc w:val="distribute"/>
        <w:rPr>
          <w:rFonts w:ascii="宋体" w:hAnsi="宋体"/>
          <w:spacing w:val="40"/>
          <w:sz w:val="28"/>
          <w:szCs w:val="28"/>
        </w:rPr>
      </w:pPr>
      <w:r>
        <w:rPr>
          <w:rFonts w:ascii="宋体" w:hAnsi="宋体" w:hint="eastAsia"/>
          <w:spacing w:val="9"/>
          <w:w w:val="83"/>
          <w:kern w:val="0"/>
          <w:sz w:val="28"/>
          <w:szCs w:val="28"/>
        </w:rPr>
        <w:t>HUNAN   XINCAIYUAN   PUBLIC   ACCOUNTANTS   CO.   LTD</w:t>
      </w:r>
      <w:r>
        <w:rPr>
          <w:rFonts w:ascii="宋体" w:hAnsi="宋体" w:hint="eastAsia"/>
          <w:spacing w:val="-11"/>
          <w:w w:val="83"/>
          <w:kern w:val="0"/>
          <w:sz w:val="28"/>
          <w:szCs w:val="28"/>
        </w:rPr>
        <w:t>.</w:t>
      </w:r>
    </w:p>
    <w:p w:rsidR="00D12885" w:rsidRDefault="00525D86">
      <w:pPr>
        <w:jc w:val="distribute"/>
        <w:rPr>
          <w:rFonts w:ascii="宋体" w:hAnsi="宋体"/>
          <w:spacing w:val="40"/>
          <w:sz w:val="28"/>
          <w:szCs w:val="28"/>
        </w:rPr>
      </w:pPr>
      <w:r>
        <w:rPr>
          <w:rFonts w:ascii="宋体" w:hAnsi="宋体" w:hint="eastAsia"/>
          <w:szCs w:val="21"/>
        </w:rPr>
        <w:t>地址:长沙市芙蓉区马王堆街道紫微路号华泰大厦20层 邮编410011 电话：0731-84885348</w:t>
      </w:r>
    </w:p>
    <w:tbl>
      <w:tblPr>
        <w:tblpPr w:leftFromText="180" w:rightFromText="180" w:vertAnchor="text" w:horzAnchor="margin" w:tblpXSpec="center" w:tblpY="51"/>
        <w:tblW w:w="9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9407"/>
      </w:tblGrid>
      <w:tr w:rsidR="00D12885">
        <w:tc>
          <w:tcPr>
            <w:tcW w:w="9407" w:type="dxa"/>
            <w:tcBorders>
              <w:top w:val="single" w:sz="4" w:space="0" w:color="auto"/>
              <w:left w:val="nil"/>
              <w:bottom w:val="nil"/>
              <w:right w:val="nil"/>
            </w:tcBorders>
          </w:tcPr>
          <w:p w:rsidR="007B3E1B" w:rsidRDefault="007B3E1B" w:rsidP="007B3E1B">
            <w:pPr>
              <w:spacing w:line="520" w:lineRule="exact"/>
              <w:jc w:val="center"/>
              <w:rPr>
                <w:rFonts w:ascii="仿宋" w:eastAsia="仿宋" w:hAnsi="仿宋"/>
                <w:b/>
                <w:sz w:val="36"/>
                <w:szCs w:val="36"/>
              </w:rPr>
            </w:pPr>
            <w:r>
              <w:rPr>
                <w:rFonts w:ascii="仿宋" w:eastAsia="仿宋" w:hAnsi="仿宋" w:hint="eastAsia"/>
                <w:b/>
                <w:sz w:val="36"/>
                <w:szCs w:val="36"/>
              </w:rPr>
              <w:t>南县文化旅游广电体育局2020年“地花鼓发展专项”</w:t>
            </w:r>
          </w:p>
          <w:p w:rsidR="007B3E1B" w:rsidRDefault="007B3E1B" w:rsidP="007B3E1B">
            <w:pPr>
              <w:spacing w:line="520" w:lineRule="exact"/>
              <w:jc w:val="center"/>
              <w:rPr>
                <w:rFonts w:ascii="仿宋" w:eastAsia="仿宋" w:hAnsi="仿宋"/>
                <w:b/>
                <w:sz w:val="36"/>
                <w:szCs w:val="36"/>
              </w:rPr>
            </w:pPr>
            <w:r>
              <w:rPr>
                <w:rFonts w:ascii="仿宋" w:eastAsia="仿宋" w:hAnsi="仿宋" w:hint="eastAsia"/>
                <w:b/>
                <w:sz w:val="36"/>
                <w:szCs w:val="36"/>
              </w:rPr>
              <w:t>绩效评价报告</w:t>
            </w:r>
          </w:p>
          <w:p w:rsidR="00D12885" w:rsidRDefault="007B3E1B" w:rsidP="007B3E1B">
            <w:pPr>
              <w:spacing w:line="520" w:lineRule="exact"/>
              <w:ind w:firstLineChars="700" w:firstLine="2296"/>
              <w:rPr>
                <w:rFonts w:eastAsia="仿宋_GB2312"/>
                <w:szCs w:val="21"/>
                <w:u w:val="single"/>
                <w:bdr w:val="single" w:sz="4" w:space="0" w:color="auto"/>
              </w:rPr>
            </w:pPr>
            <w:r>
              <w:rPr>
                <w:rFonts w:ascii="仿宋" w:eastAsia="仿宋" w:hAnsi="仿宋" w:hint="eastAsia"/>
                <w:spacing w:val="24"/>
                <w:sz w:val="28"/>
                <w:szCs w:val="28"/>
              </w:rPr>
              <w:t>湘财苑绩评字[2021]1-015号</w:t>
            </w:r>
          </w:p>
        </w:tc>
      </w:tr>
    </w:tbl>
    <w:p w:rsidR="00D12885" w:rsidRDefault="00525D86">
      <w:pPr>
        <w:ind w:firstLineChars="250" w:firstLine="600"/>
        <w:rPr>
          <w:rFonts w:ascii="仿宋" w:eastAsia="仿宋" w:hAnsi="仿宋"/>
          <w:sz w:val="24"/>
          <w:szCs w:val="24"/>
        </w:rPr>
      </w:pPr>
      <w:r>
        <w:rPr>
          <w:rFonts w:ascii="仿宋" w:eastAsia="仿宋" w:hAnsi="仿宋" w:hint="eastAsia"/>
          <w:sz w:val="24"/>
          <w:szCs w:val="24"/>
        </w:rPr>
        <w:t>为进一步规范财政资金管理，强化财政资金支出绩效理念，切实提高财政资金使用效益，根据《中共中央 国务院关于全面实施预算绩效管理的意见》（中发〔2018〕34号）、《中共湖南省委办公厅、湖南省人民政府办公厅关于全面实施绩效管理的实施意见》（湘办发〔2019〕10号）、《预算绩效管理工作考核办法》（湘财绩〔2015〕15号）、《南县财政局关于对2020年度专项资金开展重点绩效评价工作的通知》（南财绩函[2021]10号）等文件要求，受南县财政局的委托，我所成立专项资金绩效评价工作组，于2021年4月26日—6月28日对南县文化旅游广电体育局2020年度“地花鼓发展专项”资金（以下简称项目资金）开展了绩效评价。现将有关情况报告如下：</w:t>
      </w:r>
    </w:p>
    <w:p w:rsidR="00D12885" w:rsidRDefault="00525D86">
      <w:pPr>
        <w:pStyle w:val="aa"/>
        <w:ind w:firstLineChars="250" w:firstLine="803"/>
        <w:rPr>
          <w:rFonts w:ascii="仿宋" w:eastAsia="仿宋" w:hAnsi="仿宋"/>
          <w:b/>
          <w:sz w:val="32"/>
          <w:szCs w:val="32"/>
        </w:rPr>
      </w:pPr>
      <w:r>
        <w:rPr>
          <w:rFonts w:ascii="仿宋" w:eastAsia="仿宋" w:hAnsi="仿宋" w:hint="eastAsia"/>
          <w:b/>
          <w:sz w:val="32"/>
          <w:szCs w:val="32"/>
        </w:rPr>
        <w:t>一、基本情况</w:t>
      </w:r>
    </w:p>
    <w:p w:rsidR="00D12885" w:rsidRDefault="00525D86">
      <w:pPr>
        <w:pStyle w:val="a7"/>
        <w:shd w:val="clear" w:color="auto" w:fill="FFFFFF"/>
        <w:spacing w:before="0" w:beforeAutospacing="0" w:after="0" w:afterAutospacing="0"/>
        <w:ind w:firstLine="482"/>
        <w:rPr>
          <w:rFonts w:ascii="仿宋" w:eastAsia="仿宋" w:hAnsi="仿宋"/>
        </w:rPr>
      </w:pPr>
      <w:r>
        <w:rPr>
          <w:rFonts w:ascii="仿宋" w:eastAsia="仿宋" w:hAnsi="仿宋" w:hint="eastAsia"/>
        </w:rPr>
        <w:t>（一）项目单位基本情况。南县文化旅游广电体育局（以下简称县文旅广体局）是县政府工作部门，为正科级，加挂县文化市场综合行政执法局牌子，对外使用县文物局名称。主要职责为：1.贯彻执行有关文化艺术、体育、广播电视和体育工作的法律、法规和政策，起草有关地方性法规、规章草案。2.统筹规划全县文化、文物、旅游、广播电视、体育领域事业产业发展；3.管理全县重大文化、旅游、广播电视和体育活动，制定相关市场开发战略并组织实施、指导、推进全域旅游和红色旅游；4.统筹规划全县文旅广体产业，组织实施文化、文物、旅游、广播资源普查、挖掘、保护、开发和利用工作，负责体育彩票销售的监督管理等；内设：办公室、综合文化股、体育管理股、全域旅游推进股、财务计划股、人事</w:t>
      </w:r>
      <w:r>
        <w:rPr>
          <w:rFonts w:ascii="仿宋" w:eastAsia="仿宋" w:hAnsi="仿宋" w:hint="eastAsia"/>
        </w:rPr>
        <w:lastRenderedPageBreak/>
        <w:t>股、广播电视管理股等7个股室。总编制为80名，其中县文旅广体局机关行政编11名（其中：局长1名，副局长4名，总工程师1名，股级职数7名（含兼职））、副科级公益一类事业单位核定全额拨款事业编制31名。</w:t>
      </w:r>
    </w:p>
    <w:p w:rsidR="00D12885" w:rsidRDefault="00525D86">
      <w:pPr>
        <w:pStyle w:val="a7"/>
        <w:shd w:val="clear" w:color="auto" w:fill="FFFFFF"/>
        <w:spacing w:before="0" w:beforeAutospacing="0" w:after="0" w:afterAutospacing="0"/>
        <w:ind w:firstLineChars="200" w:firstLine="480"/>
        <w:rPr>
          <w:rFonts w:ascii="仿宋" w:eastAsia="仿宋" w:hAnsi="仿宋"/>
        </w:rPr>
      </w:pPr>
      <w:r>
        <w:rPr>
          <w:rFonts w:ascii="仿宋" w:eastAsia="仿宋" w:hAnsi="仿宋" w:hint="eastAsia"/>
        </w:rPr>
        <w:t>（二）项目基本情况。根据2011年12月14日，县委书记徐德华在县文化广播电视旅游局会议室主持召开会议形成的《中国共产党南县委员会县四家领导会议纪要》（南委字[2012]2号）,同意成立县地花鼓艺术研究会，为民间协会组织，由县文化广播电视旅游局按程序进行审批；同意县财政从2012年起每年安排地花鼓专项经费50万元。</w:t>
      </w:r>
    </w:p>
    <w:p w:rsidR="00D12885" w:rsidRDefault="00525D86">
      <w:pPr>
        <w:pStyle w:val="a7"/>
        <w:shd w:val="clear" w:color="auto" w:fill="FFFFFF"/>
        <w:spacing w:before="0" w:beforeAutospacing="0" w:after="0" w:afterAutospacing="0"/>
        <w:ind w:firstLineChars="200" w:firstLine="480"/>
        <w:rPr>
          <w:rFonts w:ascii="仿宋" w:eastAsia="仿宋" w:hAnsi="仿宋"/>
        </w:rPr>
      </w:pPr>
      <w:r>
        <w:rPr>
          <w:rFonts w:ascii="仿宋" w:eastAsia="仿宋" w:hAnsi="仿宋" w:hint="eastAsia"/>
        </w:rPr>
        <w:t>（三）项目绩效目标。根据《财政性资金拨付财政局审批表》，2020年县级地花鼓传承保护专项资金项目具体内容为：2020年端午节送戏下乡（全</w:t>
      </w:r>
      <w:r w:rsidR="00C44ED6">
        <w:rPr>
          <w:rFonts w:ascii="仿宋" w:eastAsia="仿宋" w:hAnsi="仿宋" w:hint="eastAsia"/>
        </w:rPr>
        <w:t>年</w:t>
      </w:r>
      <w:r>
        <w:rPr>
          <w:rFonts w:ascii="仿宋" w:eastAsia="仿宋" w:hAnsi="仿宋" w:hint="eastAsia"/>
        </w:rPr>
        <w:t>计划60场）30万元，地花鼓培训6万元，地花鼓剧本创作4万元，地花鼓刊物8万元，非遗宣传展示2万元。文旅广体局设定的绩效目标为：送戏下乡大于36次、剧本创作大于2个、服务群众大于25600人次。</w:t>
      </w:r>
    </w:p>
    <w:p w:rsidR="00D12885" w:rsidRDefault="00525D86">
      <w:pPr>
        <w:pStyle w:val="a7"/>
        <w:shd w:val="clear" w:color="auto" w:fill="FFFFFF"/>
        <w:spacing w:before="0" w:beforeAutospacing="0" w:after="0" w:afterAutospacing="0"/>
        <w:ind w:firstLineChars="200" w:firstLine="480"/>
        <w:rPr>
          <w:rFonts w:ascii="仿宋" w:eastAsia="仿宋" w:hAnsi="仿宋"/>
        </w:rPr>
      </w:pPr>
      <w:r>
        <w:rPr>
          <w:rFonts w:ascii="仿宋" w:eastAsia="仿宋" w:hAnsi="仿宋" w:hint="eastAsia"/>
        </w:rPr>
        <w:t>（四）项目绩效目标完成情况。2020年县文旅广体局全年完成送戏下乡共74场，其中，文化科技卫生“三下乡”活动送戏2场，“我们的中国梦”文化进万家送戏30场，“湖南公共文化进村入户-戏曲进乡村”文化惠民演出42场。剧本创作及录制歌曲2首、前往昆山参见学习2020年戏曲百戏（昆山）盛典1次。</w:t>
      </w:r>
    </w:p>
    <w:p w:rsidR="00D12885" w:rsidRDefault="00525D86">
      <w:pPr>
        <w:ind w:firstLineChars="150" w:firstLine="482"/>
        <w:rPr>
          <w:rFonts w:ascii="仿宋" w:eastAsia="仿宋" w:hAnsi="仿宋"/>
          <w:b/>
          <w:sz w:val="32"/>
          <w:szCs w:val="32"/>
        </w:rPr>
      </w:pPr>
      <w:r>
        <w:rPr>
          <w:rFonts w:ascii="仿宋" w:eastAsia="仿宋" w:hAnsi="仿宋" w:hint="eastAsia"/>
          <w:b/>
          <w:sz w:val="32"/>
          <w:szCs w:val="32"/>
        </w:rPr>
        <w:t>二、项目资金使用及管理情况</w:t>
      </w:r>
    </w:p>
    <w:p w:rsidR="00D12885" w:rsidRDefault="00525D86">
      <w:pPr>
        <w:ind w:firstLineChars="200" w:firstLine="480"/>
        <w:rPr>
          <w:rFonts w:ascii="仿宋" w:eastAsia="仿宋" w:hAnsi="仿宋"/>
          <w:sz w:val="24"/>
          <w:szCs w:val="24"/>
        </w:rPr>
      </w:pPr>
      <w:r>
        <w:rPr>
          <w:rFonts w:ascii="仿宋" w:eastAsia="仿宋" w:hAnsi="仿宋" w:hint="eastAsia"/>
          <w:sz w:val="24"/>
          <w:szCs w:val="24"/>
        </w:rPr>
        <w:t>（一）项目资金到位情况。“地花鼓发展专项”县财政预算安排项目资金50.00万元，县财政实际拨款到们金额50.00万元，资金到位率100%。</w:t>
      </w:r>
    </w:p>
    <w:p w:rsidR="00D12885" w:rsidRDefault="00525D86">
      <w:pPr>
        <w:ind w:firstLineChars="200" w:firstLine="480"/>
        <w:rPr>
          <w:rFonts w:ascii="仿宋" w:eastAsia="仿宋" w:hAnsi="仿宋"/>
          <w:sz w:val="24"/>
          <w:szCs w:val="24"/>
        </w:rPr>
      </w:pPr>
      <w:r>
        <w:rPr>
          <w:rFonts w:ascii="仿宋" w:eastAsia="仿宋" w:hAnsi="仿宋" w:hint="eastAsia"/>
          <w:color w:val="000000" w:themeColor="text1"/>
          <w:sz w:val="24"/>
          <w:szCs w:val="24"/>
        </w:rPr>
        <w:t>（二）项目资金</w:t>
      </w:r>
      <w:r>
        <w:rPr>
          <w:rFonts w:ascii="仿宋" w:eastAsia="仿宋" w:hAnsi="仿宋" w:hint="eastAsia"/>
          <w:sz w:val="24"/>
          <w:szCs w:val="24"/>
        </w:rPr>
        <w:t>使用</w:t>
      </w:r>
      <w:r>
        <w:rPr>
          <w:rFonts w:ascii="仿宋" w:eastAsia="仿宋" w:hAnsi="仿宋" w:hint="eastAsia"/>
          <w:color w:val="000000" w:themeColor="text1"/>
          <w:sz w:val="24"/>
          <w:szCs w:val="24"/>
        </w:rPr>
        <w:t>情况。</w:t>
      </w:r>
      <w:r>
        <w:rPr>
          <w:rFonts w:ascii="仿宋" w:eastAsia="仿宋" w:hAnsi="仿宋" w:hint="eastAsia"/>
          <w:sz w:val="24"/>
          <w:szCs w:val="24"/>
        </w:rPr>
        <w:t>县文旅广体局“地花鼓发展专项”2020年实际使用资金501,590.00元。资金明细情况如下：</w:t>
      </w:r>
    </w:p>
    <w:tbl>
      <w:tblPr>
        <w:tblW w:w="8226" w:type="dxa"/>
        <w:tblInd w:w="93" w:type="dxa"/>
        <w:tblLook w:val="04A0"/>
      </w:tblPr>
      <w:tblGrid>
        <w:gridCol w:w="705"/>
        <w:gridCol w:w="1080"/>
        <w:gridCol w:w="1660"/>
        <w:gridCol w:w="1252"/>
        <w:gridCol w:w="1187"/>
        <w:gridCol w:w="1090"/>
        <w:gridCol w:w="1252"/>
      </w:tblGrid>
      <w:tr w:rsidR="00D12885">
        <w:trPr>
          <w:trHeight w:val="690"/>
        </w:trPr>
        <w:tc>
          <w:tcPr>
            <w:tcW w:w="705" w:type="dxa"/>
            <w:tcBorders>
              <w:top w:val="single" w:sz="8" w:space="0" w:color="000000"/>
              <w:left w:val="single" w:sz="8" w:space="0" w:color="000000"/>
              <w:bottom w:val="single" w:sz="8" w:space="0" w:color="000000"/>
              <w:right w:val="single" w:sz="8" w:space="0" w:color="000000"/>
            </w:tcBorders>
            <w:shd w:val="clear" w:color="auto" w:fill="auto"/>
            <w:vAlign w:val="center"/>
          </w:tcPr>
          <w:p w:rsidR="00D12885" w:rsidRPr="007B3E1B" w:rsidRDefault="00525D86">
            <w:pPr>
              <w:jc w:val="center"/>
              <w:textAlignment w:val="center"/>
              <w:rPr>
                <w:rFonts w:ascii="仿宋" w:eastAsia="仿宋" w:hAnsi="仿宋" w:cs="宋体"/>
                <w:color w:val="000000"/>
                <w:sz w:val="18"/>
                <w:szCs w:val="18"/>
              </w:rPr>
            </w:pPr>
            <w:r w:rsidRPr="007B3E1B">
              <w:rPr>
                <w:rFonts w:ascii="仿宋" w:eastAsia="仿宋" w:hAnsi="仿宋" w:cs="宋体" w:hint="eastAsia"/>
                <w:color w:val="000000"/>
                <w:kern w:val="0"/>
                <w:sz w:val="18"/>
                <w:szCs w:val="18"/>
              </w:rPr>
              <w:t>序号</w:t>
            </w:r>
          </w:p>
        </w:tc>
        <w:tc>
          <w:tcPr>
            <w:tcW w:w="1080" w:type="dxa"/>
            <w:tcBorders>
              <w:top w:val="single" w:sz="8" w:space="0" w:color="000000"/>
              <w:left w:val="nil"/>
              <w:bottom w:val="single" w:sz="8" w:space="0" w:color="000000"/>
              <w:right w:val="single" w:sz="8" w:space="0" w:color="000000"/>
            </w:tcBorders>
            <w:shd w:val="clear" w:color="auto" w:fill="auto"/>
            <w:vAlign w:val="center"/>
          </w:tcPr>
          <w:p w:rsidR="00D12885" w:rsidRPr="007B3E1B" w:rsidRDefault="00525D86">
            <w:pPr>
              <w:jc w:val="center"/>
              <w:textAlignment w:val="center"/>
              <w:rPr>
                <w:rFonts w:ascii="仿宋" w:eastAsia="仿宋" w:hAnsi="仿宋" w:cs="宋体"/>
                <w:color w:val="000000"/>
                <w:sz w:val="18"/>
                <w:szCs w:val="18"/>
              </w:rPr>
            </w:pPr>
            <w:r w:rsidRPr="007B3E1B">
              <w:rPr>
                <w:rFonts w:ascii="仿宋" w:eastAsia="仿宋" w:hAnsi="仿宋" w:cs="宋体" w:hint="eastAsia"/>
                <w:color w:val="000000"/>
                <w:kern w:val="0"/>
                <w:sz w:val="18"/>
                <w:szCs w:val="18"/>
              </w:rPr>
              <w:t>年初预算（万元）</w:t>
            </w:r>
          </w:p>
        </w:tc>
        <w:tc>
          <w:tcPr>
            <w:tcW w:w="1660" w:type="dxa"/>
            <w:tcBorders>
              <w:top w:val="single" w:sz="8" w:space="0" w:color="000000"/>
              <w:left w:val="nil"/>
              <w:bottom w:val="single" w:sz="8" w:space="0" w:color="000000"/>
              <w:right w:val="single" w:sz="8" w:space="0" w:color="000000"/>
            </w:tcBorders>
            <w:shd w:val="clear" w:color="auto" w:fill="auto"/>
            <w:vAlign w:val="center"/>
          </w:tcPr>
          <w:p w:rsidR="00D12885" w:rsidRPr="007B3E1B" w:rsidRDefault="00525D86">
            <w:pPr>
              <w:jc w:val="center"/>
              <w:textAlignment w:val="center"/>
              <w:rPr>
                <w:rFonts w:ascii="仿宋" w:eastAsia="仿宋" w:hAnsi="仿宋" w:cs="宋体"/>
                <w:color w:val="000000"/>
                <w:sz w:val="18"/>
                <w:szCs w:val="18"/>
              </w:rPr>
            </w:pPr>
            <w:r w:rsidRPr="007B3E1B">
              <w:rPr>
                <w:rFonts w:ascii="仿宋" w:eastAsia="仿宋" w:hAnsi="仿宋" w:cs="宋体" w:hint="eastAsia"/>
                <w:color w:val="000000"/>
                <w:kern w:val="0"/>
                <w:sz w:val="18"/>
                <w:szCs w:val="18"/>
              </w:rPr>
              <w:t>本年开支项目</w:t>
            </w:r>
          </w:p>
        </w:tc>
        <w:tc>
          <w:tcPr>
            <w:tcW w:w="1252" w:type="dxa"/>
            <w:tcBorders>
              <w:top w:val="single" w:sz="8" w:space="0" w:color="000000"/>
              <w:left w:val="nil"/>
              <w:bottom w:val="single" w:sz="8" w:space="0" w:color="000000"/>
              <w:right w:val="single" w:sz="8" w:space="0" w:color="000000"/>
            </w:tcBorders>
            <w:shd w:val="clear" w:color="auto" w:fill="auto"/>
            <w:vAlign w:val="center"/>
          </w:tcPr>
          <w:p w:rsidR="00D12885" w:rsidRPr="007B3E1B" w:rsidRDefault="00525D86">
            <w:pPr>
              <w:jc w:val="center"/>
              <w:textAlignment w:val="center"/>
              <w:rPr>
                <w:rFonts w:ascii="仿宋" w:eastAsia="仿宋" w:hAnsi="仿宋" w:cs="宋体"/>
                <w:color w:val="000000"/>
                <w:sz w:val="18"/>
                <w:szCs w:val="18"/>
              </w:rPr>
            </w:pPr>
            <w:r w:rsidRPr="007B3E1B">
              <w:rPr>
                <w:rFonts w:ascii="仿宋" w:eastAsia="仿宋" w:hAnsi="仿宋" w:cs="宋体" w:hint="eastAsia"/>
                <w:color w:val="000000"/>
                <w:kern w:val="0"/>
                <w:sz w:val="18"/>
                <w:szCs w:val="18"/>
              </w:rPr>
              <w:t>本年支出金额（元）</w:t>
            </w:r>
          </w:p>
        </w:tc>
        <w:tc>
          <w:tcPr>
            <w:tcW w:w="1187" w:type="dxa"/>
            <w:tcBorders>
              <w:top w:val="single" w:sz="8" w:space="0" w:color="000000"/>
              <w:left w:val="nil"/>
              <w:bottom w:val="single" w:sz="8" w:space="0" w:color="000000"/>
              <w:right w:val="single" w:sz="8" w:space="0" w:color="000000"/>
            </w:tcBorders>
            <w:shd w:val="clear" w:color="auto" w:fill="auto"/>
            <w:vAlign w:val="center"/>
          </w:tcPr>
          <w:p w:rsidR="00D12885" w:rsidRPr="007B3E1B" w:rsidRDefault="00525D86">
            <w:pPr>
              <w:jc w:val="center"/>
              <w:textAlignment w:val="center"/>
              <w:rPr>
                <w:rFonts w:ascii="仿宋" w:eastAsia="仿宋" w:hAnsi="仿宋" w:cs="宋体"/>
                <w:color w:val="000000"/>
                <w:sz w:val="18"/>
                <w:szCs w:val="18"/>
              </w:rPr>
            </w:pPr>
            <w:r w:rsidRPr="007B3E1B">
              <w:rPr>
                <w:rFonts w:ascii="仿宋" w:eastAsia="仿宋" w:hAnsi="仿宋" w:cs="宋体" w:hint="eastAsia"/>
                <w:color w:val="000000"/>
                <w:kern w:val="0"/>
                <w:sz w:val="18"/>
                <w:szCs w:val="18"/>
              </w:rPr>
              <w:t>支出资金总额（万元）</w:t>
            </w:r>
          </w:p>
        </w:tc>
        <w:tc>
          <w:tcPr>
            <w:tcW w:w="1090" w:type="dxa"/>
            <w:tcBorders>
              <w:top w:val="single" w:sz="8" w:space="0" w:color="000000"/>
              <w:left w:val="nil"/>
              <w:bottom w:val="single" w:sz="8" w:space="0" w:color="000000"/>
              <w:right w:val="single" w:sz="8" w:space="0" w:color="000000"/>
            </w:tcBorders>
            <w:shd w:val="clear" w:color="auto" w:fill="auto"/>
            <w:vAlign w:val="center"/>
          </w:tcPr>
          <w:p w:rsidR="00D12885" w:rsidRPr="007B3E1B" w:rsidRDefault="00525D86">
            <w:pPr>
              <w:jc w:val="center"/>
              <w:textAlignment w:val="center"/>
              <w:rPr>
                <w:rFonts w:ascii="仿宋" w:eastAsia="仿宋" w:hAnsi="仿宋" w:cs="宋体"/>
                <w:color w:val="000000"/>
                <w:sz w:val="18"/>
                <w:szCs w:val="18"/>
              </w:rPr>
            </w:pPr>
            <w:r w:rsidRPr="007B3E1B">
              <w:rPr>
                <w:rFonts w:ascii="仿宋" w:eastAsia="仿宋" w:hAnsi="仿宋" w:cs="宋体" w:hint="eastAsia"/>
                <w:color w:val="000000"/>
                <w:kern w:val="0"/>
                <w:sz w:val="18"/>
                <w:szCs w:val="18"/>
              </w:rPr>
              <w:t>占支出资金比例</w:t>
            </w:r>
          </w:p>
        </w:tc>
        <w:tc>
          <w:tcPr>
            <w:tcW w:w="1252" w:type="dxa"/>
            <w:tcBorders>
              <w:top w:val="single" w:sz="8" w:space="0" w:color="000000"/>
              <w:left w:val="nil"/>
              <w:bottom w:val="single" w:sz="8" w:space="0" w:color="000000"/>
              <w:right w:val="single" w:sz="8" w:space="0" w:color="000000"/>
            </w:tcBorders>
            <w:shd w:val="clear" w:color="auto" w:fill="auto"/>
            <w:vAlign w:val="center"/>
          </w:tcPr>
          <w:p w:rsidR="00D12885" w:rsidRPr="007B3E1B" w:rsidRDefault="00525D86">
            <w:pPr>
              <w:jc w:val="center"/>
              <w:textAlignment w:val="center"/>
              <w:rPr>
                <w:rFonts w:ascii="仿宋" w:eastAsia="仿宋" w:hAnsi="仿宋" w:cs="宋体"/>
                <w:color w:val="000000"/>
                <w:sz w:val="18"/>
                <w:szCs w:val="18"/>
              </w:rPr>
            </w:pPr>
            <w:r w:rsidRPr="007B3E1B">
              <w:rPr>
                <w:rFonts w:ascii="仿宋" w:eastAsia="仿宋" w:hAnsi="仿宋" w:cs="宋体" w:hint="eastAsia"/>
                <w:color w:val="000000"/>
                <w:kern w:val="0"/>
                <w:sz w:val="18"/>
                <w:szCs w:val="18"/>
              </w:rPr>
              <w:t>预算执行率%</w:t>
            </w:r>
          </w:p>
        </w:tc>
      </w:tr>
      <w:tr w:rsidR="00D12885">
        <w:trPr>
          <w:trHeight w:val="555"/>
        </w:trPr>
        <w:tc>
          <w:tcPr>
            <w:tcW w:w="705" w:type="dxa"/>
            <w:tcBorders>
              <w:top w:val="nil"/>
              <w:left w:val="single" w:sz="8" w:space="0" w:color="000000"/>
              <w:bottom w:val="single" w:sz="8" w:space="0" w:color="000000"/>
              <w:right w:val="single" w:sz="8" w:space="0" w:color="000000"/>
            </w:tcBorders>
            <w:shd w:val="clear" w:color="auto" w:fill="auto"/>
            <w:vAlign w:val="center"/>
          </w:tcPr>
          <w:p w:rsidR="00D12885" w:rsidRPr="007B3E1B" w:rsidRDefault="00525D86">
            <w:pPr>
              <w:jc w:val="center"/>
              <w:textAlignment w:val="center"/>
              <w:rPr>
                <w:rFonts w:ascii="仿宋" w:eastAsia="仿宋" w:hAnsi="仿宋" w:cs="宋体"/>
                <w:color w:val="000000"/>
                <w:sz w:val="18"/>
                <w:szCs w:val="18"/>
              </w:rPr>
            </w:pPr>
            <w:r w:rsidRPr="007B3E1B">
              <w:rPr>
                <w:rFonts w:ascii="仿宋" w:eastAsia="仿宋" w:hAnsi="仿宋" w:cs="宋体" w:hint="eastAsia"/>
                <w:color w:val="000000"/>
                <w:kern w:val="0"/>
                <w:sz w:val="18"/>
                <w:szCs w:val="18"/>
              </w:rPr>
              <w:lastRenderedPageBreak/>
              <w:t>1</w:t>
            </w:r>
          </w:p>
        </w:tc>
        <w:tc>
          <w:tcPr>
            <w:tcW w:w="1080" w:type="dxa"/>
            <w:vMerge w:val="restart"/>
            <w:tcBorders>
              <w:top w:val="nil"/>
              <w:left w:val="nil"/>
              <w:bottom w:val="single" w:sz="8" w:space="0" w:color="000000"/>
              <w:right w:val="single" w:sz="8" w:space="0" w:color="000000"/>
            </w:tcBorders>
            <w:shd w:val="clear" w:color="auto" w:fill="auto"/>
            <w:vAlign w:val="center"/>
          </w:tcPr>
          <w:p w:rsidR="00D12885" w:rsidRPr="007B3E1B" w:rsidRDefault="00525D86">
            <w:pPr>
              <w:jc w:val="center"/>
              <w:textAlignment w:val="center"/>
              <w:rPr>
                <w:rFonts w:ascii="仿宋" w:eastAsia="仿宋" w:hAnsi="仿宋" w:cs="宋体"/>
                <w:color w:val="000000"/>
                <w:sz w:val="18"/>
                <w:szCs w:val="18"/>
              </w:rPr>
            </w:pPr>
            <w:r w:rsidRPr="007B3E1B">
              <w:rPr>
                <w:rFonts w:ascii="仿宋" w:eastAsia="仿宋" w:hAnsi="仿宋" w:cs="宋体" w:hint="eastAsia"/>
                <w:color w:val="000000"/>
                <w:kern w:val="0"/>
                <w:sz w:val="18"/>
                <w:szCs w:val="18"/>
              </w:rPr>
              <w:t>50</w:t>
            </w:r>
          </w:p>
        </w:tc>
        <w:tc>
          <w:tcPr>
            <w:tcW w:w="1660" w:type="dxa"/>
            <w:tcBorders>
              <w:top w:val="nil"/>
              <w:left w:val="nil"/>
              <w:bottom w:val="single" w:sz="8" w:space="0" w:color="000000"/>
              <w:right w:val="single" w:sz="8" w:space="0" w:color="000000"/>
            </w:tcBorders>
            <w:shd w:val="clear" w:color="auto" w:fill="auto"/>
            <w:vAlign w:val="center"/>
          </w:tcPr>
          <w:p w:rsidR="00D12885" w:rsidRPr="007B3E1B" w:rsidRDefault="00525D86">
            <w:pPr>
              <w:textAlignment w:val="center"/>
              <w:rPr>
                <w:rFonts w:ascii="仿宋" w:eastAsia="仿宋" w:hAnsi="仿宋" w:cs="宋体"/>
                <w:color w:val="000000"/>
                <w:sz w:val="18"/>
                <w:szCs w:val="18"/>
              </w:rPr>
            </w:pPr>
            <w:r w:rsidRPr="007B3E1B">
              <w:rPr>
                <w:rFonts w:ascii="仿宋" w:eastAsia="仿宋" w:hAnsi="仿宋" w:cs="宋体" w:hint="eastAsia"/>
                <w:color w:val="000000"/>
                <w:kern w:val="0"/>
                <w:sz w:val="18"/>
                <w:szCs w:val="18"/>
              </w:rPr>
              <w:t>送戏下乡</w:t>
            </w:r>
          </w:p>
        </w:tc>
        <w:tc>
          <w:tcPr>
            <w:tcW w:w="1252" w:type="dxa"/>
            <w:tcBorders>
              <w:top w:val="nil"/>
              <w:left w:val="nil"/>
              <w:bottom w:val="single" w:sz="8" w:space="0" w:color="000000"/>
              <w:right w:val="single" w:sz="8" w:space="0" w:color="000000"/>
            </w:tcBorders>
            <w:shd w:val="clear" w:color="auto" w:fill="auto"/>
            <w:vAlign w:val="center"/>
          </w:tcPr>
          <w:p w:rsidR="00D12885" w:rsidRPr="007B3E1B" w:rsidRDefault="00525D86">
            <w:pPr>
              <w:jc w:val="right"/>
              <w:textAlignment w:val="center"/>
              <w:rPr>
                <w:rFonts w:ascii="仿宋" w:eastAsia="仿宋" w:hAnsi="仿宋" w:cs="宋体"/>
                <w:color w:val="000000"/>
                <w:sz w:val="18"/>
                <w:szCs w:val="18"/>
              </w:rPr>
            </w:pPr>
            <w:r w:rsidRPr="007B3E1B">
              <w:rPr>
                <w:rFonts w:ascii="仿宋" w:eastAsia="仿宋" w:hAnsi="仿宋" w:cs="宋体" w:hint="eastAsia"/>
                <w:color w:val="000000"/>
                <w:kern w:val="0"/>
                <w:sz w:val="18"/>
                <w:szCs w:val="18"/>
              </w:rPr>
              <w:t>436,000.00</w:t>
            </w:r>
          </w:p>
        </w:tc>
        <w:tc>
          <w:tcPr>
            <w:tcW w:w="1187" w:type="dxa"/>
            <w:vMerge w:val="restart"/>
            <w:tcBorders>
              <w:top w:val="nil"/>
              <w:left w:val="nil"/>
              <w:bottom w:val="single" w:sz="8" w:space="0" w:color="000000"/>
              <w:right w:val="single" w:sz="8" w:space="0" w:color="000000"/>
            </w:tcBorders>
            <w:shd w:val="clear" w:color="auto" w:fill="auto"/>
            <w:vAlign w:val="center"/>
          </w:tcPr>
          <w:p w:rsidR="00D12885" w:rsidRPr="007B3E1B" w:rsidRDefault="00525D86">
            <w:pPr>
              <w:jc w:val="center"/>
              <w:textAlignment w:val="center"/>
              <w:rPr>
                <w:rFonts w:ascii="仿宋" w:eastAsia="仿宋" w:hAnsi="仿宋" w:cs="宋体"/>
                <w:color w:val="000000"/>
                <w:sz w:val="18"/>
                <w:szCs w:val="18"/>
              </w:rPr>
            </w:pPr>
            <w:r w:rsidRPr="007B3E1B">
              <w:rPr>
                <w:rFonts w:ascii="仿宋" w:eastAsia="仿宋" w:hAnsi="仿宋" w:cs="宋体" w:hint="eastAsia"/>
                <w:color w:val="000000"/>
                <w:kern w:val="0"/>
                <w:sz w:val="18"/>
                <w:szCs w:val="18"/>
              </w:rPr>
              <w:t>50.159</w:t>
            </w:r>
          </w:p>
        </w:tc>
        <w:tc>
          <w:tcPr>
            <w:tcW w:w="1090" w:type="dxa"/>
            <w:tcBorders>
              <w:top w:val="nil"/>
              <w:left w:val="nil"/>
              <w:bottom w:val="single" w:sz="8" w:space="0" w:color="000000"/>
              <w:right w:val="single" w:sz="8" w:space="0" w:color="000000"/>
            </w:tcBorders>
            <w:shd w:val="clear" w:color="auto" w:fill="auto"/>
            <w:vAlign w:val="center"/>
          </w:tcPr>
          <w:p w:rsidR="00D12885" w:rsidRPr="007B3E1B" w:rsidRDefault="00525D86">
            <w:pPr>
              <w:jc w:val="center"/>
              <w:textAlignment w:val="center"/>
              <w:rPr>
                <w:rFonts w:ascii="仿宋" w:eastAsia="仿宋" w:hAnsi="仿宋" w:cs="宋体"/>
                <w:color w:val="000000"/>
                <w:sz w:val="18"/>
                <w:szCs w:val="18"/>
              </w:rPr>
            </w:pPr>
            <w:r w:rsidRPr="007B3E1B">
              <w:rPr>
                <w:rFonts w:ascii="仿宋" w:eastAsia="仿宋" w:hAnsi="仿宋" w:cs="宋体" w:hint="eastAsia"/>
                <w:color w:val="000000"/>
                <w:kern w:val="0"/>
                <w:sz w:val="18"/>
                <w:szCs w:val="18"/>
              </w:rPr>
              <w:t>86.92%</w:t>
            </w:r>
          </w:p>
        </w:tc>
        <w:tc>
          <w:tcPr>
            <w:tcW w:w="1252" w:type="dxa"/>
            <w:vMerge w:val="restart"/>
            <w:tcBorders>
              <w:top w:val="nil"/>
              <w:left w:val="nil"/>
              <w:bottom w:val="nil"/>
              <w:right w:val="single" w:sz="8" w:space="0" w:color="000000"/>
            </w:tcBorders>
            <w:shd w:val="clear" w:color="auto" w:fill="auto"/>
            <w:vAlign w:val="center"/>
          </w:tcPr>
          <w:p w:rsidR="00D12885" w:rsidRPr="007B3E1B" w:rsidRDefault="00525D86">
            <w:pPr>
              <w:jc w:val="center"/>
              <w:textAlignment w:val="center"/>
              <w:rPr>
                <w:rFonts w:ascii="仿宋" w:eastAsia="仿宋" w:hAnsi="仿宋" w:cs="宋体"/>
                <w:color w:val="000000"/>
                <w:sz w:val="18"/>
                <w:szCs w:val="18"/>
              </w:rPr>
            </w:pPr>
            <w:r w:rsidRPr="007B3E1B">
              <w:rPr>
                <w:rFonts w:ascii="仿宋" w:eastAsia="仿宋" w:hAnsi="仿宋" w:cs="宋体" w:hint="eastAsia"/>
                <w:color w:val="000000"/>
                <w:kern w:val="0"/>
                <w:sz w:val="18"/>
                <w:szCs w:val="18"/>
              </w:rPr>
              <w:t xml:space="preserve">100.32 </w:t>
            </w:r>
          </w:p>
        </w:tc>
      </w:tr>
      <w:tr w:rsidR="00D12885">
        <w:trPr>
          <w:trHeight w:val="270"/>
        </w:trPr>
        <w:tc>
          <w:tcPr>
            <w:tcW w:w="705" w:type="dxa"/>
            <w:tcBorders>
              <w:top w:val="nil"/>
              <w:left w:val="single" w:sz="8" w:space="0" w:color="000000"/>
              <w:bottom w:val="single" w:sz="8" w:space="0" w:color="000000"/>
              <w:right w:val="single" w:sz="8" w:space="0" w:color="000000"/>
            </w:tcBorders>
            <w:shd w:val="clear" w:color="auto" w:fill="auto"/>
            <w:vAlign w:val="center"/>
          </w:tcPr>
          <w:p w:rsidR="00D12885" w:rsidRPr="007B3E1B" w:rsidRDefault="00525D86">
            <w:pPr>
              <w:jc w:val="center"/>
              <w:textAlignment w:val="center"/>
              <w:rPr>
                <w:rFonts w:ascii="仿宋" w:eastAsia="仿宋" w:hAnsi="仿宋" w:cs="宋体"/>
                <w:color w:val="000000"/>
                <w:sz w:val="18"/>
                <w:szCs w:val="18"/>
              </w:rPr>
            </w:pPr>
            <w:r w:rsidRPr="007B3E1B">
              <w:rPr>
                <w:rFonts w:ascii="仿宋" w:eastAsia="仿宋" w:hAnsi="仿宋" w:cs="宋体" w:hint="eastAsia"/>
                <w:color w:val="000000"/>
                <w:kern w:val="0"/>
                <w:sz w:val="18"/>
                <w:szCs w:val="18"/>
              </w:rPr>
              <w:t>2</w:t>
            </w:r>
          </w:p>
        </w:tc>
        <w:tc>
          <w:tcPr>
            <w:tcW w:w="1080" w:type="dxa"/>
            <w:vMerge/>
            <w:tcBorders>
              <w:top w:val="nil"/>
              <w:left w:val="nil"/>
              <w:bottom w:val="single" w:sz="8" w:space="0" w:color="000000"/>
              <w:right w:val="single" w:sz="8" w:space="0" w:color="000000"/>
            </w:tcBorders>
            <w:shd w:val="clear" w:color="auto" w:fill="auto"/>
            <w:vAlign w:val="center"/>
          </w:tcPr>
          <w:p w:rsidR="00D12885" w:rsidRPr="007B3E1B" w:rsidRDefault="00D12885">
            <w:pPr>
              <w:jc w:val="center"/>
              <w:rPr>
                <w:rFonts w:ascii="仿宋" w:eastAsia="仿宋" w:hAnsi="仿宋" w:cs="宋体"/>
                <w:color w:val="000000"/>
                <w:sz w:val="18"/>
                <w:szCs w:val="18"/>
              </w:rPr>
            </w:pPr>
          </w:p>
        </w:tc>
        <w:tc>
          <w:tcPr>
            <w:tcW w:w="1660" w:type="dxa"/>
            <w:tcBorders>
              <w:top w:val="nil"/>
              <w:left w:val="nil"/>
              <w:bottom w:val="single" w:sz="8" w:space="0" w:color="000000"/>
              <w:right w:val="single" w:sz="8" w:space="0" w:color="000000"/>
            </w:tcBorders>
            <w:shd w:val="clear" w:color="auto" w:fill="auto"/>
            <w:vAlign w:val="center"/>
          </w:tcPr>
          <w:p w:rsidR="00D12885" w:rsidRPr="007B3E1B" w:rsidRDefault="00525D86">
            <w:pPr>
              <w:textAlignment w:val="center"/>
              <w:rPr>
                <w:rFonts w:ascii="仿宋" w:eastAsia="仿宋" w:hAnsi="仿宋" w:cs="宋体"/>
                <w:color w:val="000000"/>
                <w:sz w:val="18"/>
                <w:szCs w:val="18"/>
              </w:rPr>
            </w:pPr>
            <w:r w:rsidRPr="007B3E1B">
              <w:rPr>
                <w:rFonts w:ascii="仿宋" w:eastAsia="仿宋" w:hAnsi="仿宋" w:cs="宋体" w:hint="eastAsia"/>
                <w:color w:val="000000"/>
                <w:kern w:val="0"/>
                <w:sz w:val="18"/>
                <w:szCs w:val="18"/>
              </w:rPr>
              <w:t>歌曲录制费</w:t>
            </w:r>
          </w:p>
        </w:tc>
        <w:tc>
          <w:tcPr>
            <w:tcW w:w="1252" w:type="dxa"/>
            <w:tcBorders>
              <w:top w:val="nil"/>
              <w:left w:val="nil"/>
              <w:bottom w:val="single" w:sz="8" w:space="0" w:color="000000"/>
              <w:right w:val="single" w:sz="8" w:space="0" w:color="000000"/>
            </w:tcBorders>
            <w:shd w:val="clear" w:color="auto" w:fill="auto"/>
            <w:vAlign w:val="center"/>
          </w:tcPr>
          <w:p w:rsidR="00D12885" w:rsidRPr="007B3E1B" w:rsidRDefault="00525D86">
            <w:pPr>
              <w:jc w:val="right"/>
              <w:textAlignment w:val="center"/>
              <w:rPr>
                <w:rFonts w:ascii="仿宋" w:eastAsia="仿宋" w:hAnsi="仿宋" w:cs="宋体"/>
                <w:color w:val="000000"/>
                <w:sz w:val="18"/>
                <w:szCs w:val="18"/>
              </w:rPr>
            </w:pPr>
            <w:r w:rsidRPr="007B3E1B">
              <w:rPr>
                <w:rFonts w:ascii="仿宋" w:eastAsia="仿宋" w:hAnsi="仿宋" w:cs="宋体" w:hint="eastAsia"/>
                <w:color w:val="000000"/>
                <w:kern w:val="0"/>
                <w:sz w:val="18"/>
                <w:szCs w:val="18"/>
              </w:rPr>
              <w:t>30,800.00</w:t>
            </w:r>
          </w:p>
        </w:tc>
        <w:tc>
          <w:tcPr>
            <w:tcW w:w="1187" w:type="dxa"/>
            <w:vMerge/>
            <w:tcBorders>
              <w:top w:val="nil"/>
              <w:left w:val="nil"/>
              <w:bottom w:val="single" w:sz="8" w:space="0" w:color="000000"/>
              <w:right w:val="single" w:sz="8" w:space="0" w:color="000000"/>
            </w:tcBorders>
            <w:shd w:val="clear" w:color="auto" w:fill="auto"/>
            <w:vAlign w:val="center"/>
          </w:tcPr>
          <w:p w:rsidR="00D12885" w:rsidRPr="007B3E1B" w:rsidRDefault="00D12885">
            <w:pPr>
              <w:jc w:val="center"/>
              <w:rPr>
                <w:rFonts w:ascii="仿宋" w:eastAsia="仿宋" w:hAnsi="仿宋" w:cs="宋体"/>
                <w:color w:val="000000"/>
                <w:sz w:val="18"/>
                <w:szCs w:val="18"/>
              </w:rPr>
            </w:pPr>
          </w:p>
        </w:tc>
        <w:tc>
          <w:tcPr>
            <w:tcW w:w="1090" w:type="dxa"/>
            <w:tcBorders>
              <w:top w:val="nil"/>
              <w:left w:val="nil"/>
              <w:bottom w:val="single" w:sz="8" w:space="0" w:color="000000"/>
              <w:right w:val="single" w:sz="8" w:space="0" w:color="000000"/>
            </w:tcBorders>
            <w:shd w:val="clear" w:color="auto" w:fill="auto"/>
            <w:vAlign w:val="center"/>
          </w:tcPr>
          <w:p w:rsidR="00D12885" w:rsidRPr="007B3E1B" w:rsidRDefault="00525D86">
            <w:pPr>
              <w:jc w:val="center"/>
              <w:textAlignment w:val="center"/>
              <w:rPr>
                <w:rFonts w:ascii="仿宋" w:eastAsia="仿宋" w:hAnsi="仿宋" w:cs="宋体"/>
                <w:color w:val="000000"/>
                <w:sz w:val="18"/>
                <w:szCs w:val="18"/>
              </w:rPr>
            </w:pPr>
            <w:r w:rsidRPr="007B3E1B">
              <w:rPr>
                <w:rFonts w:ascii="仿宋" w:eastAsia="仿宋" w:hAnsi="仿宋" w:cs="宋体" w:hint="eastAsia"/>
                <w:color w:val="000000"/>
                <w:kern w:val="0"/>
                <w:sz w:val="18"/>
                <w:szCs w:val="18"/>
              </w:rPr>
              <w:t>6.14%</w:t>
            </w:r>
          </w:p>
        </w:tc>
        <w:tc>
          <w:tcPr>
            <w:tcW w:w="1252" w:type="dxa"/>
            <w:vMerge/>
            <w:tcBorders>
              <w:top w:val="nil"/>
              <w:left w:val="nil"/>
              <w:bottom w:val="nil"/>
              <w:right w:val="single" w:sz="8" w:space="0" w:color="000000"/>
            </w:tcBorders>
            <w:shd w:val="clear" w:color="auto" w:fill="auto"/>
            <w:vAlign w:val="center"/>
          </w:tcPr>
          <w:p w:rsidR="00D12885" w:rsidRPr="007B3E1B" w:rsidRDefault="00D12885">
            <w:pPr>
              <w:jc w:val="center"/>
              <w:rPr>
                <w:rFonts w:ascii="仿宋" w:eastAsia="仿宋" w:hAnsi="仿宋" w:cs="宋体"/>
                <w:color w:val="000000"/>
                <w:sz w:val="18"/>
                <w:szCs w:val="18"/>
              </w:rPr>
            </w:pPr>
          </w:p>
        </w:tc>
      </w:tr>
      <w:tr w:rsidR="00D12885">
        <w:trPr>
          <w:trHeight w:val="465"/>
        </w:trPr>
        <w:tc>
          <w:tcPr>
            <w:tcW w:w="705" w:type="dxa"/>
            <w:tcBorders>
              <w:top w:val="nil"/>
              <w:left w:val="single" w:sz="8" w:space="0" w:color="000000"/>
              <w:bottom w:val="single" w:sz="8" w:space="0" w:color="000000"/>
              <w:right w:val="single" w:sz="8" w:space="0" w:color="000000"/>
            </w:tcBorders>
            <w:shd w:val="clear" w:color="auto" w:fill="auto"/>
            <w:vAlign w:val="center"/>
          </w:tcPr>
          <w:p w:rsidR="00D12885" w:rsidRPr="007B3E1B" w:rsidRDefault="00525D86">
            <w:pPr>
              <w:jc w:val="center"/>
              <w:textAlignment w:val="center"/>
              <w:rPr>
                <w:rFonts w:ascii="仿宋" w:eastAsia="仿宋" w:hAnsi="仿宋" w:cs="宋体"/>
                <w:color w:val="000000"/>
                <w:sz w:val="18"/>
                <w:szCs w:val="18"/>
              </w:rPr>
            </w:pPr>
            <w:r w:rsidRPr="007B3E1B">
              <w:rPr>
                <w:rFonts w:ascii="仿宋" w:eastAsia="仿宋" w:hAnsi="仿宋" w:cs="宋体" w:hint="eastAsia"/>
                <w:color w:val="000000"/>
                <w:kern w:val="0"/>
                <w:sz w:val="18"/>
                <w:szCs w:val="18"/>
              </w:rPr>
              <w:t>3</w:t>
            </w:r>
          </w:p>
        </w:tc>
        <w:tc>
          <w:tcPr>
            <w:tcW w:w="1080" w:type="dxa"/>
            <w:vMerge/>
            <w:tcBorders>
              <w:top w:val="nil"/>
              <w:left w:val="nil"/>
              <w:bottom w:val="single" w:sz="8" w:space="0" w:color="000000"/>
              <w:right w:val="single" w:sz="8" w:space="0" w:color="000000"/>
            </w:tcBorders>
            <w:shd w:val="clear" w:color="auto" w:fill="auto"/>
            <w:vAlign w:val="center"/>
          </w:tcPr>
          <w:p w:rsidR="00D12885" w:rsidRPr="007B3E1B" w:rsidRDefault="00D12885">
            <w:pPr>
              <w:jc w:val="center"/>
              <w:rPr>
                <w:rFonts w:ascii="仿宋" w:eastAsia="仿宋" w:hAnsi="仿宋" w:cs="宋体"/>
                <w:color w:val="000000"/>
                <w:sz w:val="18"/>
                <w:szCs w:val="18"/>
              </w:rPr>
            </w:pPr>
          </w:p>
        </w:tc>
        <w:tc>
          <w:tcPr>
            <w:tcW w:w="1660" w:type="dxa"/>
            <w:tcBorders>
              <w:top w:val="nil"/>
              <w:left w:val="nil"/>
              <w:bottom w:val="single" w:sz="8" w:space="0" w:color="000000"/>
              <w:right w:val="single" w:sz="8" w:space="0" w:color="000000"/>
            </w:tcBorders>
            <w:shd w:val="clear" w:color="auto" w:fill="auto"/>
            <w:vAlign w:val="center"/>
          </w:tcPr>
          <w:p w:rsidR="00D12885" w:rsidRPr="007B3E1B" w:rsidRDefault="00525D86">
            <w:pPr>
              <w:textAlignment w:val="center"/>
              <w:rPr>
                <w:rFonts w:ascii="仿宋" w:eastAsia="仿宋" w:hAnsi="仿宋" w:cs="宋体"/>
                <w:color w:val="000000"/>
                <w:sz w:val="18"/>
                <w:szCs w:val="18"/>
              </w:rPr>
            </w:pPr>
            <w:r w:rsidRPr="007B3E1B">
              <w:rPr>
                <w:rFonts w:ascii="仿宋" w:eastAsia="仿宋" w:hAnsi="仿宋" w:cs="宋体" w:hint="eastAsia"/>
                <w:color w:val="000000"/>
                <w:kern w:val="0"/>
                <w:sz w:val="18"/>
                <w:szCs w:val="18"/>
              </w:rPr>
              <w:t>临时工资和社保费</w:t>
            </w:r>
          </w:p>
        </w:tc>
        <w:tc>
          <w:tcPr>
            <w:tcW w:w="1252" w:type="dxa"/>
            <w:tcBorders>
              <w:top w:val="nil"/>
              <w:left w:val="nil"/>
              <w:bottom w:val="single" w:sz="8" w:space="0" w:color="000000"/>
              <w:right w:val="single" w:sz="8" w:space="0" w:color="000000"/>
            </w:tcBorders>
            <w:shd w:val="clear" w:color="auto" w:fill="auto"/>
            <w:vAlign w:val="center"/>
          </w:tcPr>
          <w:p w:rsidR="00D12885" w:rsidRPr="007B3E1B" w:rsidRDefault="00525D86">
            <w:pPr>
              <w:jc w:val="right"/>
              <w:textAlignment w:val="center"/>
              <w:rPr>
                <w:rFonts w:ascii="仿宋" w:eastAsia="仿宋" w:hAnsi="仿宋" w:cs="宋体"/>
                <w:color w:val="000000"/>
                <w:sz w:val="18"/>
                <w:szCs w:val="18"/>
              </w:rPr>
            </w:pPr>
            <w:r w:rsidRPr="007B3E1B">
              <w:rPr>
                <w:rFonts w:ascii="仿宋" w:eastAsia="仿宋" w:hAnsi="仿宋" w:cs="宋体" w:hint="eastAsia"/>
                <w:color w:val="000000"/>
                <w:kern w:val="0"/>
                <w:sz w:val="18"/>
                <w:szCs w:val="18"/>
              </w:rPr>
              <w:t>31,016.00</w:t>
            </w:r>
          </w:p>
        </w:tc>
        <w:tc>
          <w:tcPr>
            <w:tcW w:w="1187" w:type="dxa"/>
            <w:vMerge/>
            <w:tcBorders>
              <w:top w:val="nil"/>
              <w:left w:val="nil"/>
              <w:bottom w:val="single" w:sz="8" w:space="0" w:color="000000"/>
              <w:right w:val="single" w:sz="8" w:space="0" w:color="000000"/>
            </w:tcBorders>
            <w:shd w:val="clear" w:color="auto" w:fill="auto"/>
            <w:vAlign w:val="center"/>
          </w:tcPr>
          <w:p w:rsidR="00D12885" w:rsidRPr="007B3E1B" w:rsidRDefault="00D12885">
            <w:pPr>
              <w:jc w:val="center"/>
              <w:rPr>
                <w:rFonts w:ascii="仿宋" w:eastAsia="仿宋" w:hAnsi="仿宋" w:cs="宋体"/>
                <w:color w:val="000000"/>
                <w:sz w:val="18"/>
                <w:szCs w:val="18"/>
              </w:rPr>
            </w:pPr>
          </w:p>
        </w:tc>
        <w:tc>
          <w:tcPr>
            <w:tcW w:w="1090" w:type="dxa"/>
            <w:tcBorders>
              <w:top w:val="nil"/>
              <w:left w:val="nil"/>
              <w:bottom w:val="single" w:sz="8" w:space="0" w:color="000000"/>
              <w:right w:val="single" w:sz="8" w:space="0" w:color="000000"/>
            </w:tcBorders>
            <w:shd w:val="clear" w:color="auto" w:fill="auto"/>
            <w:vAlign w:val="center"/>
          </w:tcPr>
          <w:p w:rsidR="00D12885" w:rsidRPr="007B3E1B" w:rsidRDefault="00525D86">
            <w:pPr>
              <w:jc w:val="center"/>
              <w:textAlignment w:val="center"/>
              <w:rPr>
                <w:rFonts w:ascii="仿宋" w:eastAsia="仿宋" w:hAnsi="仿宋" w:cs="宋体"/>
                <w:color w:val="000000"/>
                <w:sz w:val="18"/>
                <w:szCs w:val="18"/>
              </w:rPr>
            </w:pPr>
            <w:r w:rsidRPr="007B3E1B">
              <w:rPr>
                <w:rFonts w:ascii="仿宋" w:eastAsia="仿宋" w:hAnsi="仿宋" w:cs="宋体" w:hint="eastAsia"/>
                <w:color w:val="000000"/>
                <w:kern w:val="0"/>
                <w:sz w:val="18"/>
                <w:szCs w:val="18"/>
              </w:rPr>
              <w:t>6.18%</w:t>
            </w:r>
          </w:p>
        </w:tc>
        <w:tc>
          <w:tcPr>
            <w:tcW w:w="1252" w:type="dxa"/>
            <w:vMerge/>
            <w:tcBorders>
              <w:top w:val="nil"/>
              <w:left w:val="nil"/>
              <w:bottom w:val="nil"/>
              <w:right w:val="single" w:sz="8" w:space="0" w:color="000000"/>
            </w:tcBorders>
            <w:shd w:val="clear" w:color="auto" w:fill="auto"/>
            <w:vAlign w:val="center"/>
          </w:tcPr>
          <w:p w:rsidR="00D12885" w:rsidRPr="007B3E1B" w:rsidRDefault="00D12885">
            <w:pPr>
              <w:jc w:val="center"/>
              <w:rPr>
                <w:rFonts w:ascii="仿宋" w:eastAsia="仿宋" w:hAnsi="仿宋" w:cs="宋体"/>
                <w:color w:val="000000"/>
                <w:sz w:val="18"/>
                <w:szCs w:val="18"/>
              </w:rPr>
            </w:pPr>
          </w:p>
        </w:tc>
      </w:tr>
      <w:tr w:rsidR="00D12885">
        <w:trPr>
          <w:trHeight w:val="555"/>
        </w:trPr>
        <w:tc>
          <w:tcPr>
            <w:tcW w:w="705" w:type="dxa"/>
            <w:tcBorders>
              <w:top w:val="nil"/>
              <w:left w:val="single" w:sz="8" w:space="0" w:color="000000"/>
              <w:bottom w:val="single" w:sz="8" w:space="0" w:color="000000"/>
              <w:right w:val="single" w:sz="8" w:space="0" w:color="000000"/>
            </w:tcBorders>
            <w:shd w:val="clear" w:color="auto" w:fill="auto"/>
            <w:vAlign w:val="center"/>
          </w:tcPr>
          <w:p w:rsidR="00D12885" w:rsidRPr="007B3E1B" w:rsidRDefault="00525D86">
            <w:pPr>
              <w:jc w:val="center"/>
              <w:textAlignment w:val="center"/>
              <w:rPr>
                <w:rFonts w:ascii="仿宋" w:eastAsia="仿宋" w:hAnsi="仿宋" w:cs="宋体"/>
                <w:color w:val="000000"/>
                <w:sz w:val="18"/>
                <w:szCs w:val="18"/>
              </w:rPr>
            </w:pPr>
            <w:r w:rsidRPr="007B3E1B">
              <w:rPr>
                <w:rFonts w:ascii="仿宋" w:eastAsia="仿宋" w:hAnsi="仿宋" w:cs="宋体" w:hint="eastAsia"/>
                <w:color w:val="000000"/>
                <w:kern w:val="0"/>
                <w:sz w:val="18"/>
                <w:szCs w:val="18"/>
              </w:rPr>
              <w:t>4</w:t>
            </w:r>
          </w:p>
        </w:tc>
        <w:tc>
          <w:tcPr>
            <w:tcW w:w="1080" w:type="dxa"/>
            <w:vMerge/>
            <w:tcBorders>
              <w:top w:val="nil"/>
              <w:left w:val="nil"/>
              <w:bottom w:val="single" w:sz="8" w:space="0" w:color="000000"/>
              <w:right w:val="single" w:sz="8" w:space="0" w:color="000000"/>
            </w:tcBorders>
            <w:shd w:val="clear" w:color="auto" w:fill="auto"/>
            <w:vAlign w:val="center"/>
          </w:tcPr>
          <w:p w:rsidR="00D12885" w:rsidRPr="007B3E1B" w:rsidRDefault="00D12885">
            <w:pPr>
              <w:jc w:val="center"/>
              <w:rPr>
                <w:rFonts w:ascii="仿宋" w:eastAsia="仿宋" w:hAnsi="仿宋" w:cs="宋体"/>
                <w:color w:val="000000"/>
                <w:sz w:val="18"/>
                <w:szCs w:val="18"/>
              </w:rPr>
            </w:pPr>
          </w:p>
        </w:tc>
        <w:tc>
          <w:tcPr>
            <w:tcW w:w="1660" w:type="dxa"/>
            <w:tcBorders>
              <w:top w:val="nil"/>
              <w:left w:val="nil"/>
              <w:bottom w:val="single" w:sz="8" w:space="0" w:color="000000"/>
              <w:right w:val="single" w:sz="8" w:space="0" w:color="000000"/>
            </w:tcBorders>
            <w:shd w:val="clear" w:color="auto" w:fill="auto"/>
            <w:vAlign w:val="center"/>
          </w:tcPr>
          <w:p w:rsidR="00D12885" w:rsidRPr="007B3E1B" w:rsidRDefault="00525D86">
            <w:pPr>
              <w:textAlignment w:val="center"/>
              <w:rPr>
                <w:rFonts w:ascii="仿宋" w:eastAsia="仿宋" w:hAnsi="仿宋" w:cs="宋体"/>
                <w:color w:val="000000"/>
                <w:sz w:val="18"/>
                <w:szCs w:val="18"/>
              </w:rPr>
            </w:pPr>
            <w:r w:rsidRPr="007B3E1B">
              <w:rPr>
                <w:rFonts w:ascii="仿宋" w:eastAsia="仿宋" w:hAnsi="仿宋" w:cs="宋体" w:hint="eastAsia"/>
                <w:color w:val="000000"/>
                <w:kern w:val="0"/>
                <w:sz w:val="18"/>
                <w:szCs w:val="18"/>
              </w:rPr>
              <w:t>差旅费</w:t>
            </w:r>
          </w:p>
        </w:tc>
        <w:tc>
          <w:tcPr>
            <w:tcW w:w="1252" w:type="dxa"/>
            <w:tcBorders>
              <w:top w:val="nil"/>
              <w:left w:val="nil"/>
              <w:bottom w:val="single" w:sz="8" w:space="0" w:color="000000"/>
              <w:right w:val="single" w:sz="8" w:space="0" w:color="000000"/>
            </w:tcBorders>
            <w:shd w:val="clear" w:color="auto" w:fill="auto"/>
            <w:vAlign w:val="center"/>
          </w:tcPr>
          <w:p w:rsidR="00D12885" w:rsidRPr="007B3E1B" w:rsidRDefault="00525D86">
            <w:pPr>
              <w:jc w:val="right"/>
              <w:textAlignment w:val="center"/>
              <w:rPr>
                <w:rFonts w:ascii="仿宋" w:eastAsia="仿宋" w:hAnsi="仿宋" w:cs="宋体"/>
                <w:color w:val="000000"/>
                <w:sz w:val="18"/>
                <w:szCs w:val="18"/>
              </w:rPr>
            </w:pPr>
            <w:r w:rsidRPr="007B3E1B">
              <w:rPr>
                <w:rFonts w:ascii="仿宋" w:eastAsia="仿宋" w:hAnsi="仿宋" w:cs="宋体" w:hint="eastAsia"/>
                <w:color w:val="000000"/>
                <w:kern w:val="0"/>
                <w:sz w:val="18"/>
                <w:szCs w:val="18"/>
              </w:rPr>
              <w:t>2,761.00</w:t>
            </w:r>
          </w:p>
        </w:tc>
        <w:tc>
          <w:tcPr>
            <w:tcW w:w="1187" w:type="dxa"/>
            <w:vMerge/>
            <w:tcBorders>
              <w:top w:val="nil"/>
              <w:left w:val="nil"/>
              <w:bottom w:val="single" w:sz="8" w:space="0" w:color="000000"/>
              <w:right w:val="single" w:sz="8" w:space="0" w:color="000000"/>
            </w:tcBorders>
            <w:shd w:val="clear" w:color="auto" w:fill="auto"/>
            <w:vAlign w:val="center"/>
          </w:tcPr>
          <w:p w:rsidR="00D12885" w:rsidRPr="007B3E1B" w:rsidRDefault="00D12885">
            <w:pPr>
              <w:jc w:val="center"/>
              <w:rPr>
                <w:rFonts w:ascii="仿宋" w:eastAsia="仿宋" w:hAnsi="仿宋" w:cs="宋体"/>
                <w:color w:val="000000"/>
                <w:sz w:val="18"/>
                <w:szCs w:val="18"/>
              </w:rPr>
            </w:pPr>
          </w:p>
        </w:tc>
        <w:tc>
          <w:tcPr>
            <w:tcW w:w="1090" w:type="dxa"/>
            <w:tcBorders>
              <w:top w:val="nil"/>
              <w:left w:val="nil"/>
              <w:bottom w:val="single" w:sz="8" w:space="0" w:color="000000"/>
              <w:right w:val="single" w:sz="8" w:space="0" w:color="000000"/>
            </w:tcBorders>
            <w:shd w:val="clear" w:color="auto" w:fill="auto"/>
            <w:vAlign w:val="center"/>
          </w:tcPr>
          <w:p w:rsidR="00D12885" w:rsidRPr="007B3E1B" w:rsidRDefault="00525D86">
            <w:pPr>
              <w:jc w:val="center"/>
              <w:textAlignment w:val="center"/>
              <w:rPr>
                <w:rFonts w:ascii="仿宋" w:eastAsia="仿宋" w:hAnsi="仿宋" w:cs="宋体"/>
                <w:color w:val="000000"/>
                <w:sz w:val="18"/>
                <w:szCs w:val="18"/>
              </w:rPr>
            </w:pPr>
            <w:r w:rsidRPr="007B3E1B">
              <w:rPr>
                <w:rFonts w:ascii="仿宋" w:eastAsia="仿宋" w:hAnsi="仿宋" w:cs="宋体" w:hint="eastAsia"/>
                <w:color w:val="000000"/>
                <w:kern w:val="0"/>
                <w:sz w:val="18"/>
                <w:szCs w:val="18"/>
              </w:rPr>
              <w:t>0.55%</w:t>
            </w:r>
          </w:p>
        </w:tc>
        <w:tc>
          <w:tcPr>
            <w:tcW w:w="1252" w:type="dxa"/>
            <w:vMerge/>
            <w:tcBorders>
              <w:top w:val="nil"/>
              <w:left w:val="nil"/>
              <w:bottom w:val="nil"/>
              <w:right w:val="single" w:sz="8" w:space="0" w:color="000000"/>
            </w:tcBorders>
            <w:shd w:val="clear" w:color="auto" w:fill="auto"/>
            <w:vAlign w:val="center"/>
          </w:tcPr>
          <w:p w:rsidR="00D12885" w:rsidRPr="007B3E1B" w:rsidRDefault="00D12885">
            <w:pPr>
              <w:jc w:val="center"/>
              <w:rPr>
                <w:rFonts w:ascii="仿宋" w:eastAsia="仿宋" w:hAnsi="仿宋" w:cs="宋体"/>
                <w:color w:val="000000"/>
                <w:sz w:val="18"/>
                <w:szCs w:val="18"/>
              </w:rPr>
            </w:pPr>
          </w:p>
        </w:tc>
      </w:tr>
      <w:tr w:rsidR="00D12885">
        <w:trPr>
          <w:trHeight w:val="285"/>
        </w:trPr>
        <w:tc>
          <w:tcPr>
            <w:tcW w:w="705" w:type="dxa"/>
            <w:tcBorders>
              <w:top w:val="nil"/>
              <w:left w:val="single" w:sz="8" w:space="0" w:color="000000"/>
              <w:bottom w:val="single" w:sz="8" w:space="0" w:color="000000"/>
              <w:right w:val="single" w:sz="8" w:space="0" w:color="000000"/>
            </w:tcBorders>
            <w:shd w:val="clear" w:color="auto" w:fill="auto"/>
            <w:vAlign w:val="center"/>
          </w:tcPr>
          <w:p w:rsidR="00D12885" w:rsidRPr="007B3E1B" w:rsidRDefault="00525D86">
            <w:pPr>
              <w:jc w:val="center"/>
              <w:textAlignment w:val="center"/>
              <w:rPr>
                <w:rFonts w:ascii="仿宋" w:eastAsia="仿宋" w:hAnsi="仿宋" w:cs="宋体"/>
                <w:color w:val="000000"/>
                <w:sz w:val="18"/>
                <w:szCs w:val="18"/>
              </w:rPr>
            </w:pPr>
            <w:r w:rsidRPr="007B3E1B">
              <w:rPr>
                <w:rFonts w:ascii="仿宋" w:eastAsia="仿宋" w:hAnsi="仿宋" w:cs="宋体" w:hint="eastAsia"/>
                <w:color w:val="000000"/>
                <w:kern w:val="0"/>
                <w:sz w:val="18"/>
                <w:szCs w:val="18"/>
              </w:rPr>
              <w:t>5</w:t>
            </w:r>
          </w:p>
        </w:tc>
        <w:tc>
          <w:tcPr>
            <w:tcW w:w="1080" w:type="dxa"/>
            <w:vMerge/>
            <w:tcBorders>
              <w:top w:val="nil"/>
              <w:left w:val="nil"/>
              <w:bottom w:val="single" w:sz="8" w:space="0" w:color="000000"/>
              <w:right w:val="single" w:sz="8" w:space="0" w:color="000000"/>
            </w:tcBorders>
            <w:shd w:val="clear" w:color="auto" w:fill="auto"/>
            <w:vAlign w:val="center"/>
          </w:tcPr>
          <w:p w:rsidR="00D12885" w:rsidRPr="007B3E1B" w:rsidRDefault="00D12885">
            <w:pPr>
              <w:jc w:val="center"/>
              <w:rPr>
                <w:rFonts w:ascii="仿宋" w:eastAsia="仿宋" w:hAnsi="仿宋" w:cs="宋体"/>
                <w:color w:val="000000"/>
                <w:sz w:val="18"/>
                <w:szCs w:val="18"/>
              </w:rPr>
            </w:pPr>
          </w:p>
        </w:tc>
        <w:tc>
          <w:tcPr>
            <w:tcW w:w="1660" w:type="dxa"/>
            <w:tcBorders>
              <w:top w:val="nil"/>
              <w:left w:val="nil"/>
              <w:bottom w:val="single" w:sz="8" w:space="0" w:color="000000"/>
              <w:right w:val="single" w:sz="8" w:space="0" w:color="000000"/>
            </w:tcBorders>
            <w:shd w:val="clear" w:color="auto" w:fill="auto"/>
            <w:vAlign w:val="center"/>
          </w:tcPr>
          <w:p w:rsidR="00D12885" w:rsidRPr="007B3E1B" w:rsidRDefault="00525D86">
            <w:pPr>
              <w:textAlignment w:val="center"/>
              <w:rPr>
                <w:rFonts w:ascii="仿宋" w:eastAsia="仿宋" w:hAnsi="仿宋" w:cs="宋体"/>
                <w:color w:val="000000"/>
                <w:sz w:val="18"/>
                <w:szCs w:val="18"/>
              </w:rPr>
            </w:pPr>
            <w:r w:rsidRPr="007B3E1B">
              <w:rPr>
                <w:rFonts w:ascii="仿宋" w:eastAsia="仿宋" w:hAnsi="仿宋" w:cs="宋体" w:hint="eastAsia"/>
                <w:color w:val="000000"/>
                <w:kern w:val="0"/>
                <w:sz w:val="18"/>
                <w:szCs w:val="18"/>
              </w:rPr>
              <w:t>餐饮费</w:t>
            </w:r>
          </w:p>
        </w:tc>
        <w:tc>
          <w:tcPr>
            <w:tcW w:w="1252" w:type="dxa"/>
            <w:tcBorders>
              <w:top w:val="nil"/>
              <w:left w:val="nil"/>
              <w:bottom w:val="single" w:sz="8" w:space="0" w:color="000000"/>
              <w:right w:val="single" w:sz="8" w:space="0" w:color="000000"/>
            </w:tcBorders>
            <w:shd w:val="clear" w:color="auto" w:fill="auto"/>
            <w:vAlign w:val="center"/>
          </w:tcPr>
          <w:p w:rsidR="00D12885" w:rsidRPr="007B3E1B" w:rsidRDefault="00525D86">
            <w:pPr>
              <w:jc w:val="right"/>
              <w:textAlignment w:val="center"/>
              <w:rPr>
                <w:rFonts w:ascii="仿宋" w:eastAsia="仿宋" w:hAnsi="仿宋" w:cs="宋体"/>
                <w:color w:val="000000"/>
                <w:sz w:val="18"/>
                <w:szCs w:val="18"/>
              </w:rPr>
            </w:pPr>
            <w:r w:rsidRPr="007B3E1B">
              <w:rPr>
                <w:rFonts w:ascii="仿宋" w:eastAsia="仿宋" w:hAnsi="仿宋" w:cs="宋体" w:hint="eastAsia"/>
                <w:color w:val="000000"/>
                <w:kern w:val="0"/>
                <w:sz w:val="18"/>
                <w:szCs w:val="18"/>
              </w:rPr>
              <w:t>1,013.00</w:t>
            </w:r>
          </w:p>
        </w:tc>
        <w:tc>
          <w:tcPr>
            <w:tcW w:w="1187" w:type="dxa"/>
            <w:vMerge/>
            <w:tcBorders>
              <w:top w:val="nil"/>
              <w:left w:val="nil"/>
              <w:bottom w:val="single" w:sz="8" w:space="0" w:color="000000"/>
              <w:right w:val="single" w:sz="8" w:space="0" w:color="000000"/>
            </w:tcBorders>
            <w:shd w:val="clear" w:color="auto" w:fill="auto"/>
            <w:vAlign w:val="center"/>
          </w:tcPr>
          <w:p w:rsidR="00D12885" w:rsidRPr="007B3E1B" w:rsidRDefault="00D12885">
            <w:pPr>
              <w:jc w:val="center"/>
              <w:rPr>
                <w:rFonts w:ascii="仿宋" w:eastAsia="仿宋" w:hAnsi="仿宋" w:cs="宋体"/>
                <w:color w:val="000000"/>
                <w:sz w:val="18"/>
                <w:szCs w:val="18"/>
              </w:rPr>
            </w:pPr>
          </w:p>
        </w:tc>
        <w:tc>
          <w:tcPr>
            <w:tcW w:w="1090" w:type="dxa"/>
            <w:tcBorders>
              <w:top w:val="nil"/>
              <w:left w:val="nil"/>
              <w:bottom w:val="single" w:sz="8" w:space="0" w:color="000000"/>
              <w:right w:val="single" w:sz="8" w:space="0" w:color="000000"/>
            </w:tcBorders>
            <w:shd w:val="clear" w:color="auto" w:fill="auto"/>
            <w:vAlign w:val="center"/>
          </w:tcPr>
          <w:p w:rsidR="00D12885" w:rsidRPr="007B3E1B" w:rsidRDefault="00525D86">
            <w:pPr>
              <w:jc w:val="center"/>
              <w:textAlignment w:val="center"/>
              <w:rPr>
                <w:rFonts w:ascii="仿宋" w:eastAsia="仿宋" w:hAnsi="仿宋" w:cs="宋体"/>
                <w:color w:val="000000"/>
                <w:sz w:val="18"/>
                <w:szCs w:val="18"/>
              </w:rPr>
            </w:pPr>
            <w:r w:rsidRPr="007B3E1B">
              <w:rPr>
                <w:rFonts w:ascii="仿宋" w:eastAsia="仿宋" w:hAnsi="仿宋" w:cs="宋体" w:hint="eastAsia"/>
                <w:color w:val="000000"/>
                <w:kern w:val="0"/>
                <w:sz w:val="18"/>
                <w:szCs w:val="18"/>
              </w:rPr>
              <w:t>0.20%</w:t>
            </w:r>
          </w:p>
        </w:tc>
        <w:tc>
          <w:tcPr>
            <w:tcW w:w="1252" w:type="dxa"/>
            <w:vMerge/>
            <w:tcBorders>
              <w:top w:val="nil"/>
              <w:left w:val="nil"/>
              <w:bottom w:val="nil"/>
              <w:right w:val="single" w:sz="8" w:space="0" w:color="000000"/>
            </w:tcBorders>
            <w:shd w:val="clear" w:color="auto" w:fill="auto"/>
            <w:vAlign w:val="center"/>
          </w:tcPr>
          <w:p w:rsidR="00D12885" w:rsidRPr="007B3E1B" w:rsidRDefault="00D12885">
            <w:pPr>
              <w:jc w:val="center"/>
              <w:rPr>
                <w:rFonts w:ascii="仿宋" w:eastAsia="仿宋" w:hAnsi="仿宋" w:cs="宋体"/>
                <w:color w:val="000000"/>
                <w:sz w:val="18"/>
                <w:szCs w:val="18"/>
              </w:rPr>
            </w:pPr>
          </w:p>
        </w:tc>
      </w:tr>
      <w:tr w:rsidR="00D12885">
        <w:trPr>
          <w:trHeight w:val="285"/>
        </w:trPr>
        <w:tc>
          <w:tcPr>
            <w:tcW w:w="705" w:type="dxa"/>
            <w:tcBorders>
              <w:top w:val="nil"/>
              <w:left w:val="single" w:sz="8" w:space="0" w:color="000000"/>
              <w:bottom w:val="single" w:sz="8" w:space="0" w:color="000000"/>
              <w:right w:val="single" w:sz="8" w:space="0" w:color="000000"/>
            </w:tcBorders>
            <w:shd w:val="clear" w:color="auto" w:fill="auto"/>
            <w:vAlign w:val="center"/>
          </w:tcPr>
          <w:p w:rsidR="00D12885" w:rsidRPr="007B3E1B" w:rsidRDefault="00525D86">
            <w:pPr>
              <w:jc w:val="center"/>
              <w:textAlignment w:val="center"/>
              <w:rPr>
                <w:rFonts w:ascii="仿宋" w:eastAsia="仿宋" w:hAnsi="仿宋" w:cs="宋体"/>
                <w:color w:val="000000"/>
                <w:sz w:val="18"/>
                <w:szCs w:val="18"/>
              </w:rPr>
            </w:pPr>
            <w:r w:rsidRPr="007B3E1B">
              <w:rPr>
                <w:rFonts w:ascii="仿宋" w:eastAsia="仿宋" w:hAnsi="仿宋" w:cs="宋体" w:hint="eastAsia"/>
                <w:color w:val="000000"/>
                <w:kern w:val="0"/>
                <w:sz w:val="18"/>
                <w:szCs w:val="18"/>
              </w:rPr>
              <w:t>合计</w:t>
            </w:r>
          </w:p>
        </w:tc>
        <w:tc>
          <w:tcPr>
            <w:tcW w:w="1080" w:type="dxa"/>
            <w:tcBorders>
              <w:top w:val="nil"/>
              <w:left w:val="nil"/>
              <w:bottom w:val="single" w:sz="8" w:space="0" w:color="000000"/>
              <w:right w:val="single" w:sz="8" w:space="0" w:color="000000"/>
            </w:tcBorders>
            <w:shd w:val="clear" w:color="auto" w:fill="auto"/>
            <w:vAlign w:val="center"/>
          </w:tcPr>
          <w:p w:rsidR="00D12885" w:rsidRPr="007B3E1B" w:rsidRDefault="00525D86">
            <w:pPr>
              <w:jc w:val="center"/>
              <w:textAlignment w:val="center"/>
              <w:rPr>
                <w:rFonts w:ascii="仿宋" w:eastAsia="仿宋" w:hAnsi="仿宋" w:cs="宋体"/>
                <w:color w:val="000000"/>
                <w:sz w:val="18"/>
                <w:szCs w:val="18"/>
              </w:rPr>
            </w:pPr>
            <w:r w:rsidRPr="007B3E1B">
              <w:rPr>
                <w:rFonts w:ascii="仿宋" w:eastAsia="仿宋" w:hAnsi="仿宋" w:cs="宋体" w:hint="eastAsia"/>
                <w:color w:val="000000"/>
                <w:kern w:val="0"/>
                <w:sz w:val="18"/>
                <w:szCs w:val="18"/>
              </w:rPr>
              <w:t>50</w:t>
            </w:r>
          </w:p>
        </w:tc>
        <w:tc>
          <w:tcPr>
            <w:tcW w:w="1660" w:type="dxa"/>
            <w:tcBorders>
              <w:top w:val="nil"/>
              <w:left w:val="nil"/>
              <w:bottom w:val="single" w:sz="8" w:space="0" w:color="000000"/>
              <w:right w:val="single" w:sz="8" w:space="0" w:color="000000"/>
            </w:tcBorders>
            <w:shd w:val="clear" w:color="auto" w:fill="auto"/>
            <w:vAlign w:val="center"/>
          </w:tcPr>
          <w:p w:rsidR="00D12885" w:rsidRPr="007B3E1B" w:rsidRDefault="00D12885">
            <w:pPr>
              <w:jc w:val="center"/>
              <w:rPr>
                <w:rFonts w:ascii="仿宋" w:eastAsia="仿宋" w:hAnsi="仿宋" w:cs="宋体"/>
                <w:color w:val="000000"/>
                <w:sz w:val="18"/>
                <w:szCs w:val="18"/>
              </w:rPr>
            </w:pPr>
          </w:p>
        </w:tc>
        <w:tc>
          <w:tcPr>
            <w:tcW w:w="1252" w:type="dxa"/>
            <w:tcBorders>
              <w:top w:val="nil"/>
              <w:left w:val="nil"/>
              <w:bottom w:val="single" w:sz="8" w:space="0" w:color="000000"/>
              <w:right w:val="single" w:sz="8" w:space="0" w:color="000000"/>
            </w:tcBorders>
            <w:shd w:val="clear" w:color="auto" w:fill="auto"/>
            <w:vAlign w:val="center"/>
          </w:tcPr>
          <w:p w:rsidR="00D12885" w:rsidRPr="007B3E1B" w:rsidRDefault="00525D86">
            <w:pPr>
              <w:jc w:val="right"/>
              <w:textAlignment w:val="center"/>
              <w:rPr>
                <w:rFonts w:ascii="仿宋" w:eastAsia="仿宋" w:hAnsi="仿宋" w:cs="宋体"/>
                <w:color w:val="000000"/>
                <w:sz w:val="18"/>
                <w:szCs w:val="18"/>
              </w:rPr>
            </w:pPr>
            <w:r w:rsidRPr="007B3E1B">
              <w:rPr>
                <w:rFonts w:ascii="仿宋" w:eastAsia="仿宋" w:hAnsi="仿宋" w:cs="宋体" w:hint="eastAsia"/>
                <w:color w:val="000000"/>
                <w:kern w:val="0"/>
                <w:sz w:val="18"/>
                <w:szCs w:val="18"/>
              </w:rPr>
              <w:t>501,590.00</w:t>
            </w:r>
          </w:p>
        </w:tc>
        <w:tc>
          <w:tcPr>
            <w:tcW w:w="1187" w:type="dxa"/>
            <w:tcBorders>
              <w:top w:val="nil"/>
              <w:left w:val="nil"/>
              <w:bottom w:val="single" w:sz="8" w:space="0" w:color="000000"/>
              <w:right w:val="single" w:sz="8" w:space="0" w:color="000000"/>
            </w:tcBorders>
            <w:shd w:val="clear" w:color="auto" w:fill="auto"/>
            <w:vAlign w:val="center"/>
          </w:tcPr>
          <w:p w:rsidR="00D12885" w:rsidRPr="007B3E1B" w:rsidRDefault="00525D86">
            <w:pPr>
              <w:jc w:val="center"/>
              <w:textAlignment w:val="center"/>
              <w:rPr>
                <w:rFonts w:ascii="仿宋" w:eastAsia="仿宋" w:hAnsi="仿宋" w:cs="宋体"/>
                <w:color w:val="000000"/>
                <w:sz w:val="18"/>
                <w:szCs w:val="18"/>
              </w:rPr>
            </w:pPr>
            <w:r w:rsidRPr="007B3E1B">
              <w:rPr>
                <w:rFonts w:ascii="仿宋" w:eastAsia="仿宋" w:hAnsi="仿宋" w:cs="宋体" w:hint="eastAsia"/>
                <w:color w:val="000000"/>
                <w:kern w:val="0"/>
                <w:sz w:val="18"/>
                <w:szCs w:val="18"/>
              </w:rPr>
              <w:t>50.16</w:t>
            </w:r>
          </w:p>
        </w:tc>
        <w:tc>
          <w:tcPr>
            <w:tcW w:w="1090" w:type="dxa"/>
            <w:tcBorders>
              <w:top w:val="nil"/>
              <w:left w:val="nil"/>
              <w:bottom w:val="single" w:sz="8" w:space="0" w:color="000000"/>
              <w:right w:val="nil"/>
            </w:tcBorders>
            <w:shd w:val="clear" w:color="auto" w:fill="auto"/>
            <w:vAlign w:val="center"/>
          </w:tcPr>
          <w:p w:rsidR="00D12885" w:rsidRPr="007B3E1B" w:rsidRDefault="00525D86">
            <w:pPr>
              <w:jc w:val="center"/>
              <w:textAlignment w:val="center"/>
              <w:rPr>
                <w:rFonts w:ascii="仿宋" w:eastAsia="仿宋" w:hAnsi="仿宋" w:cs="宋体"/>
                <w:color w:val="000000"/>
                <w:sz w:val="18"/>
                <w:szCs w:val="18"/>
              </w:rPr>
            </w:pPr>
            <w:r w:rsidRPr="007B3E1B">
              <w:rPr>
                <w:rFonts w:ascii="仿宋" w:eastAsia="仿宋" w:hAnsi="仿宋" w:cs="宋体" w:hint="eastAsia"/>
                <w:color w:val="000000"/>
                <w:kern w:val="0"/>
                <w:sz w:val="18"/>
                <w:szCs w:val="18"/>
              </w:rPr>
              <w:t>100.00%</w:t>
            </w:r>
          </w:p>
        </w:tc>
        <w:tc>
          <w:tcPr>
            <w:tcW w:w="1252" w:type="dxa"/>
            <w:tcBorders>
              <w:top w:val="single" w:sz="8" w:space="0" w:color="000000"/>
              <w:left w:val="single" w:sz="8" w:space="0" w:color="000000"/>
              <w:bottom w:val="single" w:sz="8" w:space="0" w:color="000000"/>
              <w:right w:val="single" w:sz="8" w:space="0" w:color="000000"/>
            </w:tcBorders>
            <w:shd w:val="clear" w:color="auto" w:fill="auto"/>
            <w:vAlign w:val="center"/>
          </w:tcPr>
          <w:p w:rsidR="00D12885" w:rsidRPr="007B3E1B" w:rsidRDefault="00525D86">
            <w:pPr>
              <w:jc w:val="center"/>
              <w:textAlignment w:val="center"/>
              <w:rPr>
                <w:rFonts w:ascii="仿宋" w:eastAsia="仿宋" w:hAnsi="仿宋" w:cs="宋体"/>
                <w:color w:val="000000"/>
                <w:sz w:val="18"/>
                <w:szCs w:val="18"/>
              </w:rPr>
            </w:pPr>
            <w:r w:rsidRPr="007B3E1B">
              <w:rPr>
                <w:rFonts w:ascii="仿宋" w:eastAsia="仿宋" w:hAnsi="仿宋" w:cs="宋体" w:hint="eastAsia"/>
                <w:color w:val="000000"/>
                <w:kern w:val="0"/>
                <w:sz w:val="18"/>
                <w:szCs w:val="18"/>
              </w:rPr>
              <w:t xml:space="preserve">100.32 </w:t>
            </w:r>
          </w:p>
        </w:tc>
      </w:tr>
    </w:tbl>
    <w:p w:rsidR="00D12885" w:rsidRDefault="00525D86">
      <w:pPr>
        <w:ind w:firstLineChars="200" w:firstLine="480"/>
        <w:rPr>
          <w:rFonts w:ascii="仿宋" w:eastAsia="仿宋" w:hAnsi="仿宋"/>
          <w:color w:val="000000" w:themeColor="text1"/>
          <w:sz w:val="24"/>
          <w:szCs w:val="24"/>
        </w:rPr>
      </w:pPr>
      <w:r>
        <w:rPr>
          <w:rFonts w:ascii="仿宋" w:eastAsia="仿宋" w:hAnsi="仿宋" w:hint="eastAsia"/>
          <w:color w:val="000000" w:themeColor="text1"/>
          <w:sz w:val="24"/>
          <w:szCs w:val="24"/>
        </w:rPr>
        <w:t>【备注：①送戏下乡43.6万元，其中：2019年送戏下乡费用10.00万元（20场戏），2020年送戏下乡费用33.6万元（74场戏）；②歌曲录制费3.08万，其中录制抗疫主题曲音乐录制费《生命的托付》1.13万元、录制歌曲《家乡的味道》1.95万元；③临时工：胡宁静-地花鼓专干，负责地花鼓培育。】</w:t>
      </w:r>
    </w:p>
    <w:p w:rsidR="00D12885" w:rsidRDefault="00525D86">
      <w:pPr>
        <w:ind w:firstLineChars="200" w:firstLine="480"/>
        <w:rPr>
          <w:rFonts w:ascii="仿宋" w:eastAsia="仿宋" w:hAnsi="仿宋"/>
          <w:color w:val="000000" w:themeColor="text1"/>
          <w:sz w:val="24"/>
          <w:szCs w:val="24"/>
        </w:rPr>
      </w:pPr>
      <w:r>
        <w:rPr>
          <w:rFonts w:ascii="仿宋" w:eastAsia="仿宋" w:hAnsi="仿宋" w:hint="eastAsia"/>
          <w:color w:val="000000" w:themeColor="text1"/>
          <w:sz w:val="24"/>
          <w:szCs w:val="24"/>
        </w:rPr>
        <w:t>（三）项目资金管理情况。</w:t>
      </w:r>
      <w:r>
        <w:rPr>
          <w:rFonts w:ascii="仿宋" w:eastAsia="仿宋" w:hAnsi="仿宋" w:hint="eastAsia"/>
          <w:sz w:val="24"/>
          <w:szCs w:val="24"/>
        </w:rPr>
        <w:t>项目资金全部通过国库集中支付，由南县财政局将县文旅广体局的预算经费分季度下达指标支付令，南县文化旅游广电体育局根据需要申请拨款，再由南县财政局国库集中支付，费用报销程序基本合规，相关手续较完善。</w:t>
      </w:r>
    </w:p>
    <w:p w:rsidR="00D12885" w:rsidRDefault="00525D86">
      <w:pPr>
        <w:tabs>
          <w:tab w:val="left" w:pos="5567"/>
        </w:tabs>
        <w:ind w:left="760"/>
        <w:rPr>
          <w:rFonts w:ascii="仿宋" w:eastAsia="仿宋" w:hAnsi="仿宋"/>
          <w:b/>
          <w:sz w:val="32"/>
          <w:szCs w:val="32"/>
        </w:rPr>
      </w:pPr>
      <w:r>
        <w:rPr>
          <w:rFonts w:ascii="仿宋" w:eastAsia="仿宋" w:hAnsi="仿宋" w:hint="eastAsia"/>
          <w:b/>
          <w:sz w:val="32"/>
          <w:szCs w:val="32"/>
        </w:rPr>
        <w:t>三、项目组织实施情况</w:t>
      </w:r>
      <w:r>
        <w:rPr>
          <w:rFonts w:ascii="仿宋" w:eastAsia="仿宋" w:hAnsi="仿宋" w:hint="eastAsia"/>
          <w:b/>
          <w:sz w:val="32"/>
          <w:szCs w:val="32"/>
        </w:rPr>
        <w:tab/>
      </w:r>
    </w:p>
    <w:p w:rsidR="00D12885" w:rsidRDefault="00525D86">
      <w:pPr>
        <w:ind w:firstLine="480"/>
        <w:rPr>
          <w:rFonts w:ascii="仿宋" w:eastAsia="仿宋" w:hAnsi="仿宋"/>
          <w:sz w:val="24"/>
          <w:szCs w:val="24"/>
        </w:rPr>
      </w:pPr>
      <w:r>
        <w:rPr>
          <w:rFonts w:ascii="仿宋" w:eastAsia="仿宋" w:hAnsi="仿宋" w:hint="eastAsia"/>
          <w:sz w:val="24"/>
          <w:szCs w:val="24"/>
        </w:rPr>
        <w:t>（一）制度建设情况。为进一步规范财政资金管理，强化财政资金支出绩效理念，切实提高财政资金使用效益，县文旅广体局制订了《南县文体局非物质文化遗产项目管理办法》、</w:t>
      </w:r>
      <w:bookmarkStart w:id="0" w:name="OLE_LINK3"/>
      <w:r>
        <w:rPr>
          <w:rFonts w:ascii="仿宋" w:eastAsia="仿宋" w:hAnsi="仿宋" w:hint="eastAsia"/>
          <w:sz w:val="24"/>
          <w:szCs w:val="24"/>
        </w:rPr>
        <w:t>《南县文体局县级地花鼓专项资金管理办法》</w:t>
      </w:r>
      <w:bookmarkEnd w:id="0"/>
      <w:r>
        <w:rPr>
          <w:rFonts w:ascii="仿宋" w:eastAsia="仿宋" w:hAnsi="仿宋" w:hint="eastAsia"/>
          <w:sz w:val="24"/>
          <w:szCs w:val="24"/>
        </w:rPr>
        <w:t>等制度，要求专项资金的管理和使用坚持“统一管理、分级负责、合理安排、专款专用”的原则，有计划、有重点的推进地花鼓发展工作。</w:t>
      </w:r>
    </w:p>
    <w:p w:rsidR="00D12885" w:rsidRDefault="00525D86">
      <w:pPr>
        <w:ind w:firstLineChars="200" w:firstLine="480"/>
        <w:rPr>
          <w:rFonts w:ascii="仿宋" w:eastAsia="仿宋" w:hAnsi="仿宋"/>
          <w:sz w:val="24"/>
          <w:szCs w:val="24"/>
        </w:rPr>
      </w:pPr>
      <w:r>
        <w:rPr>
          <w:rFonts w:ascii="仿宋" w:eastAsia="仿宋" w:hAnsi="仿宋" w:hint="eastAsia"/>
          <w:sz w:val="24"/>
          <w:szCs w:val="24"/>
        </w:rPr>
        <w:t>（二）项目实施情况。一是明确责任。成立南县文化旅游广电体育局（文联）班子成员，由文广体局综合文化股负责管理，由分管文化的副局长牟建强同志作为项目负债人；二是因项目未达到政府采购标准，所以对项目的所有业务均采取服务外包形式，通过对单位集中采购的形式进行采购，走资金预算、合同签订、</w:t>
      </w:r>
      <w:r>
        <w:rPr>
          <w:rFonts w:ascii="仿宋" w:eastAsia="仿宋" w:hAnsi="仿宋" w:hint="eastAsia"/>
          <w:sz w:val="24"/>
          <w:szCs w:val="24"/>
        </w:rPr>
        <w:lastRenderedPageBreak/>
        <w:t>业务监管、验收等程序；三是是妥善保管资料，对项目申报、备案等相关资料及时整理并归档。</w:t>
      </w:r>
    </w:p>
    <w:p w:rsidR="00D12885" w:rsidRDefault="00525D86">
      <w:pPr>
        <w:ind w:firstLine="480"/>
        <w:rPr>
          <w:rFonts w:ascii="仿宋" w:eastAsia="仿宋" w:hAnsi="仿宋"/>
          <w:b/>
          <w:sz w:val="32"/>
          <w:szCs w:val="32"/>
        </w:rPr>
      </w:pPr>
      <w:r>
        <w:rPr>
          <w:rFonts w:ascii="仿宋" w:eastAsia="仿宋" w:hAnsi="仿宋" w:hint="eastAsia"/>
          <w:b/>
          <w:sz w:val="32"/>
          <w:szCs w:val="32"/>
        </w:rPr>
        <w:t>四、绩效评价工作情况</w:t>
      </w:r>
    </w:p>
    <w:p w:rsidR="00D12885" w:rsidRDefault="00525D86">
      <w:pPr>
        <w:ind w:firstLine="480"/>
        <w:rPr>
          <w:rFonts w:ascii="仿宋" w:eastAsia="仿宋" w:hAnsi="仿宋" w:cs="仿宋"/>
          <w:sz w:val="24"/>
          <w:szCs w:val="24"/>
        </w:rPr>
      </w:pPr>
      <w:r>
        <w:rPr>
          <w:rFonts w:ascii="仿宋" w:eastAsia="仿宋" w:hAnsi="仿宋" w:cs="仿宋" w:hint="eastAsia"/>
          <w:sz w:val="24"/>
          <w:szCs w:val="24"/>
        </w:rPr>
        <w:t>（一）绩效评价目的</w:t>
      </w:r>
    </w:p>
    <w:p w:rsidR="00D12885" w:rsidRDefault="00525D86">
      <w:pPr>
        <w:pStyle w:val="p0"/>
        <w:wordWrap w:val="0"/>
        <w:spacing w:before="0" w:beforeAutospacing="0" w:after="0" w:afterAutospacing="0" w:line="560" w:lineRule="atLeast"/>
        <w:ind w:firstLine="560"/>
        <w:rPr>
          <w:rFonts w:ascii="仿宋" w:eastAsia="仿宋" w:hAnsi="仿宋" w:cs="仿宋"/>
          <w:color w:val="auto"/>
          <w:kern w:val="2"/>
          <w:sz w:val="24"/>
          <w:szCs w:val="24"/>
        </w:rPr>
      </w:pPr>
      <w:r>
        <w:rPr>
          <w:rFonts w:ascii="仿宋" w:eastAsia="仿宋" w:hAnsi="仿宋" w:cs="仿宋" w:hint="eastAsia"/>
          <w:color w:val="auto"/>
          <w:kern w:val="2"/>
          <w:sz w:val="24"/>
          <w:szCs w:val="24"/>
        </w:rPr>
        <w:t>通过绩效评价全面分析该项目资金使用、管理和项目实施情况，进一步规范</w:t>
      </w:r>
      <w:r>
        <w:rPr>
          <w:rFonts w:ascii="仿宋" w:eastAsia="仿宋" w:hAnsi="仿宋" w:hint="eastAsia"/>
          <w:sz w:val="24"/>
          <w:szCs w:val="24"/>
        </w:rPr>
        <w:t>南县文化旅游广电体育局2020年度“地花鼓发展专项”</w:t>
      </w:r>
      <w:r>
        <w:rPr>
          <w:rFonts w:ascii="仿宋" w:eastAsia="仿宋" w:hAnsi="仿宋" w:cs="仿宋" w:hint="eastAsia"/>
          <w:color w:val="auto"/>
          <w:kern w:val="2"/>
          <w:sz w:val="24"/>
          <w:szCs w:val="24"/>
        </w:rPr>
        <w:t>工作经费的使用，强化财政资金支出绩效理念，切实提高财政资金使用效益。</w:t>
      </w:r>
    </w:p>
    <w:p w:rsidR="00D12885" w:rsidRDefault="00525D86">
      <w:pPr>
        <w:ind w:firstLineChars="200" w:firstLine="480"/>
        <w:rPr>
          <w:rFonts w:ascii="仿宋" w:eastAsia="仿宋" w:hAnsi="仿宋"/>
          <w:sz w:val="24"/>
          <w:szCs w:val="24"/>
        </w:rPr>
      </w:pPr>
      <w:r>
        <w:rPr>
          <w:rFonts w:ascii="仿宋" w:eastAsia="仿宋" w:hAnsi="仿宋" w:cs="仿宋" w:hint="eastAsia"/>
          <w:sz w:val="24"/>
          <w:szCs w:val="24"/>
        </w:rPr>
        <w:t>（二）</w:t>
      </w:r>
      <w:r>
        <w:rPr>
          <w:rFonts w:ascii="仿宋" w:eastAsia="仿宋" w:hAnsi="仿宋" w:hint="eastAsia"/>
          <w:sz w:val="24"/>
          <w:szCs w:val="24"/>
        </w:rPr>
        <w:t>绩效评价工作过程。</w:t>
      </w:r>
    </w:p>
    <w:p w:rsidR="00D12885" w:rsidRDefault="00525D86">
      <w:pPr>
        <w:ind w:firstLine="480"/>
        <w:rPr>
          <w:rFonts w:ascii="仿宋" w:eastAsia="仿宋" w:hAnsi="仿宋"/>
          <w:sz w:val="24"/>
          <w:szCs w:val="24"/>
        </w:rPr>
      </w:pPr>
      <w:r>
        <w:rPr>
          <w:rFonts w:ascii="仿宋" w:eastAsia="仿宋" w:hAnsi="仿宋" w:hint="eastAsia"/>
          <w:sz w:val="24"/>
          <w:szCs w:val="24"/>
        </w:rPr>
        <w:t>根据南县财政局《关于对2020年度专项资金开展重点绩效评价工作的通知》(南财绩函[2021]10号)文件要求，我所按下列步骤开展了绩效评价工作：</w:t>
      </w:r>
    </w:p>
    <w:p w:rsidR="00D12885" w:rsidRDefault="00525D86">
      <w:pPr>
        <w:ind w:firstLineChars="200" w:firstLine="480"/>
        <w:rPr>
          <w:rFonts w:ascii="仿宋" w:eastAsia="仿宋" w:hAnsi="仿宋"/>
          <w:sz w:val="24"/>
          <w:szCs w:val="24"/>
        </w:rPr>
      </w:pPr>
      <w:r>
        <w:rPr>
          <w:rFonts w:ascii="仿宋" w:eastAsia="仿宋" w:hAnsi="仿宋" w:hint="eastAsia"/>
          <w:sz w:val="24"/>
          <w:szCs w:val="24"/>
        </w:rPr>
        <w:t>1.前期准备。我所抽调专人成立了绩效评价工作组，明确了工作职责，制定了现场评价方案，设计了相关表格，联系了相关部门和单位，确定了实施时间。</w:t>
      </w:r>
    </w:p>
    <w:p w:rsidR="00D12885" w:rsidRDefault="00525D86">
      <w:pPr>
        <w:ind w:firstLineChars="200" w:firstLine="480"/>
        <w:rPr>
          <w:rFonts w:ascii="仿宋" w:eastAsia="仿宋" w:hAnsi="仿宋"/>
          <w:sz w:val="24"/>
          <w:szCs w:val="24"/>
        </w:rPr>
      </w:pPr>
      <w:r>
        <w:rPr>
          <w:rFonts w:ascii="仿宋" w:eastAsia="仿宋" w:hAnsi="仿宋" w:hint="eastAsia"/>
          <w:sz w:val="24"/>
          <w:szCs w:val="24"/>
        </w:rPr>
        <w:t>2.实施情况。项目绩效评价实施步骤：（1）召开座谈会。组织项目单位管理层、责任人员及相关代表召开座谈会，听取该项目有关情况介绍；（2）收集核查资料。收集该项目相关文件和项目单位相关制度等资料；核查相关制度是否完善，项目支出是否合规，资金拨付手续是否齐全，是否存在截留、挪用等情况；（3）现场查看。进入实地查看，拍照取证，调查走访，发放问卷调查。（4）归纳汇总。对提供材料及自评报告，结合现场评价情况进行综合分析、归纳汇总；（5）得出评价结论，形成绩效评价报告。</w:t>
      </w:r>
    </w:p>
    <w:p w:rsidR="00D12885" w:rsidRDefault="00525D86">
      <w:pPr>
        <w:pStyle w:val="aa"/>
        <w:ind w:firstLineChars="150" w:firstLine="482"/>
        <w:rPr>
          <w:rFonts w:ascii="仿宋" w:eastAsia="仿宋" w:hAnsi="仿宋"/>
          <w:b/>
          <w:sz w:val="32"/>
          <w:szCs w:val="32"/>
        </w:rPr>
      </w:pPr>
      <w:r>
        <w:rPr>
          <w:rFonts w:ascii="仿宋" w:eastAsia="仿宋" w:hAnsi="仿宋" w:hint="eastAsia"/>
          <w:b/>
          <w:sz w:val="32"/>
          <w:szCs w:val="32"/>
        </w:rPr>
        <w:t>五、绩效评价结果和绩效分析</w:t>
      </w:r>
    </w:p>
    <w:p w:rsidR="00D12885" w:rsidRDefault="00525D86">
      <w:pPr>
        <w:pStyle w:val="aa"/>
        <w:ind w:firstLineChars="200" w:firstLine="480"/>
        <w:rPr>
          <w:rFonts w:ascii="仿宋" w:eastAsia="仿宋" w:hAnsi="仿宋"/>
          <w:sz w:val="24"/>
          <w:szCs w:val="24"/>
        </w:rPr>
      </w:pPr>
      <w:r>
        <w:rPr>
          <w:rFonts w:ascii="仿宋" w:eastAsia="仿宋" w:hAnsi="仿宋" w:hint="eastAsia"/>
          <w:sz w:val="24"/>
          <w:szCs w:val="24"/>
        </w:rPr>
        <w:t>根据该项目资金绩效评价指标体系和绩效检查情况，该项目整体绩效分值100分，实得81分，被评为“良好”等级(详见：南县文化旅游广电体育局2020年“地花鼓发展专项 ”绩效评价指标评分表)。主要绩效表现在以下方面：</w:t>
      </w:r>
    </w:p>
    <w:p w:rsidR="00D12885" w:rsidRDefault="00525D86">
      <w:pPr>
        <w:pStyle w:val="aa"/>
        <w:ind w:firstLineChars="200" w:firstLine="480"/>
        <w:rPr>
          <w:rFonts w:ascii="仿宋" w:eastAsia="仿宋" w:hAnsi="仿宋"/>
          <w:sz w:val="24"/>
          <w:szCs w:val="24"/>
        </w:rPr>
      </w:pPr>
      <w:r>
        <w:rPr>
          <w:rFonts w:ascii="仿宋" w:eastAsia="仿宋" w:hAnsi="仿宋" w:hint="eastAsia"/>
          <w:sz w:val="24"/>
          <w:szCs w:val="24"/>
        </w:rPr>
        <w:t>（一）项目有效性分析：</w:t>
      </w:r>
    </w:p>
    <w:p w:rsidR="00D12885" w:rsidRDefault="00525D86">
      <w:pPr>
        <w:pStyle w:val="aa"/>
        <w:ind w:firstLineChars="200" w:firstLine="480"/>
        <w:rPr>
          <w:rFonts w:ascii="仿宋" w:eastAsia="仿宋" w:hAnsi="仿宋"/>
          <w:sz w:val="24"/>
          <w:szCs w:val="24"/>
        </w:rPr>
      </w:pPr>
      <w:r>
        <w:rPr>
          <w:rFonts w:ascii="仿宋" w:eastAsia="仿宋" w:hAnsi="仿宋" w:hint="eastAsia"/>
          <w:sz w:val="24"/>
          <w:szCs w:val="24"/>
        </w:rPr>
        <w:t>该专项资金的旨在对非物质文化遗产、传统文化的保护和传承，推进县内文</w:t>
      </w:r>
      <w:r>
        <w:rPr>
          <w:rFonts w:ascii="仿宋" w:eastAsia="仿宋" w:hAnsi="仿宋" w:hint="eastAsia"/>
          <w:sz w:val="24"/>
          <w:szCs w:val="24"/>
        </w:rPr>
        <w:lastRenderedPageBreak/>
        <w:t>化业务工作，丰富人民群众的文化生活。湖南花鼓戏作为一种诞生于农耕文化背景下的艺术形态民，浓缩了三湘四水的湖南人民200</w:t>
      </w:r>
      <w:r w:rsidR="00C44ED6">
        <w:rPr>
          <w:rFonts w:ascii="仿宋" w:eastAsia="仿宋" w:hAnsi="仿宋" w:hint="eastAsia"/>
          <w:sz w:val="24"/>
          <w:szCs w:val="24"/>
        </w:rPr>
        <w:t>余</w:t>
      </w:r>
      <w:r>
        <w:rPr>
          <w:rFonts w:ascii="仿宋" w:eastAsia="仿宋" w:hAnsi="仿宋" w:hint="eastAsia"/>
          <w:sz w:val="24"/>
          <w:szCs w:val="24"/>
        </w:rPr>
        <w:t>年的情感，是湖湘文化的一个重要组成部分；它又是湖湘历史文化的一种最形象的“活化石”，是一种独特的文化资源、文化遗产。通过该项目的实施，七十多次送戏下乡至各乡镇，为六万人提供了丰富、优质的文化粮食，丰富了人民群众的文化娱乐生活，提高了全县人民文化生活水平。</w:t>
      </w:r>
    </w:p>
    <w:p w:rsidR="00D12885" w:rsidRDefault="00525D86">
      <w:pPr>
        <w:pStyle w:val="aa"/>
        <w:ind w:firstLineChars="200" w:firstLine="480"/>
        <w:rPr>
          <w:rFonts w:ascii="仿宋" w:eastAsia="仿宋" w:hAnsi="仿宋"/>
          <w:sz w:val="24"/>
          <w:szCs w:val="24"/>
        </w:rPr>
      </w:pPr>
      <w:r>
        <w:rPr>
          <w:rFonts w:ascii="仿宋" w:eastAsia="仿宋" w:hAnsi="仿宋" w:hint="eastAsia"/>
          <w:sz w:val="24"/>
          <w:szCs w:val="24"/>
        </w:rPr>
        <w:t>（二）项目可持续影响分析：</w:t>
      </w:r>
    </w:p>
    <w:p w:rsidR="00D12885" w:rsidRDefault="00525D86">
      <w:pPr>
        <w:pStyle w:val="aa"/>
        <w:ind w:firstLineChars="200" w:firstLine="480"/>
        <w:rPr>
          <w:rFonts w:ascii="仿宋" w:eastAsia="仿宋" w:hAnsi="仿宋"/>
          <w:sz w:val="24"/>
          <w:szCs w:val="24"/>
        </w:rPr>
      </w:pPr>
      <w:r>
        <w:rPr>
          <w:rFonts w:ascii="仿宋" w:eastAsia="仿宋" w:hAnsi="仿宋" w:hint="eastAsia"/>
          <w:sz w:val="24"/>
          <w:szCs w:val="24"/>
        </w:rPr>
        <w:t>地花鼓大大促进了湖南戏剧的发展，帮助形成有湖南地方特色的“高腔”，对于扩大湖南戏剧的影响力，发展湖南戏剧的爱好者等方面，都有非常重大的作用，对整个湖南戏剧的发展也有非常重要的价值，有利于湖南戏剧的传承和发展。</w:t>
      </w:r>
    </w:p>
    <w:p w:rsidR="00D12885" w:rsidRDefault="00525D86">
      <w:pPr>
        <w:pStyle w:val="aa"/>
        <w:ind w:firstLineChars="150" w:firstLine="482"/>
        <w:rPr>
          <w:rFonts w:ascii="仿宋" w:eastAsia="仿宋" w:hAnsi="仿宋"/>
          <w:b/>
          <w:sz w:val="32"/>
          <w:szCs w:val="32"/>
        </w:rPr>
      </w:pPr>
      <w:r>
        <w:rPr>
          <w:rFonts w:ascii="仿宋" w:eastAsia="仿宋" w:hAnsi="仿宋" w:hint="eastAsia"/>
          <w:b/>
          <w:sz w:val="32"/>
          <w:szCs w:val="32"/>
        </w:rPr>
        <w:t>六、存在的主要问题</w:t>
      </w:r>
    </w:p>
    <w:p w:rsidR="00D12885" w:rsidRDefault="00525D86">
      <w:pPr>
        <w:pStyle w:val="aa"/>
        <w:ind w:firstLineChars="200" w:firstLine="480"/>
        <w:rPr>
          <w:rFonts w:ascii="仿宋" w:eastAsia="仿宋" w:hAnsi="仿宋"/>
          <w:sz w:val="24"/>
          <w:szCs w:val="24"/>
        </w:rPr>
      </w:pPr>
      <w:r>
        <w:rPr>
          <w:rFonts w:ascii="仿宋" w:eastAsia="仿宋" w:hAnsi="仿宋" w:hint="eastAsia"/>
          <w:sz w:val="24"/>
          <w:szCs w:val="24"/>
        </w:rPr>
        <w:t>南县文化旅游广电体育局 2020年“地花鼓发展专项”工作经费在项目决策上基本合理，实施过程中领导重视，管理较规范，但有些方面仍有不足，主要有：</w:t>
      </w:r>
    </w:p>
    <w:p w:rsidR="00D12885" w:rsidRDefault="00525D86">
      <w:pPr>
        <w:pStyle w:val="aa"/>
        <w:ind w:firstLineChars="200" w:firstLine="480"/>
        <w:rPr>
          <w:rFonts w:ascii="仿宋" w:eastAsia="仿宋" w:hAnsi="仿宋"/>
          <w:sz w:val="24"/>
          <w:szCs w:val="24"/>
        </w:rPr>
      </w:pPr>
      <w:r>
        <w:rPr>
          <w:rFonts w:ascii="仿宋" w:eastAsia="仿宋" w:hAnsi="仿宋" w:hint="eastAsia"/>
          <w:sz w:val="24"/>
          <w:szCs w:val="24"/>
        </w:rPr>
        <w:t>(一)成本控制欠佳，且存在跨年度执行情况。</w:t>
      </w:r>
    </w:p>
    <w:p w:rsidR="00D12885" w:rsidRDefault="00525D86">
      <w:pPr>
        <w:pStyle w:val="aa"/>
        <w:ind w:firstLineChars="200" w:firstLine="480"/>
        <w:rPr>
          <w:rFonts w:ascii="仿宋" w:eastAsia="仿宋" w:hAnsi="仿宋"/>
          <w:sz w:val="24"/>
          <w:szCs w:val="24"/>
        </w:rPr>
      </w:pPr>
      <w:r>
        <w:rPr>
          <w:rFonts w:ascii="仿宋" w:eastAsia="仿宋" w:hAnsi="仿宋" w:hint="eastAsia"/>
          <w:sz w:val="24"/>
          <w:szCs w:val="24"/>
        </w:rPr>
        <w:t>1. 2020年度“地花鼓发展专项”预算金额500,000.00元，实际使用资金501,590.00元，项目资金超出年初预算1,590.00元，超支金额不大，但从侧方面显示了前期未作科学合理的预算。超预算开支用当年其他项目资金的结余资金或其他项目资金弥补。</w:t>
      </w:r>
    </w:p>
    <w:p w:rsidR="00D12885" w:rsidRDefault="00525D86">
      <w:pPr>
        <w:pStyle w:val="aa"/>
        <w:ind w:firstLineChars="200" w:firstLine="480"/>
        <w:rPr>
          <w:rFonts w:ascii="仿宋" w:eastAsia="仿宋" w:hAnsi="仿宋"/>
          <w:sz w:val="24"/>
          <w:szCs w:val="24"/>
        </w:rPr>
      </w:pPr>
      <w:r>
        <w:rPr>
          <w:rFonts w:ascii="仿宋" w:eastAsia="仿宋" w:hAnsi="仿宋" w:hint="eastAsia"/>
          <w:sz w:val="24"/>
          <w:szCs w:val="24"/>
        </w:rPr>
        <w:t>2.支付的</w:t>
      </w:r>
      <w:r>
        <w:rPr>
          <w:rFonts w:ascii="仿宋" w:eastAsia="仿宋" w:hAnsi="仿宋" w:hint="eastAsia"/>
          <w:color w:val="000000" w:themeColor="text1"/>
          <w:sz w:val="24"/>
          <w:szCs w:val="24"/>
        </w:rPr>
        <w:t>送戏下乡费用43.6万元中：合同日期为2019年的送戏下乡费用10.00万元（20场戏），合同日期为2020年送戏下乡费用15.00万元（30场戏），2021年支付的合同日期为2020年送戏下乡的费用18.60万元（44场戏），2020年度的合同金额未在年度内按时支付。</w:t>
      </w:r>
    </w:p>
    <w:p w:rsidR="00D12885" w:rsidRDefault="00525D86">
      <w:pPr>
        <w:pStyle w:val="aa"/>
        <w:ind w:firstLineChars="200" w:firstLine="480"/>
        <w:rPr>
          <w:rFonts w:ascii="仿宋" w:eastAsia="仿宋" w:hAnsi="仿宋"/>
          <w:sz w:val="24"/>
          <w:szCs w:val="24"/>
        </w:rPr>
      </w:pPr>
      <w:r>
        <w:rPr>
          <w:rFonts w:ascii="仿宋" w:eastAsia="仿宋" w:hAnsi="仿宋" w:hint="eastAsia"/>
          <w:sz w:val="24"/>
          <w:szCs w:val="24"/>
        </w:rPr>
        <w:t>(二)会计核算工作欠规范：</w:t>
      </w:r>
    </w:p>
    <w:p w:rsidR="00D12885" w:rsidRDefault="00525D86">
      <w:pPr>
        <w:pStyle w:val="aa"/>
        <w:ind w:firstLineChars="200" w:firstLine="480"/>
        <w:rPr>
          <w:rFonts w:ascii="仿宋" w:eastAsia="仿宋" w:hAnsi="仿宋"/>
          <w:sz w:val="24"/>
          <w:szCs w:val="24"/>
        </w:rPr>
      </w:pPr>
      <w:r>
        <w:rPr>
          <w:rFonts w:ascii="仿宋" w:eastAsia="仿宋" w:hAnsi="仿宋" w:hint="eastAsia"/>
          <w:sz w:val="24"/>
          <w:szCs w:val="24"/>
        </w:rPr>
        <w:t>账务记录与附件不符,有调节使用专项资金的现象：2020年9月156#（财务）凭证记账行政支出-项目支出-财政拨款支出-地花鼓专项-文化体育与传统-文化</w:t>
      </w:r>
      <w:r>
        <w:rPr>
          <w:rFonts w:ascii="仿宋" w:eastAsia="仿宋" w:hAnsi="仿宋" w:hint="eastAsia"/>
          <w:sz w:val="24"/>
          <w:szCs w:val="24"/>
        </w:rPr>
        <w:lastRenderedPageBreak/>
        <w:t>和旅游-行政支行-商品和服务支出-劳务费1,013.00元，实际开支的是餐费，无单据审核单，未说明劳务情况。</w:t>
      </w:r>
    </w:p>
    <w:p w:rsidR="00D12885" w:rsidRDefault="00525D86">
      <w:pPr>
        <w:pStyle w:val="aa"/>
        <w:ind w:firstLineChars="200" w:firstLine="480"/>
        <w:rPr>
          <w:rFonts w:ascii="仿宋" w:eastAsia="仿宋" w:hAnsi="仿宋"/>
          <w:sz w:val="24"/>
          <w:szCs w:val="24"/>
        </w:rPr>
      </w:pPr>
      <w:r>
        <w:rPr>
          <w:rFonts w:ascii="仿宋" w:eastAsia="仿宋" w:hAnsi="仿宋" w:hint="eastAsia"/>
          <w:sz w:val="24"/>
          <w:szCs w:val="24"/>
        </w:rPr>
        <w:t>(三)未按审批计划完成相关地花鼓相关工作：《南县财政性资金拨付财政局审批表》中确定的的项目内容有部分未开展，如地花鼓培训、地花鼓刊物、非遗宣传展示。而支付的负责地花鼓培育的临聘人员地花鼓专干-胡宁静的工资及社保并不在审批表及文旅广体局绩效目标中。</w:t>
      </w:r>
    </w:p>
    <w:p w:rsidR="00D12885" w:rsidRDefault="00525D86">
      <w:pPr>
        <w:pStyle w:val="aa"/>
        <w:ind w:firstLineChars="200" w:firstLine="480"/>
        <w:rPr>
          <w:rFonts w:ascii="仿宋" w:eastAsia="仿宋" w:hAnsi="仿宋"/>
          <w:sz w:val="24"/>
          <w:szCs w:val="24"/>
        </w:rPr>
      </w:pPr>
      <w:r>
        <w:rPr>
          <w:rFonts w:ascii="仿宋" w:eastAsia="仿宋" w:hAnsi="仿宋" w:hint="eastAsia"/>
          <w:sz w:val="24"/>
          <w:szCs w:val="24"/>
        </w:rPr>
        <w:t>(四)监督检查工作未到位，有待加强。未见项目在实施过程中督查检查资料，</w:t>
      </w:r>
      <w:bookmarkStart w:id="1" w:name="_GoBack"/>
      <w:bookmarkEnd w:id="1"/>
      <w:r>
        <w:rPr>
          <w:rFonts w:ascii="仿宋" w:eastAsia="仿宋" w:hAnsi="仿宋" w:hint="eastAsia"/>
          <w:sz w:val="24"/>
          <w:szCs w:val="24"/>
        </w:rPr>
        <w:t>监督检查是保证预算执行的重要手段，通过实施内部监督检查，可以及时查找并督促整改财政管理中存在的问题，发挥监督预算、纠偏、评价及监管职能 ，推动财政管理更加规范、科学、合理、高效。本工作专项未见任何监督检查资料。</w:t>
      </w:r>
    </w:p>
    <w:p w:rsidR="00D12885" w:rsidRDefault="00525D86">
      <w:pPr>
        <w:pStyle w:val="aa"/>
        <w:ind w:firstLineChars="200" w:firstLine="643"/>
        <w:rPr>
          <w:rFonts w:ascii="仿宋" w:eastAsia="仿宋" w:hAnsi="仿宋"/>
          <w:b/>
          <w:bCs/>
          <w:sz w:val="32"/>
          <w:szCs w:val="32"/>
        </w:rPr>
      </w:pPr>
      <w:r>
        <w:rPr>
          <w:rFonts w:ascii="仿宋" w:eastAsia="仿宋" w:hAnsi="仿宋" w:hint="eastAsia"/>
          <w:b/>
          <w:bCs/>
          <w:sz w:val="32"/>
          <w:szCs w:val="32"/>
        </w:rPr>
        <w:t>七、建议</w:t>
      </w:r>
    </w:p>
    <w:p w:rsidR="00D12885" w:rsidRDefault="00525D86">
      <w:pPr>
        <w:pStyle w:val="aa"/>
        <w:ind w:firstLineChars="200" w:firstLine="480"/>
        <w:rPr>
          <w:rFonts w:ascii="仿宋" w:eastAsia="仿宋" w:hAnsi="仿宋"/>
          <w:sz w:val="24"/>
          <w:szCs w:val="24"/>
        </w:rPr>
      </w:pPr>
      <w:r>
        <w:rPr>
          <w:rFonts w:ascii="仿宋" w:eastAsia="仿宋" w:hAnsi="仿宋" w:hint="eastAsia"/>
          <w:sz w:val="24"/>
          <w:szCs w:val="24"/>
        </w:rPr>
        <w:t>(一)严格控制成本、加强预算执行力，健全和完善相应的财务预算管理组织机构，负责财务预算管理组织实施，严格按照项目实施方案及相关文件规定执行项目开支，在规定时间内完成工作，超出预算支出，应做预算调整。</w:t>
      </w:r>
    </w:p>
    <w:p w:rsidR="00D12885" w:rsidRDefault="00525D86">
      <w:pPr>
        <w:pStyle w:val="aa"/>
        <w:ind w:firstLineChars="200" w:firstLine="480"/>
        <w:rPr>
          <w:rFonts w:ascii="仿宋" w:eastAsia="仿宋" w:hAnsi="仿宋"/>
          <w:sz w:val="24"/>
          <w:szCs w:val="24"/>
        </w:rPr>
      </w:pPr>
      <w:r>
        <w:rPr>
          <w:rFonts w:ascii="仿宋" w:eastAsia="仿宋" w:hAnsi="仿宋" w:hint="eastAsia"/>
          <w:sz w:val="24"/>
          <w:szCs w:val="24"/>
        </w:rPr>
        <w:t>(二)加强会计核算工作，严格按专项资金管理要求设置和进行账务处理，坚决实行“专人管理、专户储存、专账核算、专项使用”的原则，切实按照业务活动内容开具票据并准确进行财务核算。</w:t>
      </w:r>
    </w:p>
    <w:p w:rsidR="00D12885" w:rsidRDefault="00525D86">
      <w:pPr>
        <w:pStyle w:val="aa"/>
        <w:ind w:firstLineChars="200" w:firstLine="480"/>
        <w:rPr>
          <w:rFonts w:ascii="仿宋" w:eastAsia="仿宋" w:hAnsi="仿宋"/>
          <w:sz w:val="24"/>
          <w:szCs w:val="24"/>
        </w:rPr>
      </w:pPr>
      <w:r>
        <w:rPr>
          <w:rFonts w:ascii="仿宋" w:eastAsia="仿宋" w:hAnsi="仿宋" w:hint="eastAsia"/>
          <w:sz w:val="24"/>
          <w:szCs w:val="24"/>
        </w:rPr>
        <w:t>(三)加强项目资金使用管理，强化内控管理和问责机制建设，在项目建设过程中严格执行按照项目实施方案及相关文件等规定规范使用专项资金。对于地花鼓临聘人员的工资及社保这种必要的开支应纳入在年初预算计划中。</w:t>
      </w:r>
    </w:p>
    <w:p w:rsidR="00D12885" w:rsidRDefault="00525D86">
      <w:pPr>
        <w:pStyle w:val="aa"/>
        <w:ind w:firstLineChars="200" w:firstLine="480"/>
        <w:rPr>
          <w:rFonts w:ascii="仿宋" w:eastAsia="仿宋" w:hAnsi="仿宋"/>
          <w:sz w:val="24"/>
          <w:szCs w:val="24"/>
        </w:rPr>
      </w:pPr>
      <w:r>
        <w:rPr>
          <w:rFonts w:ascii="仿宋" w:eastAsia="仿宋" w:hAnsi="仿宋" w:hint="eastAsia"/>
          <w:sz w:val="24"/>
          <w:szCs w:val="24"/>
        </w:rPr>
        <w:t>(四)重视监督检查工作，及时发现问题并控制解决问题，保证财政预算的执行质量。监督能杜绝暗箱操作或腐败行为，保证财政预算的编制效果，因而必须要采取切实措施加强对预算执行情况的监督检查，以规范各有关预算执行部门的行为。</w:t>
      </w:r>
    </w:p>
    <w:p w:rsidR="00D12885" w:rsidRDefault="00D12885">
      <w:pPr>
        <w:pStyle w:val="aa"/>
        <w:ind w:firstLineChars="200" w:firstLine="480"/>
        <w:rPr>
          <w:rFonts w:ascii="仿宋" w:eastAsia="仿宋" w:hAnsi="仿宋"/>
          <w:sz w:val="24"/>
          <w:szCs w:val="24"/>
        </w:rPr>
      </w:pPr>
    </w:p>
    <w:p w:rsidR="00D12885" w:rsidRDefault="00D12885">
      <w:pPr>
        <w:pStyle w:val="aa"/>
        <w:rPr>
          <w:rFonts w:ascii="仿宋" w:eastAsia="仿宋" w:hAnsi="仿宋"/>
          <w:sz w:val="24"/>
          <w:szCs w:val="24"/>
        </w:rPr>
      </w:pPr>
    </w:p>
    <w:p w:rsidR="007B3E1B" w:rsidRDefault="007B3E1B">
      <w:pPr>
        <w:pStyle w:val="aa"/>
        <w:rPr>
          <w:rFonts w:ascii="仿宋" w:eastAsia="仿宋" w:hAnsi="仿宋"/>
          <w:sz w:val="24"/>
          <w:szCs w:val="24"/>
        </w:rPr>
      </w:pPr>
    </w:p>
    <w:p w:rsidR="007B3E1B" w:rsidRDefault="007B3E1B">
      <w:pPr>
        <w:pStyle w:val="aa"/>
        <w:rPr>
          <w:rFonts w:ascii="仿宋" w:eastAsia="仿宋" w:hAnsi="仿宋"/>
          <w:sz w:val="24"/>
          <w:szCs w:val="24"/>
        </w:rPr>
      </w:pPr>
      <w:r>
        <w:rPr>
          <w:rFonts w:ascii="仿宋" w:eastAsia="仿宋" w:hAnsi="仿宋" w:hint="eastAsia"/>
          <w:sz w:val="24"/>
          <w:szCs w:val="24"/>
        </w:rPr>
        <w:t>（</w:t>
      </w:r>
      <w:r w:rsidR="001F6E77">
        <w:rPr>
          <w:rFonts w:ascii="仿宋" w:eastAsia="仿宋" w:hAnsi="仿宋" w:hint="eastAsia"/>
          <w:sz w:val="24"/>
          <w:szCs w:val="24"/>
        </w:rPr>
        <w:t>此页无正文）</w:t>
      </w:r>
    </w:p>
    <w:p w:rsidR="00D12885" w:rsidRDefault="007B3E1B">
      <w:pPr>
        <w:pStyle w:val="aa"/>
        <w:ind w:firstLineChars="200" w:firstLine="480"/>
        <w:rPr>
          <w:rFonts w:ascii="仿宋" w:eastAsia="仿宋" w:hAnsi="仿宋"/>
          <w:sz w:val="24"/>
          <w:szCs w:val="24"/>
        </w:rPr>
      </w:pPr>
      <w:r>
        <w:rPr>
          <w:rFonts w:ascii="仿宋" w:eastAsia="仿宋" w:hAnsi="仿宋"/>
          <w:noProof/>
          <w:sz w:val="24"/>
          <w:szCs w:val="24"/>
        </w:rPr>
        <w:drawing>
          <wp:anchor distT="0" distB="0" distL="114300" distR="114300" simplePos="0" relativeHeight="251659264" behindDoc="1" locked="0" layoutInCell="1" allowOverlap="1">
            <wp:simplePos x="0" y="0"/>
            <wp:positionH relativeFrom="column">
              <wp:posOffset>4261485</wp:posOffset>
            </wp:positionH>
            <wp:positionV relativeFrom="paragraph">
              <wp:posOffset>180340</wp:posOffset>
            </wp:positionV>
            <wp:extent cx="866140" cy="654685"/>
            <wp:effectExtent l="19050" t="0" r="0" b="0"/>
            <wp:wrapTight wrapText="bothSides">
              <wp:wrapPolygon edited="0">
                <wp:start x="-475" y="0"/>
                <wp:lineTo x="-475" y="20741"/>
                <wp:lineTo x="21378" y="20741"/>
                <wp:lineTo x="21378" y="0"/>
                <wp:lineTo x="-475" y="0"/>
              </wp:wrapPolygon>
            </wp:wrapTight>
            <wp:docPr id="3" name="图片 3" descr="CPA签章节第四页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PA签章节第四页7"/>
                    <pic:cNvPicPr>
                      <a:picLocks noChangeAspect="1" noChangeArrowheads="1"/>
                    </pic:cNvPicPr>
                  </pic:nvPicPr>
                  <pic:blipFill>
                    <a:blip r:embed="rId8" cstate="print">
                      <a:lum bright="-42000" contrast="100000"/>
                    </a:blip>
                    <a:srcRect l="72916" t="10272" r="14258" b="82861"/>
                    <a:stretch>
                      <a:fillRect/>
                    </a:stretch>
                  </pic:blipFill>
                  <pic:spPr bwMode="auto">
                    <a:xfrm>
                      <a:off x="0" y="0"/>
                      <a:ext cx="866140" cy="654685"/>
                    </a:xfrm>
                    <a:prstGeom prst="rect">
                      <a:avLst/>
                    </a:prstGeom>
                    <a:solidFill>
                      <a:srgbClr val="000000"/>
                    </a:solidFill>
                    <a:ln w="9525">
                      <a:noFill/>
                      <a:miter lim="800000"/>
                      <a:headEnd/>
                      <a:tailEnd/>
                    </a:ln>
                  </pic:spPr>
                </pic:pic>
              </a:graphicData>
            </a:graphic>
          </wp:anchor>
        </w:drawing>
      </w:r>
    </w:p>
    <w:p w:rsidR="00D12885" w:rsidRDefault="00525D86">
      <w:pPr>
        <w:spacing w:line="360" w:lineRule="auto"/>
        <w:rPr>
          <w:rFonts w:ascii="仿宋" w:eastAsia="仿宋" w:hAnsi="仿宋"/>
          <w:b/>
          <w:color w:val="000000"/>
          <w:sz w:val="24"/>
          <w:szCs w:val="24"/>
        </w:rPr>
      </w:pPr>
      <w:r>
        <w:rPr>
          <w:rFonts w:ascii="仿宋" w:eastAsia="仿宋" w:hAnsi="仿宋" w:hint="eastAsia"/>
          <w:b/>
          <w:color w:val="000000"/>
          <w:sz w:val="24"/>
          <w:szCs w:val="24"/>
        </w:rPr>
        <w:t xml:space="preserve">湖南新财苑会计师事务所 </w:t>
      </w:r>
      <w:r>
        <w:rPr>
          <w:rFonts w:ascii="宋体" w:eastAsia="仿宋" w:hAnsi="宋体" w:hint="eastAsia"/>
          <w:b/>
          <w:color w:val="000000"/>
          <w:sz w:val="24"/>
          <w:szCs w:val="24"/>
        </w:rPr>
        <w:t> </w:t>
      </w:r>
      <w:r>
        <w:rPr>
          <w:rFonts w:ascii="仿宋" w:eastAsia="仿宋" w:hAnsi="仿宋" w:hint="eastAsia"/>
          <w:b/>
          <w:color w:val="000000"/>
          <w:sz w:val="24"/>
          <w:szCs w:val="24"/>
        </w:rPr>
        <w:t xml:space="preserve"> </w:t>
      </w:r>
      <w:r>
        <w:rPr>
          <w:rFonts w:ascii="宋体" w:eastAsia="仿宋" w:hAnsi="宋体" w:hint="eastAsia"/>
          <w:b/>
          <w:color w:val="000000"/>
          <w:sz w:val="24"/>
          <w:szCs w:val="24"/>
        </w:rPr>
        <w:t> </w:t>
      </w:r>
      <w:r>
        <w:rPr>
          <w:rFonts w:ascii="仿宋" w:eastAsia="仿宋" w:hAnsi="仿宋" w:hint="eastAsia"/>
          <w:b/>
          <w:color w:val="000000"/>
          <w:sz w:val="24"/>
          <w:szCs w:val="24"/>
        </w:rPr>
        <w:t xml:space="preserve"> </w:t>
      </w:r>
      <w:r>
        <w:rPr>
          <w:rFonts w:ascii="宋体" w:eastAsia="仿宋" w:hAnsi="宋体" w:hint="eastAsia"/>
          <w:b/>
          <w:color w:val="000000"/>
          <w:sz w:val="24"/>
          <w:szCs w:val="24"/>
        </w:rPr>
        <w:t> </w:t>
      </w:r>
      <w:r>
        <w:rPr>
          <w:rFonts w:ascii="仿宋" w:eastAsia="仿宋" w:hAnsi="仿宋" w:hint="eastAsia"/>
          <w:b/>
          <w:color w:val="000000"/>
          <w:sz w:val="24"/>
          <w:szCs w:val="24"/>
        </w:rPr>
        <w:t xml:space="preserve"> </w:t>
      </w:r>
      <w:r>
        <w:rPr>
          <w:rFonts w:ascii="宋体" w:eastAsia="仿宋" w:hAnsi="宋体" w:hint="eastAsia"/>
          <w:b/>
          <w:color w:val="000000"/>
          <w:sz w:val="24"/>
          <w:szCs w:val="24"/>
        </w:rPr>
        <w:t> </w:t>
      </w:r>
      <w:r>
        <w:rPr>
          <w:rFonts w:ascii="仿宋" w:eastAsia="仿宋" w:hAnsi="仿宋" w:hint="eastAsia"/>
          <w:b/>
          <w:color w:val="000000"/>
          <w:sz w:val="24"/>
          <w:szCs w:val="24"/>
        </w:rPr>
        <w:t xml:space="preserve">    中国注册会计师：</w:t>
      </w:r>
    </w:p>
    <w:p w:rsidR="00D12885" w:rsidRDefault="007B3E1B">
      <w:pPr>
        <w:spacing w:line="360" w:lineRule="auto"/>
        <w:ind w:firstLineChars="200" w:firstLine="482"/>
        <w:rPr>
          <w:rFonts w:ascii="仿宋" w:eastAsia="仿宋" w:hAnsi="仿宋"/>
          <w:b/>
          <w:color w:val="000000"/>
          <w:sz w:val="24"/>
          <w:szCs w:val="24"/>
        </w:rPr>
      </w:pPr>
      <w:r>
        <w:rPr>
          <w:rFonts w:ascii="宋体" w:eastAsia="仿宋" w:hAnsi="宋体" w:hint="eastAsia"/>
          <w:b/>
          <w:noProof/>
          <w:color w:val="000000"/>
          <w:sz w:val="24"/>
          <w:szCs w:val="24"/>
        </w:rPr>
        <w:drawing>
          <wp:anchor distT="0" distB="0" distL="114300" distR="114300" simplePos="0" relativeHeight="251658240" behindDoc="1" locked="0" layoutInCell="1" allowOverlap="0">
            <wp:simplePos x="0" y="0"/>
            <wp:positionH relativeFrom="column">
              <wp:posOffset>4261485</wp:posOffset>
            </wp:positionH>
            <wp:positionV relativeFrom="paragraph">
              <wp:posOffset>195580</wp:posOffset>
            </wp:positionV>
            <wp:extent cx="801370" cy="597535"/>
            <wp:effectExtent l="19050" t="0" r="0" b="0"/>
            <wp:wrapTight wrapText="bothSides">
              <wp:wrapPolygon edited="0">
                <wp:start x="-513" y="0"/>
                <wp:lineTo x="-513" y="20659"/>
                <wp:lineTo x="21566" y="20659"/>
                <wp:lineTo x="21566" y="0"/>
                <wp:lineTo x="-513" y="0"/>
              </wp:wrapPolygon>
            </wp:wrapTight>
            <wp:docPr id="2" name="图片 2" descr="CPA的签章节第一页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PA的签章节第一页4"/>
                    <pic:cNvPicPr>
                      <a:picLocks noChangeAspect="1" noChangeArrowheads="1"/>
                    </pic:cNvPicPr>
                  </pic:nvPicPr>
                  <pic:blipFill>
                    <a:blip r:embed="rId9" cstate="print">
                      <a:lum bright="-60000" contrast="100000"/>
                    </a:blip>
                    <a:srcRect l="70921" t="31078" r="16826" b="61583"/>
                    <a:stretch>
                      <a:fillRect/>
                    </a:stretch>
                  </pic:blipFill>
                  <pic:spPr bwMode="auto">
                    <a:xfrm>
                      <a:off x="0" y="0"/>
                      <a:ext cx="801370" cy="597535"/>
                    </a:xfrm>
                    <a:prstGeom prst="rect">
                      <a:avLst/>
                    </a:prstGeom>
                    <a:solidFill>
                      <a:srgbClr val="000000"/>
                    </a:solidFill>
                    <a:ln w="9525">
                      <a:noFill/>
                      <a:miter lim="800000"/>
                      <a:headEnd/>
                      <a:tailEnd/>
                    </a:ln>
                  </pic:spPr>
                </pic:pic>
              </a:graphicData>
            </a:graphic>
          </wp:anchor>
        </w:drawing>
      </w:r>
      <w:r w:rsidR="00525D86">
        <w:rPr>
          <w:rFonts w:ascii="宋体" w:eastAsia="仿宋" w:hAnsi="宋体" w:hint="eastAsia"/>
          <w:b/>
          <w:color w:val="000000"/>
          <w:sz w:val="24"/>
          <w:szCs w:val="24"/>
        </w:rPr>
        <w:t> </w:t>
      </w:r>
      <w:r w:rsidR="00525D86">
        <w:rPr>
          <w:rFonts w:ascii="仿宋" w:eastAsia="仿宋" w:hAnsi="仿宋" w:hint="eastAsia"/>
          <w:b/>
          <w:color w:val="000000"/>
          <w:sz w:val="24"/>
          <w:szCs w:val="24"/>
        </w:rPr>
        <w:t xml:space="preserve"> 有限公司</w:t>
      </w:r>
      <w:r w:rsidR="00525D86">
        <w:rPr>
          <w:rFonts w:ascii="宋体" w:eastAsia="仿宋" w:hAnsi="宋体" w:hint="eastAsia"/>
          <w:b/>
          <w:color w:val="000000"/>
          <w:sz w:val="24"/>
          <w:szCs w:val="24"/>
        </w:rPr>
        <w:t> </w:t>
      </w:r>
      <w:r w:rsidR="00525D86">
        <w:rPr>
          <w:rFonts w:ascii="仿宋" w:eastAsia="仿宋" w:hAnsi="仿宋" w:hint="eastAsia"/>
          <w:b/>
          <w:color w:val="000000"/>
          <w:sz w:val="24"/>
          <w:szCs w:val="24"/>
        </w:rPr>
        <w:t xml:space="preserve"> </w:t>
      </w:r>
      <w:r w:rsidR="00525D86">
        <w:rPr>
          <w:rFonts w:ascii="宋体" w:eastAsia="仿宋" w:hAnsi="宋体" w:hint="eastAsia"/>
          <w:b/>
          <w:color w:val="000000"/>
          <w:sz w:val="24"/>
          <w:szCs w:val="24"/>
        </w:rPr>
        <w:t> </w:t>
      </w:r>
      <w:r w:rsidR="00525D86">
        <w:rPr>
          <w:rFonts w:ascii="仿宋" w:eastAsia="仿宋" w:hAnsi="仿宋" w:hint="eastAsia"/>
          <w:b/>
          <w:color w:val="000000"/>
          <w:sz w:val="24"/>
          <w:szCs w:val="24"/>
        </w:rPr>
        <w:t xml:space="preserve"> </w:t>
      </w:r>
      <w:r w:rsidR="00525D86">
        <w:rPr>
          <w:rFonts w:ascii="宋体" w:eastAsia="仿宋" w:hAnsi="宋体" w:hint="eastAsia"/>
          <w:b/>
          <w:color w:val="000000"/>
          <w:sz w:val="24"/>
          <w:szCs w:val="24"/>
        </w:rPr>
        <w:t> </w:t>
      </w:r>
      <w:r w:rsidR="00525D86">
        <w:rPr>
          <w:rFonts w:ascii="仿宋" w:eastAsia="仿宋" w:hAnsi="仿宋" w:hint="eastAsia"/>
          <w:b/>
          <w:color w:val="000000"/>
          <w:sz w:val="24"/>
          <w:szCs w:val="24"/>
        </w:rPr>
        <w:t xml:space="preserve"> </w:t>
      </w:r>
      <w:r w:rsidR="00525D86">
        <w:rPr>
          <w:rFonts w:ascii="宋体" w:eastAsia="仿宋" w:hAnsi="宋体" w:hint="eastAsia"/>
          <w:b/>
          <w:color w:val="000000"/>
          <w:sz w:val="24"/>
          <w:szCs w:val="24"/>
        </w:rPr>
        <w:t> </w:t>
      </w:r>
      <w:r w:rsidR="00525D86">
        <w:rPr>
          <w:rFonts w:ascii="仿宋" w:eastAsia="仿宋" w:hAnsi="仿宋" w:hint="eastAsia"/>
          <w:b/>
          <w:color w:val="000000"/>
          <w:sz w:val="24"/>
          <w:szCs w:val="24"/>
        </w:rPr>
        <w:t xml:space="preserve"> </w:t>
      </w:r>
      <w:r w:rsidR="00525D86">
        <w:rPr>
          <w:rFonts w:ascii="宋体" w:eastAsia="仿宋" w:hAnsi="宋体" w:hint="eastAsia"/>
          <w:b/>
          <w:color w:val="000000"/>
          <w:sz w:val="24"/>
          <w:szCs w:val="24"/>
        </w:rPr>
        <w:t> </w:t>
      </w:r>
      <w:r w:rsidR="00525D86">
        <w:rPr>
          <w:rFonts w:ascii="仿宋" w:eastAsia="仿宋" w:hAnsi="仿宋" w:hint="eastAsia"/>
          <w:b/>
          <w:color w:val="000000"/>
          <w:sz w:val="24"/>
          <w:szCs w:val="24"/>
        </w:rPr>
        <w:t xml:space="preserve"> </w:t>
      </w:r>
      <w:r w:rsidR="00525D86">
        <w:rPr>
          <w:rFonts w:ascii="宋体" w:eastAsia="仿宋" w:hAnsi="宋体" w:hint="eastAsia"/>
          <w:b/>
          <w:color w:val="000000"/>
          <w:sz w:val="24"/>
          <w:szCs w:val="24"/>
        </w:rPr>
        <w:t> </w:t>
      </w:r>
      <w:r w:rsidR="00525D86">
        <w:rPr>
          <w:rFonts w:ascii="仿宋" w:eastAsia="仿宋" w:hAnsi="仿宋" w:hint="eastAsia"/>
          <w:b/>
          <w:color w:val="000000"/>
          <w:sz w:val="24"/>
          <w:szCs w:val="24"/>
        </w:rPr>
        <w:t xml:space="preserve"> </w:t>
      </w:r>
      <w:r w:rsidR="00525D86">
        <w:rPr>
          <w:rFonts w:ascii="宋体" w:eastAsia="仿宋" w:hAnsi="宋体" w:hint="eastAsia"/>
          <w:b/>
          <w:color w:val="000000"/>
          <w:sz w:val="24"/>
          <w:szCs w:val="24"/>
        </w:rPr>
        <w:t> </w:t>
      </w:r>
      <w:r w:rsidR="00525D86">
        <w:rPr>
          <w:rFonts w:ascii="仿宋" w:eastAsia="仿宋" w:hAnsi="仿宋" w:hint="eastAsia"/>
          <w:b/>
          <w:color w:val="000000"/>
          <w:sz w:val="24"/>
          <w:szCs w:val="24"/>
        </w:rPr>
        <w:t xml:space="preserve">                                                      </w:t>
      </w:r>
    </w:p>
    <w:p w:rsidR="00D12885" w:rsidRDefault="00525D86">
      <w:pPr>
        <w:spacing w:line="360" w:lineRule="auto"/>
        <w:ind w:firstLineChars="200" w:firstLine="482"/>
        <w:rPr>
          <w:rFonts w:ascii="仿宋" w:eastAsia="仿宋" w:hAnsi="仿宋"/>
          <w:b/>
          <w:color w:val="000000"/>
          <w:sz w:val="24"/>
          <w:szCs w:val="24"/>
        </w:rPr>
      </w:pPr>
      <w:r>
        <w:rPr>
          <w:rFonts w:ascii="仿宋" w:eastAsia="仿宋" w:hAnsi="仿宋" w:hint="eastAsia"/>
          <w:b/>
          <w:color w:val="000000"/>
          <w:sz w:val="24"/>
          <w:szCs w:val="24"/>
        </w:rPr>
        <w:t xml:space="preserve">                                  中国注册会计师： </w:t>
      </w:r>
    </w:p>
    <w:p w:rsidR="00D12885" w:rsidRDefault="00525D86">
      <w:pPr>
        <w:spacing w:line="360" w:lineRule="auto"/>
        <w:ind w:firstLineChars="200" w:firstLine="482"/>
        <w:rPr>
          <w:rFonts w:ascii="仿宋" w:eastAsia="仿宋" w:hAnsi="仿宋"/>
          <w:b/>
          <w:color w:val="000000"/>
          <w:sz w:val="24"/>
          <w:szCs w:val="24"/>
        </w:rPr>
      </w:pPr>
      <w:r>
        <w:rPr>
          <w:rFonts w:ascii="仿宋" w:eastAsia="仿宋" w:hAnsi="仿宋" w:hint="eastAsia"/>
          <w:b/>
          <w:color w:val="000000"/>
          <w:sz w:val="24"/>
          <w:szCs w:val="24"/>
        </w:rPr>
        <w:t xml:space="preserve">                                                </w:t>
      </w:r>
    </w:p>
    <w:p w:rsidR="00D12885" w:rsidRDefault="00525D86">
      <w:pPr>
        <w:spacing w:line="360" w:lineRule="auto"/>
        <w:ind w:firstLineChars="250" w:firstLine="602"/>
      </w:pPr>
      <w:r>
        <w:rPr>
          <w:rFonts w:ascii="仿宋" w:eastAsia="仿宋" w:hAnsi="仿宋" w:hint="eastAsia"/>
          <w:b/>
          <w:color w:val="000000"/>
          <w:sz w:val="24"/>
          <w:szCs w:val="24"/>
        </w:rPr>
        <w:t>湖南  长沙</w:t>
      </w:r>
      <w:r>
        <w:rPr>
          <w:rFonts w:ascii="宋体" w:eastAsia="仿宋" w:hAnsi="宋体" w:hint="eastAsia"/>
          <w:b/>
          <w:color w:val="000000"/>
          <w:sz w:val="24"/>
          <w:szCs w:val="24"/>
        </w:rPr>
        <w:t> </w:t>
      </w:r>
      <w:r>
        <w:rPr>
          <w:rFonts w:ascii="仿宋" w:eastAsia="仿宋" w:hAnsi="仿宋" w:hint="eastAsia"/>
          <w:b/>
          <w:color w:val="000000"/>
          <w:sz w:val="24"/>
          <w:szCs w:val="24"/>
        </w:rPr>
        <w:t xml:space="preserve">    </w:t>
      </w:r>
      <w:r>
        <w:rPr>
          <w:rFonts w:ascii="宋体" w:eastAsia="仿宋" w:hAnsi="宋体" w:hint="eastAsia"/>
          <w:b/>
          <w:color w:val="000000"/>
          <w:sz w:val="24"/>
          <w:szCs w:val="24"/>
        </w:rPr>
        <w:t> </w:t>
      </w:r>
      <w:r>
        <w:rPr>
          <w:rFonts w:ascii="仿宋" w:eastAsia="仿宋" w:hAnsi="仿宋" w:hint="eastAsia"/>
          <w:b/>
          <w:color w:val="000000"/>
          <w:sz w:val="24"/>
          <w:szCs w:val="24"/>
        </w:rPr>
        <w:t xml:space="preserve"> </w:t>
      </w:r>
      <w:r>
        <w:rPr>
          <w:rFonts w:ascii="宋体" w:eastAsia="仿宋" w:hAnsi="宋体" w:hint="eastAsia"/>
          <w:b/>
          <w:color w:val="000000"/>
          <w:sz w:val="24"/>
          <w:szCs w:val="24"/>
        </w:rPr>
        <w:t> </w:t>
      </w:r>
      <w:r>
        <w:rPr>
          <w:rFonts w:ascii="仿宋" w:eastAsia="仿宋" w:hAnsi="仿宋" w:hint="eastAsia"/>
          <w:b/>
          <w:color w:val="000000"/>
          <w:sz w:val="24"/>
          <w:szCs w:val="24"/>
        </w:rPr>
        <w:t xml:space="preserve"> </w:t>
      </w:r>
      <w:r>
        <w:rPr>
          <w:rFonts w:ascii="宋体" w:eastAsia="仿宋" w:hAnsi="宋体" w:hint="eastAsia"/>
          <w:b/>
          <w:color w:val="000000"/>
          <w:sz w:val="24"/>
          <w:szCs w:val="24"/>
        </w:rPr>
        <w:t> </w:t>
      </w:r>
      <w:r>
        <w:rPr>
          <w:rFonts w:ascii="仿宋" w:eastAsia="仿宋" w:hAnsi="仿宋" w:hint="eastAsia"/>
          <w:b/>
          <w:color w:val="000000"/>
          <w:sz w:val="24"/>
          <w:szCs w:val="24"/>
        </w:rPr>
        <w:t xml:space="preserve">  </w:t>
      </w:r>
      <w:r>
        <w:rPr>
          <w:rFonts w:ascii="宋体" w:eastAsia="仿宋" w:hAnsi="宋体" w:hint="eastAsia"/>
          <w:b/>
          <w:color w:val="000000"/>
          <w:sz w:val="24"/>
          <w:szCs w:val="24"/>
        </w:rPr>
        <w:t> </w:t>
      </w:r>
      <w:r>
        <w:rPr>
          <w:rFonts w:ascii="仿宋" w:eastAsia="仿宋" w:hAnsi="仿宋" w:hint="eastAsia"/>
          <w:b/>
          <w:color w:val="000000"/>
          <w:sz w:val="24"/>
          <w:szCs w:val="24"/>
        </w:rPr>
        <w:t xml:space="preserve"> </w:t>
      </w:r>
      <w:r>
        <w:rPr>
          <w:rFonts w:ascii="宋体" w:eastAsia="仿宋" w:hAnsi="宋体" w:hint="eastAsia"/>
          <w:b/>
          <w:color w:val="000000"/>
          <w:sz w:val="24"/>
          <w:szCs w:val="24"/>
        </w:rPr>
        <w:t> </w:t>
      </w:r>
      <w:r>
        <w:rPr>
          <w:rFonts w:ascii="仿宋" w:eastAsia="仿宋" w:hAnsi="仿宋" w:hint="eastAsia"/>
          <w:b/>
          <w:color w:val="000000"/>
          <w:sz w:val="24"/>
          <w:szCs w:val="24"/>
        </w:rPr>
        <w:t xml:space="preserve">  2021年6月30日</w:t>
      </w:r>
    </w:p>
    <w:p w:rsidR="00D12885" w:rsidRDefault="00525D86">
      <w:pPr>
        <w:pStyle w:val="aa"/>
        <w:ind w:firstLineChars="200" w:firstLine="560"/>
        <w:rPr>
          <w:rFonts w:ascii="仿宋" w:eastAsia="仿宋" w:hAnsi="仿宋"/>
          <w:sz w:val="24"/>
          <w:szCs w:val="24"/>
        </w:rPr>
      </w:pPr>
      <w:r>
        <w:rPr>
          <w:rFonts w:ascii="仿宋" w:eastAsia="仿宋" w:hAnsi="仿宋" w:hint="eastAsia"/>
          <w:sz w:val="28"/>
          <w:szCs w:val="28"/>
        </w:rPr>
        <w:t xml:space="preserve">          </w:t>
      </w:r>
    </w:p>
    <w:p w:rsidR="00D12885" w:rsidRDefault="00D12885">
      <w:pPr>
        <w:pStyle w:val="aa"/>
        <w:rPr>
          <w:rFonts w:ascii="仿宋" w:eastAsia="仿宋" w:hAnsi="仿宋"/>
          <w:sz w:val="28"/>
          <w:szCs w:val="28"/>
        </w:rPr>
      </w:pPr>
    </w:p>
    <w:sectPr w:rsidR="00D12885" w:rsidSect="00D12885">
      <w:footerReference w:type="default" r:id="rId10"/>
      <w:pgSz w:w="11906" w:h="16838"/>
      <w:pgMar w:top="1440" w:right="1800" w:bottom="1440" w:left="1800"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35849" w:rsidRDefault="00C35849">
      <w:pPr>
        <w:spacing w:line="240" w:lineRule="auto"/>
      </w:pPr>
      <w:r>
        <w:separator/>
      </w:r>
    </w:p>
  </w:endnote>
  <w:endnote w:type="continuationSeparator" w:id="0">
    <w:p w:rsidR="00C35849" w:rsidRDefault="00C35849">
      <w:pPr>
        <w:spacing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font>
  <w:font w:name="仿宋">
    <w:panose1 w:val="02010609060101010101"/>
    <w:charset w:val="86"/>
    <w:family w:val="modern"/>
    <w:pitch w:val="fixed"/>
    <w:sig w:usb0="800002BF" w:usb1="38CF7CFA" w:usb2="00000016" w:usb3="00000000" w:csb0="00040001" w:csb1="00000000"/>
  </w:font>
  <w:font w:name="仿宋_GB2312">
    <w:altName w:val="仿宋"/>
    <w:charset w:val="86"/>
    <w:family w:val="modern"/>
    <w:pitch w:val="default"/>
    <w:sig w:usb0="00000000" w:usb1="00000000" w:usb2="00000010" w:usb3="00000000" w:csb0="0004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746338"/>
    </w:sdtPr>
    <w:sdtContent>
      <w:p w:rsidR="00D12885" w:rsidRDefault="00FF0052">
        <w:pPr>
          <w:pStyle w:val="a5"/>
          <w:jc w:val="right"/>
        </w:pPr>
        <w:r w:rsidRPr="00FF0052">
          <w:fldChar w:fldCharType="begin"/>
        </w:r>
        <w:r w:rsidR="00525D86">
          <w:instrText xml:space="preserve"> PAGE   \* MERGEFORMAT </w:instrText>
        </w:r>
        <w:r w:rsidRPr="00FF0052">
          <w:fldChar w:fldCharType="separate"/>
        </w:r>
        <w:r w:rsidR="00C44ED6" w:rsidRPr="00C44ED6">
          <w:rPr>
            <w:noProof/>
            <w:lang w:val="zh-CN"/>
          </w:rPr>
          <w:t>6</w:t>
        </w:r>
        <w:r>
          <w:rPr>
            <w:lang w:val="zh-CN"/>
          </w:rPr>
          <w:fldChar w:fldCharType="end"/>
        </w:r>
      </w:p>
    </w:sdtContent>
  </w:sdt>
  <w:p w:rsidR="00D12885" w:rsidRDefault="00D12885">
    <w:pPr>
      <w:pStyle w:val="a5"/>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35849" w:rsidRDefault="00C35849">
      <w:pPr>
        <w:spacing w:line="240" w:lineRule="auto"/>
      </w:pPr>
      <w:r>
        <w:separator/>
      </w:r>
    </w:p>
  </w:footnote>
  <w:footnote w:type="continuationSeparator" w:id="0">
    <w:p w:rsidR="00C35849" w:rsidRDefault="00C35849">
      <w:pPr>
        <w:spacing w:line="240" w:lineRule="auto"/>
      </w:pPr>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2"/>
  <w:bordersDoNotSurroundHeader/>
  <w:bordersDoNotSurroundFooter/>
  <w:proofState w:spelling="clean"/>
  <w:defaultTabStop w:val="420"/>
  <w:drawingGridVerticalSpacing w:val="156"/>
  <w:noPunctuationKerning/>
  <w:characterSpacingControl w:val="compressPunctuation"/>
  <w:hdrShapeDefaults>
    <o:shapedefaults v:ext="edit" spidmax="10242"/>
  </w:hdrShapeDefaults>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
  <w:rsids>
    <w:rsidRoot w:val="007C479B"/>
    <w:rsid w:val="000066FD"/>
    <w:rsid w:val="00050DDB"/>
    <w:rsid w:val="0008775B"/>
    <w:rsid w:val="000A4E3A"/>
    <w:rsid w:val="001135CD"/>
    <w:rsid w:val="00122845"/>
    <w:rsid w:val="00127BF8"/>
    <w:rsid w:val="00184877"/>
    <w:rsid w:val="001904B1"/>
    <w:rsid w:val="00192988"/>
    <w:rsid w:val="001E0406"/>
    <w:rsid w:val="001F6E77"/>
    <w:rsid w:val="00216E3E"/>
    <w:rsid w:val="00230A8B"/>
    <w:rsid w:val="00244705"/>
    <w:rsid w:val="002C7542"/>
    <w:rsid w:val="002F0C6E"/>
    <w:rsid w:val="00307942"/>
    <w:rsid w:val="00344374"/>
    <w:rsid w:val="0034589E"/>
    <w:rsid w:val="00361248"/>
    <w:rsid w:val="00382315"/>
    <w:rsid w:val="00383F7D"/>
    <w:rsid w:val="0039030D"/>
    <w:rsid w:val="003F5513"/>
    <w:rsid w:val="004259F6"/>
    <w:rsid w:val="004272F7"/>
    <w:rsid w:val="00436364"/>
    <w:rsid w:val="00443FAD"/>
    <w:rsid w:val="0045022D"/>
    <w:rsid w:val="004C4C94"/>
    <w:rsid w:val="004E5AAC"/>
    <w:rsid w:val="004F1790"/>
    <w:rsid w:val="00525D86"/>
    <w:rsid w:val="005912B3"/>
    <w:rsid w:val="005B2C7B"/>
    <w:rsid w:val="006102DF"/>
    <w:rsid w:val="0063151F"/>
    <w:rsid w:val="006433BF"/>
    <w:rsid w:val="006445D1"/>
    <w:rsid w:val="006467F8"/>
    <w:rsid w:val="0066176A"/>
    <w:rsid w:val="006C06A3"/>
    <w:rsid w:val="006C0C7C"/>
    <w:rsid w:val="006C5ECB"/>
    <w:rsid w:val="006F5DB2"/>
    <w:rsid w:val="007B3E1B"/>
    <w:rsid w:val="007C479B"/>
    <w:rsid w:val="007E7C3E"/>
    <w:rsid w:val="007F0D6F"/>
    <w:rsid w:val="00820388"/>
    <w:rsid w:val="008476D9"/>
    <w:rsid w:val="00851A90"/>
    <w:rsid w:val="008A1965"/>
    <w:rsid w:val="00953DBF"/>
    <w:rsid w:val="00962838"/>
    <w:rsid w:val="00A103EB"/>
    <w:rsid w:val="00A31CAA"/>
    <w:rsid w:val="00A74491"/>
    <w:rsid w:val="00AE5754"/>
    <w:rsid w:val="00B26772"/>
    <w:rsid w:val="00B52AEA"/>
    <w:rsid w:val="00B6615A"/>
    <w:rsid w:val="00B87ACB"/>
    <w:rsid w:val="00BC4683"/>
    <w:rsid w:val="00BE6CB5"/>
    <w:rsid w:val="00C31D03"/>
    <w:rsid w:val="00C35849"/>
    <w:rsid w:val="00C44ED6"/>
    <w:rsid w:val="00C5451A"/>
    <w:rsid w:val="00C977E6"/>
    <w:rsid w:val="00CC6F0D"/>
    <w:rsid w:val="00D12885"/>
    <w:rsid w:val="00D96BC5"/>
    <w:rsid w:val="00DE6903"/>
    <w:rsid w:val="00E2302E"/>
    <w:rsid w:val="00E931A7"/>
    <w:rsid w:val="00EA5633"/>
    <w:rsid w:val="00EC5960"/>
    <w:rsid w:val="00EF6501"/>
    <w:rsid w:val="00F11F5A"/>
    <w:rsid w:val="00F127F0"/>
    <w:rsid w:val="00F94084"/>
    <w:rsid w:val="00FE7D02"/>
    <w:rsid w:val="00FF0052"/>
    <w:rsid w:val="00FF5F95"/>
    <w:rsid w:val="026D40F5"/>
    <w:rsid w:val="03386530"/>
    <w:rsid w:val="05F64E2B"/>
    <w:rsid w:val="073C4B29"/>
    <w:rsid w:val="07794DDC"/>
    <w:rsid w:val="07C7099F"/>
    <w:rsid w:val="0B457BB2"/>
    <w:rsid w:val="0E0D4557"/>
    <w:rsid w:val="0F80391C"/>
    <w:rsid w:val="0F8B6067"/>
    <w:rsid w:val="111C76EC"/>
    <w:rsid w:val="125E7F23"/>
    <w:rsid w:val="139E6CC7"/>
    <w:rsid w:val="145E04CE"/>
    <w:rsid w:val="152E5EEC"/>
    <w:rsid w:val="16906644"/>
    <w:rsid w:val="19E929C0"/>
    <w:rsid w:val="1AE708E5"/>
    <w:rsid w:val="1D464DB8"/>
    <w:rsid w:val="1F7774AB"/>
    <w:rsid w:val="241E06A0"/>
    <w:rsid w:val="2719110D"/>
    <w:rsid w:val="27C35BCB"/>
    <w:rsid w:val="2DA5502E"/>
    <w:rsid w:val="2E184E4B"/>
    <w:rsid w:val="2E2665C6"/>
    <w:rsid w:val="30C94526"/>
    <w:rsid w:val="31461624"/>
    <w:rsid w:val="31776EAE"/>
    <w:rsid w:val="31B61CC6"/>
    <w:rsid w:val="321001DE"/>
    <w:rsid w:val="345D27B8"/>
    <w:rsid w:val="37603D5F"/>
    <w:rsid w:val="37885DF4"/>
    <w:rsid w:val="38EF0808"/>
    <w:rsid w:val="3A392223"/>
    <w:rsid w:val="3C071671"/>
    <w:rsid w:val="3EA325DA"/>
    <w:rsid w:val="3EAB4F96"/>
    <w:rsid w:val="3F357C88"/>
    <w:rsid w:val="3F3C231B"/>
    <w:rsid w:val="420F1B9A"/>
    <w:rsid w:val="423A27A9"/>
    <w:rsid w:val="480C59EA"/>
    <w:rsid w:val="49F90EFD"/>
    <w:rsid w:val="4A3E2980"/>
    <w:rsid w:val="4BB22F56"/>
    <w:rsid w:val="4DDC47C1"/>
    <w:rsid w:val="4F28053D"/>
    <w:rsid w:val="50977AC5"/>
    <w:rsid w:val="51823560"/>
    <w:rsid w:val="537C36CD"/>
    <w:rsid w:val="53C10EEE"/>
    <w:rsid w:val="53E12E5C"/>
    <w:rsid w:val="560866F6"/>
    <w:rsid w:val="56ED6BDD"/>
    <w:rsid w:val="57362DD9"/>
    <w:rsid w:val="577E2B19"/>
    <w:rsid w:val="5B466507"/>
    <w:rsid w:val="5C970DDF"/>
    <w:rsid w:val="5D3C24BD"/>
    <w:rsid w:val="5EB11C0D"/>
    <w:rsid w:val="5F6A7DC3"/>
    <w:rsid w:val="60AA0CBA"/>
    <w:rsid w:val="638222A3"/>
    <w:rsid w:val="66C61AD7"/>
    <w:rsid w:val="6AAC38A2"/>
    <w:rsid w:val="6B060DFB"/>
    <w:rsid w:val="6B7D5C34"/>
    <w:rsid w:val="6CAC4DBD"/>
    <w:rsid w:val="6CE436B6"/>
    <w:rsid w:val="6E131A64"/>
    <w:rsid w:val="70056FCC"/>
    <w:rsid w:val="705A7861"/>
    <w:rsid w:val="71E40BFB"/>
    <w:rsid w:val="72A03FF2"/>
    <w:rsid w:val="77CB600D"/>
    <w:rsid w:val="787569EC"/>
    <w:rsid w:val="7CBC63FC"/>
    <w:rsid w:val="7DEF7E01"/>
    <w:rsid w:val="7E6B70B5"/>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4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qFormat="1"/>
    <w:lsdException w:name="header" w:qFormat="1"/>
    <w:lsdException w:name="footer" w:semiHidden="0" w:qFormat="1"/>
    <w:lsdException w:name="caption" w:uiPriority="35" w:qFormat="1"/>
    <w:lsdException w:name="annotation reference"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semiHidden="0" w:qFormat="1"/>
    <w:lsdException w:name="Normal Table" w:qFormat="1"/>
    <w:lsdException w:name="annotation subject" w:qFormat="1"/>
    <w:lsdException w:name="Balloon Text" w:qFormat="1"/>
    <w:lsdException w:name="Table Grid" w:semiHidden="0" w:uiPriority="5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12885"/>
    <w:pPr>
      <w:spacing w:line="540" w:lineRule="exact"/>
    </w:pPr>
    <w:rPr>
      <w:rFonts w:asciiTheme="minorHAnsi" w:eastAsiaTheme="minorEastAsia" w:hAnsiTheme="minorHAnsi" w:cstheme="minorBidi"/>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link w:val="Char"/>
    <w:uiPriority w:val="99"/>
    <w:semiHidden/>
    <w:unhideWhenUsed/>
    <w:qFormat/>
    <w:rsid w:val="00D12885"/>
  </w:style>
  <w:style w:type="paragraph" w:styleId="a4">
    <w:name w:val="Balloon Text"/>
    <w:basedOn w:val="a"/>
    <w:link w:val="Char0"/>
    <w:uiPriority w:val="99"/>
    <w:semiHidden/>
    <w:unhideWhenUsed/>
    <w:qFormat/>
    <w:rsid w:val="00D12885"/>
    <w:pPr>
      <w:spacing w:line="240" w:lineRule="auto"/>
    </w:pPr>
    <w:rPr>
      <w:sz w:val="18"/>
      <w:szCs w:val="18"/>
    </w:rPr>
  </w:style>
  <w:style w:type="paragraph" w:styleId="a5">
    <w:name w:val="footer"/>
    <w:basedOn w:val="a"/>
    <w:link w:val="Char1"/>
    <w:uiPriority w:val="99"/>
    <w:unhideWhenUsed/>
    <w:qFormat/>
    <w:rsid w:val="00D12885"/>
    <w:pPr>
      <w:tabs>
        <w:tab w:val="center" w:pos="4153"/>
        <w:tab w:val="right" w:pos="8306"/>
      </w:tabs>
      <w:snapToGrid w:val="0"/>
      <w:spacing w:line="240" w:lineRule="atLeast"/>
    </w:pPr>
    <w:rPr>
      <w:sz w:val="18"/>
      <w:szCs w:val="18"/>
    </w:rPr>
  </w:style>
  <w:style w:type="paragraph" w:styleId="a6">
    <w:name w:val="header"/>
    <w:basedOn w:val="a"/>
    <w:link w:val="Char2"/>
    <w:uiPriority w:val="99"/>
    <w:semiHidden/>
    <w:unhideWhenUsed/>
    <w:qFormat/>
    <w:rsid w:val="00D12885"/>
    <w:pPr>
      <w:pBdr>
        <w:bottom w:val="single" w:sz="6" w:space="1" w:color="auto"/>
      </w:pBdr>
      <w:tabs>
        <w:tab w:val="center" w:pos="4153"/>
        <w:tab w:val="right" w:pos="8306"/>
      </w:tabs>
      <w:snapToGrid w:val="0"/>
      <w:spacing w:line="240" w:lineRule="atLeast"/>
      <w:jc w:val="center"/>
    </w:pPr>
    <w:rPr>
      <w:sz w:val="18"/>
      <w:szCs w:val="18"/>
    </w:rPr>
  </w:style>
  <w:style w:type="paragraph" w:styleId="a7">
    <w:name w:val="Normal (Web)"/>
    <w:basedOn w:val="a"/>
    <w:uiPriority w:val="99"/>
    <w:unhideWhenUsed/>
    <w:qFormat/>
    <w:rsid w:val="00D12885"/>
    <w:pPr>
      <w:spacing w:before="100" w:beforeAutospacing="1" w:after="100" w:afterAutospacing="1"/>
    </w:pPr>
    <w:rPr>
      <w:rFonts w:ascii="宋体" w:eastAsia="宋体" w:hAnsi="宋体" w:cs="宋体"/>
      <w:kern w:val="0"/>
      <w:sz w:val="24"/>
      <w:szCs w:val="24"/>
    </w:rPr>
  </w:style>
  <w:style w:type="paragraph" w:styleId="a8">
    <w:name w:val="annotation subject"/>
    <w:basedOn w:val="a3"/>
    <w:next w:val="a3"/>
    <w:link w:val="Char3"/>
    <w:uiPriority w:val="99"/>
    <w:semiHidden/>
    <w:unhideWhenUsed/>
    <w:qFormat/>
    <w:rsid w:val="00D12885"/>
    <w:rPr>
      <w:b/>
      <w:bCs/>
    </w:rPr>
  </w:style>
  <w:style w:type="character" w:styleId="a9">
    <w:name w:val="annotation reference"/>
    <w:basedOn w:val="a0"/>
    <w:uiPriority w:val="99"/>
    <w:semiHidden/>
    <w:unhideWhenUsed/>
    <w:qFormat/>
    <w:rsid w:val="00D12885"/>
    <w:rPr>
      <w:sz w:val="21"/>
      <w:szCs w:val="21"/>
    </w:rPr>
  </w:style>
  <w:style w:type="paragraph" w:styleId="aa">
    <w:name w:val="No Spacing"/>
    <w:uiPriority w:val="1"/>
    <w:qFormat/>
    <w:rsid w:val="00D12885"/>
    <w:pPr>
      <w:widowControl w:val="0"/>
      <w:spacing w:line="540" w:lineRule="exact"/>
      <w:jc w:val="both"/>
    </w:pPr>
    <w:rPr>
      <w:rFonts w:asciiTheme="minorHAnsi" w:eastAsiaTheme="minorEastAsia" w:hAnsiTheme="minorHAnsi" w:cstheme="minorBidi"/>
      <w:kern w:val="2"/>
      <w:sz w:val="21"/>
      <w:szCs w:val="22"/>
    </w:rPr>
  </w:style>
  <w:style w:type="paragraph" w:styleId="ab">
    <w:name w:val="List Paragraph"/>
    <w:basedOn w:val="a"/>
    <w:uiPriority w:val="34"/>
    <w:qFormat/>
    <w:rsid w:val="00D12885"/>
    <w:pPr>
      <w:ind w:firstLineChars="200" w:firstLine="420"/>
    </w:pPr>
  </w:style>
  <w:style w:type="character" w:customStyle="1" w:styleId="Char2">
    <w:name w:val="页眉 Char"/>
    <w:basedOn w:val="a0"/>
    <w:link w:val="a6"/>
    <w:uiPriority w:val="99"/>
    <w:semiHidden/>
    <w:qFormat/>
    <w:rsid w:val="00D12885"/>
    <w:rPr>
      <w:sz w:val="18"/>
      <w:szCs w:val="18"/>
    </w:rPr>
  </w:style>
  <w:style w:type="character" w:customStyle="1" w:styleId="Char1">
    <w:name w:val="页脚 Char"/>
    <w:basedOn w:val="a0"/>
    <w:link w:val="a5"/>
    <w:uiPriority w:val="99"/>
    <w:qFormat/>
    <w:rsid w:val="00D12885"/>
    <w:rPr>
      <w:sz w:val="18"/>
      <w:szCs w:val="18"/>
    </w:rPr>
  </w:style>
  <w:style w:type="paragraph" w:customStyle="1" w:styleId="p0">
    <w:name w:val="p0"/>
    <w:basedOn w:val="a"/>
    <w:qFormat/>
    <w:rsid w:val="00D12885"/>
    <w:pPr>
      <w:spacing w:before="100" w:beforeAutospacing="1" w:after="100" w:afterAutospacing="1" w:line="240" w:lineRule="auto"/>
    </w:pPr>
    <w:rPr>
      <w:rFonts w:ascii="宋体" w:eastAsia="宋体" w:hAnsi="宋体" w:cs="宋体"/>
      <w:color w:val="000000"/>
      <w:kern w:val="0"/>
      <w:sz w:val="18"/>
      <w:szCs w:val="18"/>
    </w:rPr>
  </w:style>
  <w:style w:type="character" w:customStyle="1" w:styleId="Char0">
    <w:name w:val="批注框文本 Char"/>
    <w:basedOn w:val="a0"/>
    <w:link w:val="a4"/>
    <w:uiPriority w:val="99"/>
    <w:semiHidden/>
    <w:qFormat/>
    <w:rsid w:val="00D12885"/>
    <w:rPr>
      <w:rFonts w:asciiTheme="minorHAnsi" w:eastAsiaTheme="minorEastAsia" w:hAnsiTheme="minorHAnsi" w:cstheme="minorBidi"/>
      <w:kern w:val="2"/>
      <w:sz w:val="18"/>
      <w:szCs w:val="18"/>
    </w:rPr>
  </w:style>
  <w:style w:type="character" w:customStyle="1" w:styleId="Char">
    <w:name w:val="批注文字 Char"/>
    <w:basedOn w:val="a0"/>
    <w:link w:val="a3"/>
    <w:uiPriority w:val="99"/>
    <w:semiHidden/>
    <w:qFormat/>
    <w:rsid w:val="00D12885"/>
    <w:rPr>
      <w:rFonts w:asciiTheme="minorHAnsi" w:eastAsiaTheme="minorEastAsia" w:hAnsiTheme="minorHAnsi" w:cstheme="minorBidi"/>
      <w:kern w:val="2"/>
      <w:sz w:val="21"/>
      <w:szCs w:val="22"/>
    </w:rPr>
  </w:style>
  <w:style w:type="character" w:customStyle="1" w:styleId="Char3">
    <w:name w:val="批注主题 Char"/>
    <w:basedOn w:val="Char"/>
    <w:link w:val="a8"/>
    <w:uiPriority w:val="99"/>
    <w:semiHidden/>
    <w:qFormat/>
    <w:rsid w:val="00D12885"/>
    <w:rPr>
      <w:b/>
      <w:bCs/>
    </w:rPr>
  </w:style>
</w:styles>
</file>

<file path=word/webSettings.xml><?xml version="1.0" encoding="utf-8"?>
<w:webSettings xmlns:r="http://schemas.openxmlformats.org/officeDocument/2006/relationships" xmlns:w="http://schemas.openxmlformats.org/wordprocessingml/2006/main">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jpe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F352A57B-16DF-417C-8DC7-5C97834DAFF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TotalTime>
  <Pages>1</Pages>
  <Words>731</Words>
  <Characters>4168</Characters>
  <Application>Microsoft Office Word</Application>
  <DocSecurity>0</DocSecurity>
  <Lines>34</Lines>
  <Paragraphs>9</Paragraphs>
  <ScaleCrop>false</ScaleCrop>
  <Company/>
  <LinksUpToDate>false</LinksUpToDate>
  <CharactersWithSpaces>4890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Administrator</cp:lastModifiedBy>
  <cp:revision>33</cp:revision>
  <cp:lastPrinted>2021-09-06T02:08:00Z</cp:lastPrinted>
  <dcterms:created xsi:type="dcterms:W3CDTF">2019-06-06T07:34:00Z</dcterms:created>
  <dcterms:modified xsi:type="dcterms:W3CDTF">2021-09-06T02:09:00Z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2052-11.1.0.10700</vt:lpwstr>
  </property>
  <property fmtid="{D5CDD505-2E9C-101B-9397-08002B2CF9AE}" pid="3" name="ICV">
    <vt:lpwstr>E2843101C734441BB9F17C8463C86334</vt:lpwstr>
  </property>
</Properties>
</file>