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23C3" w:rsidRDefault="000F23C3">
      <w:pPr>
        <w:shd w:val="clear" w:color="auto" w:fill="FFFFFF"/>
        <w:spacing w:line="900" w:lineRule="atLeast"/>
        <w:jc w:val="center"/>
        <w:outlineLvl w:val="0"/>
        <w:rPr>
          <w:rFonts w:ascii="仿宋" w:eastAsia="仿宋" w:hAnsi="仿宋" w:cs="宋体"/>
          <w:b/>
          <w:bCs/>
          <w:color w:val="333333"/>
          <w:kern w:val="36"/>
          <w:sz w:val="36"/>
          <w:szCs w:val="36"/>
        </w:rPr>
      </w:pPr>
    </w:p>
    <w:p w:rsidR="000F23C3" w:rsidRDefault="000F23C3">
      <w:pPr>
        <w:shd w:val="clear" w:color="auto" w:fill="FFFFFF"/>
        <w:spacing w:line="900" w:lineRule="atLeast"/>
        <w:jc w:val="center"/>
        <w:outlineLvl w:val="0"/>
        <w:rPr>
          <w:rFonts w:ascii="仿宋" w:eastAsia="仿宋" w:hAnsi="仿宋" w:cs="宋体"/>
          <w:b/>
          <w:bCs/>
          <w:color w:val="333333"/>
          <w:kern w:val="36"/>
          <w:sz w:val="36"/>
          <w:szCs w:val="36"/>
        </w:rPr>
      </w:pPr>
    </w:p>
    <w:p w:rsidR="000A1845" w:rsidRDefault="008366E2" w:rsidP="000A1845">
      <w:pPr>
        <w:shd w:val="clear" w:color="auto" w:fill="FFFFFF"/>
        <w:spacing w:line="900" w:lineRule="atLeas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南县融媒体中心</w:t>
      </w:r>
      <w:r w:rsidR="000A1845">
        <w:rPr>
          <w:rFonts w:ascii="仿宋" w:eastAsia="仿宋" w:hAnsi="仿宋" w:cs="宋体" w:hint="eastAsia"/>
          <w:b/>
          <w:bCs/>
          <w:color w:val="333333"/>
          <w:kern w:val="36"/>
          <w:sz w:val="36"/>
          <w:szCs w:val="36"/>
        </w:rPr>
        <w:t>2020年招聘人员专项支出</w:t>
      </w:r>
    </w:p>
    <w:p w:rsidR="000F23C3" w:rsidRDefault="008366E2">
      <w:pPr>
        <w:shd w:val="clear" w:color="auto" w:fill="FFFFFF"/>
        <w:spacing w:line="900" w:lineRule="atLeas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绩效评价报告</w:t>
      </w:r>
    </w:p>
    <w:p w:rsidR="000F23C3" w:rsidRDefault="008366E2">
      <w:pPr>
        <w:tabs>
          <w:tab w:val="left" w:pos="1260"/>
          <w:tab w:val="left" w:pos="6090"/>
        </w:tabs>
        <w:spacing w:line="74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81595E">
        <w:rPr>
          <w:rFonts w:ascii="仿宋" w:eastAsia="仿宋" w:hAnsi="仿宋" w:hint="eastAsia"/>
          <w:b/>
          <w:spacing w:val="24"/>
          <w:sz w:val="28"/>
          <w:szCs w:val="28"/>
        </w:rPr>
        <w:t>013</w:t>
      </w:r>
      <w:r>
        <w:rPr>
          <w:rFonts w:ascii="仿宋" w:eastAsia="仿宋" w:hAnsi="仿宋" w:hint="eastAsia"/>
          <w:b/>
          <w:spacing w:val="24"/>
          <w:sz w:val="28"/>
          <w:szCs w:val="28"/>
        </w:rPr>
        <w:t>号</w:t>
      </w: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81595E" w:rsidRDefault="0081595E">
      <w:pPr>
        <w:tabs>
          <w:tab w:val="left" w:pos="1260"/>
          <w:tab w:val="left" w:pos="6090"/>
        </w:tabs>
        <w:spacing w:line="740" w:lineRule="exact"/>
        <w:jc w:val="center"/>
        <w:rPr>
          <w:rFonts w:ascii="仿宋" w:eastAsia="仿宋" w:hAnsi="仿宋"/>
          <w:b/>
          <w:spacing w:val="24"/>
          <w:sz w:val="52"/>
          <w:szCs w:val="52"/>
        </w:rPr>
      </w:pPr>
    </w:p>
    <w:p w:rsidR="000F23C3" w:rsidRDefault="000F23C3">
      <w:pPr>
        <w:tabs>
          <w:tab w:val="left" w:pos="1260"/>
          <w:tab w:val="left" w:pos="6090"/>
        </w:tabs>
        <w:spacing w:line="740" w:lineRule="exact"/>
        <w:jc w:val="center"/>
        <w:rPr>
          <w:rFonts w:ascii="仿宋" w:eastAsia="仿宋" w:hAnsi="仿宋"/>
          <w:b/>
          <w:spacing w:val="24"/>
          <w:sz w:val="52"/>
          <w:szCs w:val="52"/>
        </w:rPr>
      </w:pPr>
    </w:p>
    <w:p w:rsidR="000F23C3" w:rsidRDefault="008366E2">
      <w:pPr>
        <w:tabs>
          <w:tab w:val="left" w:pos="1260"/>
          <w:tab w:val="left" w:pos="6090"/>
        </w:tabs>
        <w:spacing w:line="740" w:lineRule="exact"/>
        <w:jc w:val="center"/>
        <w:rPr>
          <w:rFonts w:ascii="仿宋" w:eastAsia="仿宋" w:hAnsi="仿宋" w:hint="eastAsia"/>
          <w:b/>
          <w:spacing w:val="24"/>
          <w:sz w:val="32"/>
          <w:szCs w:val="32"/>
        </w:rPr>
      </w:pPr>
      <w:r>
        <w:rPr>
          <w:rFonts w:ascii="仿宋" w:eastAsia="仿宋" w:hAnsi="仿宋" w:hint="eastAsia"/>
          <w:b/>
          <w:spacing w:val="24"/>
          <w:sz w:val="32"/>
          <w:szCs w:val="32"/>
        </w:rPr>
        <w:t>湖南新财苑会计师事务所有限公司</w:t>
      </w:r>
    </w:p>
    <w:p w:rsidR="000A1845" w:rsidRDefault="000A1845">
      <w:pPr>
        <w:tabs>
          <w:tab w:val="left" w:pos="1260"/>
          <w:tab w:val="left" w:pos="6090"/>
        </w:tabs>
        <w:spacing w:line="740" w:lineRule="exact"/>
        <w:jc w:val="center"/>
        <w:rPr>
          <w:rFonts w:ascii="仿宋" w:eastAsia="仿宋" w:hAnsi="仿宋"/>
          <w:b/>
          <w:spacing w:val="24"/>
          <w:sz w:val="32"/>
          <w:szCs w:val="32"/>
        </w:rPr>
      </w:pPr>
    </w:p>
    <w:p w:rsidR="000A1845" w:rsidRDefault="000A1845">
      <w:pPr>
        <w:tabs>
          <w:tab w:val="left" w:pos="1260"/>
          <w:tab w:val="left" w:pos="6090"/>
        </w:tabs>
        <w:spacing w:line="740" w:lineRule="exact"/>
        <w:jc w:val="distribute"/>
        <w:rPr>
          <w:rFonts w:ascii="宋体" w:hAnsi="宋体" w:hint="eastAsia"/>
          <w:b/>
          <w:spacing w:val="24"/>
          <w:sz w:val="48"/>
          <w:szCs w:val="48"/>
        </w:rPr>
      </w:pPr>
    </w:p>
    <w:p w:rsidR="000F23C3" w:rsidRDefault="008366E2">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0F23C3" w:rsidRDefault="008366E2">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0F23C3" w:rsidRDefault="008366E2">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0F23C3">
        <w:tc>
          <w:tcPr>
            <w:tcW w:w="9407" w:type="dxa"/>
            <w:tcBorders>
              <w:top w:val="single" w:sz="4" w:space="0" w:color="auto"/>
              <w:left w:val="nil"/>
              <w:bottom w:val="nil"/>
              <w:right w:val="nil"/>
            </w:tcBorders>
          </w:tcPr>
          <w:p w:rsidR="000A1845" w:rsidRDefault="000A1845" w:rsidP="000A1845">
            <w:pPr>
              <w:shd w:val="clear" w:color="auto" w:fill="FFFFFF"/>
              <w:spacing w:line="520" w:lineRule="exact"/>
              <w:jc w:val="center"/>
              <w:outlineLvl w:val="0"/>
              <w:rPr>
                <w:rFonts w:ascii="仿宋" w:eastAsia="仿宋" w:hAnsi="仿宋"/>
                <w:b/>
                <w:sz w:val="36"/>
                <w:szCs w:val="36"/>
              </w:rPr>
            </w:pPr>
            <w:r>
              <w:rPr>
                <w:rFonts w:ascii="仿宋" w:eastAsia="仿宋" w:hAnsi="仿宋" w:hint="eastAsia"/>
                <w:b/>
                <w:sz w:val="36"/>
                <w:szCs w:val="36"/>
              </w:rPr>
              <w:t>南县融媒体中心2020年招聘人员专项支出</w:t>
            </w:r>
          </w:p>
          <w:p w:rsidR="000A1845" w:rsidRDefault="000A1845" w:rsidP="000A1845">
            <w:pPr>
              <w:spacing w:line="520" w:lineRule="exact"/>
              <w:ind w:leftChars="1450" w:left="3045" w:firstLineChars="50" w:firstLine="181"/>
              <w:rPr>
                <w:rFonts w:ascii="仿宋" w:eastAsia="仿宋" w:hAnsi="仿宋"/>
                <w:b/>
                <w:sz w:val="36"/>
                <w:szCs w:val="36"/>
              </w:rPr>
            </w:pPr>
            <w:r>
              <w:rPr>
                <w:rFonts w:ascii="仿宋" w:eastAsia="仿宋" w:hAnsi="仿宋" w:hint="eastAsia"/>
                <w:b/>
                <w:sz w:val="36"/>
                <w:szCs w:val="36"/>
              </w:rPr>
              <w:t>绩效评价报告</w:t>
            </w:r>
          </w:p>
          <w:p w:rsidR="000F23C3" w:rsidRDefault="000A1845" w:rsidP="000A1845">
            <w:pPr>
              <w:spacing w:line="520" w:lineRule="exact"/>
              <w:ind w:firstLineChars="700" w:firstLine="2296"/>
              <w:rPr>
                <w:rFonts w:eastAsia="仿宋_GB2312"/>
                <w:szCs w:val="21"/>
                <w:u w:val="single"/>
                <w:bdr w:val="single" w:sz="4" w:space="0" w:color="auto"/>
              </w:rPr>
            </w:pPr>
            <w:r>
              <w:rPr>
                <w:rFonts w:ascii="仿宋" w:eastAsia="仿宋" w:hAnsi="仿宋" w:hint="eastAsia"/>
                <w:spacing w:val="24"/>
                <w:sz w:val="28"/>
                <w:szCs w:val="28"/>
              </w:rPr>
              <w:t>湘财苑绩评字[2021]1-013号</w:t>
            </w:r>
          </w:p>
        </w:tc>
      </w:tr>
    </w:tbl>
    <w:p w:rsidR="000F23C3" w:rsidRDefault="008366E2">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28日对南县融媒体中心2020年度“招聘人员专项”工作经费（以下简称项目资金）开展了绩效评价。现将有关情况报告如下：</w:t>
      </w:r>
    </w:p>
    <w:p w:rsidR="000F23C3" w:rsidRDefault="008366E2">
      <w:pPr>
        <w:pStyle w:val="aa"/>
        <w:ind w:firstLineChars="250" w:firstLine="803"/>
        <w:rPr>
          <w:rFonts w:ascii="仿宋" w:eastAsia="仿宋" w:hAnsi="仿宋"/>
          <w:b/>
          <w:sz w:val="32"/>
          <w:szCs w:val="32"/>
        </w:rPr>
      </w:pPr>
      <w:r>
        <w:rPr>
          <w:rFonts w:ascii="仿宋" w:eastAsia="仿宋" w:hAnsi="仿宋" w:hint="eastAsia"/>
          <w:b/>
          <w:sz w:val="32"/>
          <w:szCs w:val="32"/>
        </w:rPr>
        <w:t>一、基本情况</w:t>
      </w:r>
    </w:p>
    <w:p w:rsidR="000F23C3" w:rsidRDefault="008366E2">
      <w:pPr>
        <w:pStyle w:val="a7"/>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融媒体中心为县委直属正科级公益二类事业单位，加挂县广播电视台牌子，归口县委宣传部领导。下设11个内设机构，同时，负责管理南县融创传媒集团有限公司、湖南有线南县网络有限公司、南县鑫网数字电视有限公司、南县电影发行放映公司。主要职责有：1.贯彻执行党和国家有关新闻宣传、广播电视管理等方面的方针政策和法律法规规章；根据国家、省、市、县的总体规划和要求，拟定全县融媒体事业发展规划、计划，经批准后组织实施；2.围绕县委、县政府重大决策及中心工作，主动策划广播、电视、报纸及互联网的新闻宣传工作，组织部署媒体活动；3.负责新媒体新技术引进、使用、推广，贯彻落实广播、电视、互联网行业政策和法律法规，确保宣传事业、</w:t>
      </w:r>
      <w:r>
        <w:rPr>
          <w:rFonts w:ascii="仿宋" w:eastAsia="仿宋" w:hAnsi="仿宋" w:hint="eastAsia"/>
        </w:rPr>
        <w:lastRenderedPageBreak/>
        <w:t>媒体运营等工作规范有序等。南县融媒体中心现有事业编制132名，其中全额编制43名，差额事业编制64名，自收自支事业编制25名。</w:t>
      </w:r>
    </w:p>
    <w:p w:rsidR="000F23C3" w:rsidRDefault="008366E2">
      <w:pPr>
        <w:pStyle w:val="a7"/>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纳入本次绩效评价的项目名称为南县融媒体中心2020年“招聘人员专项”。根据南广报（2016）6号《南县广播电视台关于解决招聘人员工资待遇并纳入部门预算专项支出的请示》，南县融媒体中心（原名南县广播电视台）向县人民政府申请招聘人员工资待遇，南县广播电视台作为县内主流媒体，承担着对内对外新闻宣传和发展广电事业的重任。随着新时期媒体的迅速发展，对新闻媒体专业领域人才的需求也逐步提升，招聘人员工资待遇问题越来越突出。为确保主流媒体宣传功效，打造“洞庭明珠、生态南县”，更好地树立南县形象，保证南县广电宣传媒体事业的科学健康持续发展，中心确定了当年招聘人员工资待遇285万元（按2019年招聘人员标准52人算，其中电视台播音员5人×年均工资10万元=50万；电台播音员5人×年均工资5万元=25万元；记者14人×年均工资6万元=84万元；编排、值机、新媒体从业人员及内勤人员28人×年均工资4.5万元=126万元）；员工社保、住房公积金20万元，合计305万元，并将此项支出纳入以后部门预算专项支出。2020年经县政府批准由财政安排南县融媒体中心2020年招聘人员专项工作经费共计305万元。</w:t>
      </w:r>
    </w:p>
    <w:p w:rsidR="000F23C3" w:rsidRDefault="008366E2">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0F23C3" w:rsidRDefault="008366E2">
      <w:pPr>
        <w:ind w:firstLineChars="200" w:firstLine="480"/>
        <w:rPr>
          <w:rFonts w:ascii="仿宋" w:eastAsia="仿宋" w:hAnsi="仿宋"/>
          <w:sz w:val="24"/>
          <w:szCs w:val="24"/>
        </w:rPr>
      </w:pPr>
      <w:r>
        <w:rPr>
          <w:rFonts w:ascii="仿宋" w:eastAsia="仿宋" w:hAnsi="仿宋" w:hint="eastAsia"/>
          <w:sz w:val="24"/>
          <w:szCs w:val="24"/>
        </w:rPr>
        <w:t>（一）项目资金到位情况。南县融媒体中心2020年 “招聘人员专项”县级财政预算安排项目资金3,050,000.00元，但2020年6月4日根据《南县人民政府常务会议纪要》[2020]10号文件，第四项第二条：按照“钱随事走”的原则，将县融媒体中心合作媒体用预算划转至融媒体中心，同时决定核减2020年招聘人员专项资金100万元（此核减未在《南县人民政府常务会议纪要》[2020]10号文件里列明，根据南县融媒体财务领导口述，会议经过县政府及县财政商议，决定核减南县融媒体中心2020招聘人员专项100万元）。县财政实际拨款金额2,050,000.00元，资金到位率100%。</w:t>
      </w:r>
    </w:p>
    <w:p w:rsidR="000F23C3" w:rsidRDefault="008366E2">
      <w:pPr>
        <w:ind w:firstLineChars="200" w:firstLine="480"/>
        <w:rPr>
          <w:rFonts w:ascii="仿宋" w:eastAsia="仿宋" w:hAnsi="仿宋"/>
          <w:sz w:val="24"/>
          <w:szCs w:val="24"/>
        </w:rPr>
      </w:pPr>
      <w:r>
        <w:rPr>
          <w:rFonts w:ascii="仿宋" w:eastAsia="仿宋" w:hAnsi="仿宋" w:hint="eastAsia"/>
          <w:color w:val="000000" w:themeColor="text1"/>
          <w:sz w:val="24"/>
          <w:szCs w:val="24"/>
        </w:rPr>
        <w:lastRenderedPageBreak/>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情况。“2020年招聘人员专项”项目资金</w:t>
      </w:r>
      <w:r>
        <w:rPr>
          <w:rFonts w:ascii="仿宋" w:eastAsia="仿宋" w:hAnsi="仿宋" w:hint="eastAsia"/>
          <w:sz w:val="24"/>
          <w:szCs w:val="24"/>
        </w:rPr>
        <w:t>实际使用资金2,981,446.00元，其中：使用县级财政资金2,050,000.00万元，使用自有资金931,446.00元。资金明细情况如下：</w:t>
      </w:r>
    </w:p>
    <w:tbl>
      <w:tblPr>
        <w:tblW w:w="9539" w:type="dxa"/>
        <w:tblInd w:w="-217" w:type="dxa"/>
        <w:tblLayout w:type="fixed"/>
        <w:tblLook w:val="04A0"/>
      </w:tblPr>
      <w:tblGrid>
        <w:gridCol w:w="734"/>
        <w:gridCol w:w="938"/>
        <w:gridCol w:w="1306"/>
        <w:gridCol w:w="1867"/>
        <w:gridCol w:w="1717"/>
        <w:gridCol w:w="1134"/>
        <w:gridCol w:w="993"/>
        <w:gridCol w:w="850"/>
      </w:tblGrid>
      <w:tr w:rsidR="000F23C3" w:rsidTr="000A1845">
        <w:trPr>
          <w:trHeight w:val="968"/>
        </w:trPr>
        <w:tc>
          <w:tcPr>
            <w:tcW w:w="734" w:type="dxa"/>
            <w:tcBorders>
              <w:top w:val="single" w:sz="8" w:space="0" w:color="000000"/>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序号</w:t>
            </w:r>
          </w:p>
        </w:tc>
        <w:tc>
          <w:tcPr>
            <w:tcW w:w="938"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年初预算（万元）</w:t>
            </w:r>
          </w:p>
        </w:tc>
        <w:tc>
          <w:tcPr>
            <w:tcW w:w="1306"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本年调整项目资金（万元）</w:t>
            </w:r>
          </w:p>
        </w:tc>
        <w:tc>
          <w:tcPr>
            <w:tcW w:w="1867"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本年开支项目</w:t>
            </w:r>
          </w:p>
        </w:tc>
        <w:tc>
          <w:tcPr>
            <w:tcW w:w="1717"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rsidP="000A1845">
            <w:pP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本年支出金额（元）</w:t>
            </w:r>
          </w:p>
        </w:tc>
        <w:tc>
          <w:tcPr>
            <w:tcW w:w="1134"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支出资金总额（万元）</w:t>
            </w:r>
          </w:p>
        </w:tc>
        <w:tc>
          <w:tcPr>
            <w:tcW w:w="993"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5"/>
                <w:szCs w:val="15"/>
              </w:rPr>
            </w:pPr>
            <w:r w:rsidRPr="000A1845">
              <w:rPr>
                <w:rFonts w:ascii="仿宋" w:eastAsia="仿宋" w:hAnsi="仿宋" w:cs="宋体" w:hint="eastAsia"/>
                <w:color w:val="000000"/>
                <w:kern w:val="0"/>
                <w:sz w:val="15"/>
                <w:szCs w:val="15"/>
              </w:rPr>
              <w:t>占支出资金比例</w:t>
            </w:r>
          </w:p>
        </w:tc>
        <w:tc>
          <w:tcPr>
            <w:tcW w:w="850" w:type="dxa"/>
            <w:tcBorders>
              <w:top w:val="single" w:sz="8" w:space="0" w:color="000000"/>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kern w:val="0"/>
                <w:sz w:val="15"/>
                <w:szCs w:val="15"/>
              </w:rPr>
            </w:pPr>
            <w:r w:rsidRPr="000A1845">
              <w:rPr>
                <w:rFonts w:ascii="仿宋" w:eastAsia="仿宋" w:hAnsi="仿宋" w:cs="宋体" w:hint="eastAsia"/>
                <w:color w:val="000000"/>
                <w:kern w:val="0"/>
                <w:sz w:val="15"/>
                <w:szCs w:val="15"/>
              </w:rPr>
              <w:t>预算执行率%</w:t>
            </w:r>
          </w:p>
        </w:tc>
      </w:tr>
      <w:tr w:rsidR="000F23C3" w:rsidTr="000A1845">
        <w:trPr>
          <w:trHeight w:val="431"/>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1</w:t>
            </w:r>
          </w:p>
        </w:tc>
        <w:tc>
          <w:tcPr>
            <w:tcW w:w="938" w:type="dxa"/>
            <w:vMerge w:val="restart"/>
            <w:tcBorders>
              <w:top w:val="nil"/>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305.00 </w:t>
            </w:r>
          </w:p>
        </w:tc>
        <w:tc>
          <w:tcPr>
            <w:tcW w:w="1306" w:type="dxa"/>
            <w:vMerge w:val="restart"/>
            <w:tcBorders>
              <w:top w:val="nil"/>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-100.00 </w:t>
            </w: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基本工资支出</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1,710,969.00 </w:t>
            </w:r>
          </w:p>
        </w:tc>
        <w:tc>
          <w:tcPr>
            <w:tcW w:w="1134" w:type="dxa"/>
            <w:vMerge w:val="restart"/>
            <w:tcBorders>
              <w:top w:val="nil"/>
              <w:left w:val="nil"/>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298.1446</w:t>
            </w: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57.39%</w:t>
            </w:r>
          </w:p>
        </w:tc>
        <w:tc>
          <w:tcPr>
            <w:tcW w:w="850" w:type="dxa"/>
            <w:vMerge w:val="restart"/>
            <w:tcBorders>
              <w:top w:val="nil"/>
              <w:left w:val="nil"/>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kern w:val="0"/>
                <w:sz w:val="18"/>
                <w:szCs w:val="18"/>
              </w:rPr>
            </w:pPr>
            <w:r w:rsidRPr="000A1845">
              <w:rPr>
                <w:rFonts w:ascii="仿宋" w:eastAsia="仿宋" w:hAnsi="仿宋" w:cs="宋体" w:hint="eastAsia"/>
                <w:color w:val="000000"/>
                <w:kern w:val="0"/>
                <w:sz w:val="18"/>
                <w:szCs w:val="18"/>
              </w:rPr>
              <w:t>145.43</w:t>
            </w:r>
          </w:p>
        </w:tc>
      </w:tr>
      <w:tr w:rsidR="000F23C3" w:rsidTr="000A1845">
        <w:trPr>
          <w:trHeight w:val="297"/>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2</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奖金</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448,000.00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15.03%</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3</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基本养老金支出</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310,464.00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10.41%</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4</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住房公积金</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103,358.00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3.47%</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5</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基本医疗保险金支出</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8,120.00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0.27%</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6</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其他工资福利</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268,220.00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9.00%</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7</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其他费用支出</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103,040.00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3.46%</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8</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其他个人补助</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18,876.00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0.63%</w:t>
            </w:r>
          </w:p>
        </w:tc>
        <w:tc>
          <w:tcPr>
            <w:tcW w:w="850" w:type="dxa"/>
            <w:vMerge/>
            <w:tcBorders>
              <w:left w:val="nil"/>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9</w:t>
            </w:r>
          </w:p>
        </w:tc>
        <w:tc>
          <w:tcPr>
            <w:tcW w:w="938"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306"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1867" w:type="dxa"/>
            <w:tcBorders>
              <w:top w:val="nil"/>
              <w:left w:val="nil"/>
              <w:bottom w:val="single" w:sz="8" w:space="0" w:color="000000"/>
              <w:right w:val="single" w:sz="8" w:space="0" w:color="000000"/>
            </w:tcBorders>
            <w:shd w:val="clear" w:color="auto" w:fill="auto"/>
            <w:vAlign w:val="center"/>
          </w:tcPr>
          <w:p w:rsidR="000F23C3" w:rsidRPr="000A1845" w:rsidRDefault="008366E2">
            <w:pP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其他商品和服务支出</w:t>
            </w: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 xml:space="preserve">10,399.00 </w:t>
            </w:r>
          </w:p>
        </w:tc>
        <w:tc>
          <w:tcPr>
            <w:tcW w:w="1134" w:type="dxa"/>
            <w:vMerge/>
            <w:tcBorders>
              <w:top w:val="nil"/>
              <w:left w:val="nil"/>
              <w:bottom w:val="single" w:sz="8" w:space="0" w:color="000000"/>
              <w:right w:val="single" w:sz="8" w:space="0" w:color="000000"/>
            </w:tcBorders>
            <w:shd w:val="clear" w:color="auto" w:fill="auto"/>
            <w:vAlign w:val="center"/>
          </w:tcPr>
          <w:p w:rsidR="000F23C3" w:rsidRPr="000A1845" w:rsidRDefault="000F23C3">
            <w:pPr>
              <w:jc w:val="center"/>
              <w:rPr>
                <w:rFonts w:ascii="仿宋" w:eastAsia="仿宋" w:hAnsi="仿宋" w:cs="宋体"/>
                <w:color w:val="000000"/>
                <w:sz w:val="18"/>
                <w:szCs w:val="18"/>
              </w:rPr>
            </w:pP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pPr>
              <w:jc w:val="right"/>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0.35%</w:t>
            </w:r>
          </w:p>
        </w:tc>
        <w:tc>
          <w:tcPr>
            <w:tcW w:w="850" w:type="dxa"/>
            <w:vMerge/>
            <w:tcBorders>
              <w:left w:val="nil"/>
              <w:bottom w:val="single" w:sz="8" w:space="0" w:color="000000"/>
              <w:right w:val="single" w:sz="8" w:space="0" w:color="000000"/>
            </w:tcBorders>
            <w:shd w:val="clear" w:color="auto" w:fill="auto"/>
            <w:vAlign w:val="center"/>
          </w:tcPr>
          <w:p w:rsidR="000F23C3" w:rsidRPr="000A1845" w:rsidRDefault="000F23C3">
            <w:pPr>
              <w:jc w:val="right"/>
              <w:textAlignment w:val="center"/>
              <w:rPr>
                <w:rFonts w:ascii="仿宋" w:eastAsia="仿宋" w:hAnsi="仿宋" w:cs="宋体"/>
                <w:color w:val="000000"/>
                <w:kern w:val="0"/>
                <w:sz w:val="18"/>
                <w:szCs w:val="18"/>
              </w:rPr>
            </w:pPr>
          </w:p>
        </w:tc>
      </w:tr>
      <w:tr w:rsidR="000F23C3" w:rsidTr="000A1845">
        <w:trPr>
          <w:trHeight w:val="454"/>
        </w:trPr>
        <w:tc>
          <w:tcPr>
            <w:tcW w:w="734"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合计</w:t>
            </w:r>
          </w:p>
        </w:tc>
        <w:tc>
          <w:tcPr>
            <w:tcW w:w="938"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305.00</w:t>
            </w:r>
          </w:p>
        </w:tc>
        <w:tc>
          <w:tcPr>
            <w:tcW w:w="1306"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-100.00</w:t>
            </w:r>
          </w:p>
        </w:tc>
        <w:tc>
          <w:tcPr>
            <w:tcW w:w="1867" w:type="dxa"/>
            <w:tcBorders>
              <w:top w:val="nil"/>
              <w:left w:val="single" w:sz="8" w:space="0" w:color="000000"/>
              <w:bottom w:val="single" w:sz="8" w:space="0" w:color="000000"/>
              <w:right w:val="single" w:sz="8" w:space="0" w:color="000000"/>
            </w:tcBorders>
            <w:shd w:val="clear" w:color="auto" w:fill="auto"/>
            <w:vAlign w:val="center"/>
          </w:tcPr>
          <w:p w:rsidR="000F23C3" w:rsidRPr="000A1845" w:rsidRDefault="000F23C3" w:rsidP="000A1845">
            <w:pPr>
              <w:jc w:val="center"/>
              <w:rPr>
                <w:rFonts w:ascii="仿宋" w:eastAsia="仿宋" w:hAnsi="仿宋" w:cs="宋体"/>
                <w:color w:val="000000"/>
                <w:sz w:val="18"/>
                <w:szCs w:val="18"/>
              </w:rPr>
            </w:pPr>
          </w:p>
        </w:tc>
        <w:tc>
          <w:tcPr>
            <w:tcW w:w="1717" w:type="dxa"/>
            <w:tcBorders>
              <w:top w:val="nil"/>
              <w:left w:val="nil"/>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2,981,446.00</w:t>
            </w:r>
          </w:p>
        </w:tc>
        <w:tc>
          <w:tcPr>
            <w:tcW w:w="1134" w:type="dxa"/>
            <w:tcBorders>
              <w:top w:val="nil"/>
              <w:left w:val="nil"/>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kern w:val="0"/>
                <w:sz w:val="18"/>
                <w:szCs w:val="18"/>
              </w:rPr>
            </w:pPr>
            <w:r w:rsidRPr="000A1845">
              <w:rPr>
                <w:rFonts w:ascii="仿宋" w:eastAsia="仿宋" w:hAnsi="仿宋" w:cs="宋体" w:hint="eastAsia"/>
                <w:color w:val="000000"/>
                <w:kern w:val="0"/>
                <w:sz w:val="18"/>
                <w:szCs w:val="18"/>
              </w:rPr>
              <w:t>298.1446</w:t>
            </w:r>
          </w:p>
        </w:tc>
        <w:tc>
          <w:tcPr>
            <w:tcW w:w="993" w:type="dxa"/>
            <w:tcBorders>
              <w:top w:val="nil"/>
              <w:left w:val="nil"/>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sz w:val="18"/>
                <w:szCs w:val="18"/>
              </w:rPr>
            </w:pPr>
            <w:r w:rsidRPr="000A1845">
              <w:rPr>
                <w:rFonts w:ascii="仿宋" w:eastAsia="仿宋" w:hAnsi="仿宋" w:cs="宋体" w:hint="eastAsia"/>
                <w:color w:val="000000"/>
                <w:kern w:val="0"/>
                <w:sz w:val="18"/>
                <w:szCs w:val="18"/>
              </w:rPr>
              <w:t>100.00%</w:t>
            </w:r>
          </w:p>
        </w:tc>
        <w:tc>
          <w:tcPr>
            <w:tcW w:w="850" w:type="dxa"/>
            <w:tcBorders>
              <w:top w:val="nil"/>
              <w:left w:val="nil"/>
              <w:bottom w:val="single" w:sz="8" w:space="0" w:color="000000"/>
              <w:right w:val="single" w:sz="8" w:space="0" w:color="000000"/>
            </w:tcBorders>
            <w:shd w:val="clear" w:color="auto" w:fill="auto"/>
            <w:vAlign w:val="center"/>
          </w:tcPr>
          <w:p w:rsidR="000F23C3" w:rsidRPr="000A1845" w:rsidRDefault="008366E2" w:rsidP="000A1845">
            <w:pPr>
              <w:jc w:val="center"/>
              <w:textAlignment w:val="center"/>
              <w:rPr>
                <w:rFonts w:ascii="仿宋" w:eastAsia="仿宋" w:hAnsi="仿宋" w:cs="宋体"/>
                <w:color w:val="000000"/>
                <w:kern w:val="0"/>
                <w:sz w:val="18"/>
                <w:szCs w:val="18"/>
              </w:rPr>
            </w:pPr>
            <w:r w:rsidRPr="000A1845">
              <w:rPr>
                <w:rFonts w:ascii="仿宋" w:eastAsia="仿宋" w:hAnsi="仿宋" w:cs="宋体" w:hint="eastAsia"/>
                <w:color w:val="000000"/>
                <w:kern w:val="0"/>
                <w:sz w:val="18"/>
                <w:szCs w:val="18"/>
              </w:rPr>
              <w:t>145.43</w:t>
            </w:r>
          </w:p>
        </w:tc>
      </w:tr>
    </w:tbl>
    <w:p w:rsidR="000F23C3" w:rsidRDefault="008366E2" w:rsidP="000A1845">
      <w:pPr>
        <w:ind w:firstLineChars="150" w:firstLine="360"/>
        <w:rPr>
          <w:rFonts w:ascii="仿宋" w:eastAsia="仿宋" w:hAnsi="仿宋"/>
          <w:color w:val="000000" w:themeColor="text1"/>
          <w:sz w:val="24"/>
          <w:szCs w:val="24"/>
        </w:rPr>
      </w:pPr>
      <w:r>
        <w:rPr>
          <w:rFonts w:ascii="仿宋" w:eastAsia="仿宋" w:hAnsi="仿宋" w:hint="eastAsia"/>
          <w:color w:val="000000" w:themeColor="text1"/>
          <w:sz w:val="24"/>
          <w:szCs w:val="24"/>
        </w:rPr>
        <w:t>【备注说明：其他工资福利支出主要为稿费、加班餐费及相关补贴；其他费用支出为：办公费30</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368.00元、差旅费28</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720.00元、租赁费10</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740.00元、公务接待费10</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693.00元、专用材料费16</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919.00元，交通补贴费5</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600.00元；其他个人补助为：妇女卫生费5</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100.00元、独生子女费1</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020.00元、辞退补偿金12</w:t>
      </w:r>
      <w:r>
        <w:rPr>
          <w:rFonts w:ascii="宋体" w:eastAsia="宋体" w:hAnsi="宋体" w:cs="宋体" w:hint="eastAsia"/>
          <w:color w:val="000000"/>
          <w:kern w:val="0"/>
          <w:szCs w:val="21"/>
        </w:rPr>
        <w:t>,</w:t>
      </w:r>
      <w:r>
        <w:rPr>
          <w:rFonts w:ascii="仿宋" w:eastAsia="仿宋" w:hAnsi="仿宋" w:hint="eastAsia"/>
          <w:color w:val="000000" w:themeColor="text1"/>
          <w:sz w:val="24"/>
          <w:szCs w:val="24"/>
        </w:rPr>
        <w:t>756.00元；其他商品和服务支出为技术服务费。】</w:t>
      </w:r>
    </w:p>
    <w:p w:rsidR="000F23C3" w:rsidRDefault="008366E2">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项目资金由南县财政局将南县融媒体中心的预算经费分季度下达指标支付令，南县融媒体中心根据需要申请拨款，再由南县财政局国库集中支付，费用报销程序基本合规，相关手续较完善。</w:t>
      </w:r>
    </w:p>
    <w:p w:rsidR="000F23C3" w:rsidRDefault="008366E2" w:rsidP="000A1845">
      <w:pPr>
        <w:tabs>
          <w:tab w:val="left" w:pos="5567"/>
        </w:tabs>
        <w:ind w:firstLineChars="200" w:firstLine="643"/>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0F23C3" w:rsidRDefault="008366E2">
      <w:pPr>
        <w:ind w:firstLine="480"/>
        <w:rPr>
          <w:rFonts w:ascii="仿宋" w:eastAsia="仿宋" w:hAnsi="仿宋"/>
          <w:sz w:val="24"/>
          <w:szCs w:val="24"/>
        </w:rPr>
      </w:pPr>
      <w:r>
        <w:rPr>
          <w:rFonts w:ascii="仿宋" w:eastAsia="仿宋" w:hAnsi="仿宋" w:hint="eastAsia"/>
          <w:sz w:val="24"/>
          <w:szCs w:val="24"/>
        </w:rPr>
        <w:lastRenderedPageBreak/>
        <w:t>（一）制度建设情况。为进一步规范财政资金管理，强化财政资金支出绩效理念，切实提高财政资金使用效益，南县融媒体中心成立了预算绩效管理工作领导小组，认真遵照执行《南县人民政府关于全面推进预算绩效管理的意见》南政发[2014]7号文件；制订了《南县融媒体中心2020年薪酬分配制度改革实施办法》等资金管理制度，要求实行“明确职责、分类管理、科学设岗、以岗定薪、统筹兼顾、绩效考核”的指导思想，指定专人负责项目资金的支出审核与监管，提高财政资金使用效益。</w:t>
      </w:r>
    </w:p>
    <w:p w:rsidR="000F23C3" w:rsidRDefault="008366E2">
      <w:pPr>
        <w:ind w:firstLineChars="200" w:firstLine="480"/>
        <w:rPr>
          <w:rFonts w:ascii="仿宋" w:eastAsia="仿宋" w:hAnsi="仿宋"/>
          <w:sz w:val="24"/>
          <w:szCs w:val="24"/>
        </w:rPr>
      </w:pPr>
      <w:r>
        <w:rPr>
          <w:rFonts w:ascii="仿宋" w:eastAsia="仿宋" w:hAnsi="仿宋" w:hint="eastAsia"/>
          <w:sz w:val="24"/>
          <w:szCs w:val="24"/>
        </w:rPr>
        <w:t>（二）项目实施情况。南县融媒体中心招聘人员项目是一项经常性、延续性项目，南县融媒体中心于2020年新招聘12人，用于补南县融媒体中心专业技术人员的不足，保障项目单位在工作中有相当专业的人员可以使用，保障招聘人员的工资待遇，减少高质量人才流失和缺失现象的加剧。</w:t>
      </w:r>
    </w:p>
    <w:p w:rsidR="000F23C3" w:rsidRDefault="008366E2">
      <w:pPr>
        <w:ind w:firstLine="480"/>
        <w:rPr>
          <w:rFonts w:ascii="仿宋" w:eastAsia="仿宋" w:hAnsi="仿宋"/>
          <w:b/>
          <w:sz w:val="32"/>
          <w:szCs w:val="32"/>
        </w:rPr>
      </w:pPr>
      <w:r>
        <w:rPr>
          <w:rFonts w:ascii="仿宋" w:eastAsia="仿宋" w:hAnsi="仿宋" w:hint="eastAsia"/>
          <w:b/>
          <w:sz w:val="32"/>
          <w:szCs w:val="32"/>
        </w:rPr>
        <w:t>四、绩效评价工作情况</w:t>
      </w:r>
    </w:p>
    <w:p w:rsidR="000F23C3" w:rsidRDefault="008366E2">
      <w:pPr>
        <w:ind w:firstLine="480"/>
        <w:rPr>
          <w:rFonts w:ascii="仿宋" w:eastAsia="仿宋" w:hAnsi="仿宋" w:cs="仿宋"/>
          <w:sz w:val="24"/>
          <w:szCs w:val="24"/>
        </w:rPr>
      </w:pPr>
      <w:r>
        <w:rPr>
          <w:rFonts w:ascii="仿宋" w:eastAsia="仿宋" w:hAnsi="仿宋" w:cs="仿宋" w:hint="eastAsia"/>
          <w:sz w:val="24"/>
          <w:szCs w:val="24"/>
        </w:rPr>
        <w:t>（一）绩效评价目的</w:t>
      </w:r>
    </w:p>
    <w:p w:rsidR="000F23C3" w:rsidRDefault="008366E2">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sz w:val="24"/>
          <w:szCs w:val="24"/>
        </w:rPr>
        <w:t>南县融媒体中心2020年度“招聘人员专项”工作经费</w:t>
      </w:r>
      <w:r>
        <w:rPr>
          <w:rFonts w:ascii="仿宋" w:eastAsia="仿宋" w:hAnsi="仿宋" w:cs="仿宋" w:hint="eastAsia"/>
          <w:color w:val="auto"/>
          <w:kern w:val="2"/>
          <w:sz w:val="24"/>
          <w:szCs w:val="24"/>
        </w:rPr>
        <w:t>的使用，强化财政资金支出绩效理念，切实提高财政资金使用效益。</w:t>
      </w:r>
    </w:p>
    <w:p w:rsidR="000F23C3" w:rsidRDefault="008366E2">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0F23C3" w:rsidRDefault="008366E2">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0F23C3" w:rsidRDefault="008366E2">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0F23C3" w:rsidRDefault="008366E2">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w:t>
      </w:r>
      <w:r>
        <w:rPr>
          <w:rFonts w:ascii="仿宋" w:eastAsia="仿宋" w:hAnsi="仿宋" w:hint="eastAsia"/>
          <w:sz w:val="24"/>
          <w:szCs w:val="24"/>
        </w:rPr>
        <w:lastRenderedPageBreak/>
        <w:t>（3）现场查看。进入实地查看，拍照取证，调查走访，发放问卷调查。（4）归纳汇总。对提供材料及自评报告，结合现场评价情况进行综合分析、归纳汇总；（5）得出评价结论，形成绩效评价报告。</w:t>
      </w:r>
    </w:p>
    <w:p w:rsidR="000F23C3" w:rsidRDefault="008366E2">
      <w:pPr>
        <w:pStyle w:val="aa"/>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根据该项目资金绩效评价指标体系和绩效检查情况，该项目整体绩效分值100分，实得82分，被评为“良好”等级(详见：南县融媒体中心“2020年招聘人员专项 ”绩效评价指标评分表)。主要绩效表现在以下几个方面：</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（一）项目经济性分析：</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该专项资金主要用于外聘人员的工资及相关补助、外聘人员的各个培训费等。该项目的实施，保证了南县融媒体中心外聘人员的工资及各项社保的及时足额支付，确保了各职能部门外聘人员各项日常工作任务的正常开展，进一步推动了南县主流媒体的宣传功效，优化了营商环境，产生了一定的经济效益。</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（二）项目效益性</w:t>
      </w:r>
      <w:bookmarkStart w:id="0" w:name="_GoBack"/>
      <w:bookmarkEnd w:id="0"/>
      <w:r>
        <w:rPr>
          <w:rFonts w:ascii="仿宋" w:eastAsia="仿宋" w:hAnsi="仿宋" w:hint="eastAsia"/>
          <w:sz w:val="24"/>
          <w:szCs w:val="24"/>
        </w:rPr>
        <w:t>分析：</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1.该项目的实施解决了南县部分剩余劳务力的就业问题；</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2.通过该项目的实施，有效的促进了基层宣传工作，保障了南县融媒体中心对内外新闻宣传工作的及时性，特别是面对2020年新冠肺炎疫情防控狙击战，精准发声，将政府的最新疫情防控指令、工作部署、疾病预防知识第一时间传导至千家万户，预防负面舆情，使南县融媒体中心更好的服务于党委政府工作，更好的服务群众生产生活，产生了较好的社会效益。</w:t>
      </w:r>
    </w:p>
    <w:p w:rsidR="000F23C3" w:rsidRDefault="008366E2">
      <w:pPr>
        <w:pStyle w:val="aa"/>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南县融媒体中心2020年“招聘人员专项支出”专项工作经费在项目决策上合理，实施过程中领导重视，管理较规范，较好的达到了预期的绩效目标，但有些方面仍有不足，主要有：</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(一)绩效目标申报工作有待完善，南县融媒体中心提供绩效目标申报表中产出指标的确指性不强，比较笼统，项目产出指标和效益指标值全部为100%，基</w:t>
      </w:r>
      <w:r>
        <w:rPr>
          <w:rFonts w:ascii="仿宋" w:eastAsia="仿宋" w:hAnsi="仿宋" w:hint="eastAsia"/>
          <w:sz w:val="24"/>
          <w:szCs w:val="24"/>
        </w:rPr>
        <w:lastRenderedPageBreak/>
        <w:t>本无参考意义。</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 xml:space="preserve"> (二)项目管理制度不完善。项目单位虽制定了各项管理及考核办法，但未提供专项资金管理办法，未对项目资金的申报、使用及资金的监督检查等作出详细规定。</w:t>
      </w:r>
    </w:p>
    <w:p w:rsidR="000F23C3" w:rsidRDefault="008366E2" w:rsidP="000A1845">
      <w:pPr>
        <w:pStyle w:val="aa"/>
        <w:ind w:firstLineChars="200" w:firstLine="480"/>
        <w:rPr>
          <w:rFonts w:ascii="仿宋" w:eastAsia="仿宋" w:hAnsi="仿宋"/>
          <w:sz w:val="24"/>
          <w:szCs w:val="24"/>
        </w:rPr>
      </w:pPr>
      <w:r>
        <w:rPr>
          <w:rFonts w:ascii="仿宋" w:eastAsia="仿宋" w:hAnsi="仿宋" w:hint="eastAsia"/>
          <w:sz w:val="24"/>
          <w:szCs w:val="24"/>
        </w:rPr>
        <w:t>(三)未对资金使用进行监督检查，成本控制欠佳。该项目预算资金205万，实际使用298.1446万，超出预算资金93.1446万元。该项目资金的使用过程中未受到主管部门或相关机构的监督检查，没能及时发现并对资金的超支采取措施。</w:t>
      </w:r>
    </w:p>
    <w:p w:rsidR="000F23C3" w:rsidRDefault="008366E2">
      <w:pPr>
        <w:pStyle w:val="aa"/>
        <w:ind w:firstLine="640"/>
        <w:rPr>
          <w:rFonts w:ascii="仿宋" w:eastAsia="仿宋" w:hAnsi="仿宋"/>
          <w:b/>
          <w:bCs/>
          <w:sz w:val="32"/>
          <w:szCs w:val="32"/>
        </w:rPr>
      </w:pPr>
      <w:r>
        <w:rPr>
          <w:rFonts w:ascii="仿宋" w:eastAsia="仿宋" w:hAnsi="仿宋" w:hint="eastAsia"/>
          <w:b/>
          <w:bCs/>
          <w:sz w:val="32"/>
          <w:szCs w:val="32"/>
        </w:rPr>
        <w:t>七、建议</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(一)加强绩效管理工作理论学习，提高绩效目标申报质量，做到绩效目标明确、各指标细化、量化准确，完善绩效指标体系，健全绩效管理工作机制。</w:t>
      </w:r>
    </w:p>
    <w:p w:rsidR="000F23C3" w:rsidRDefault="008366E2">
      <w:pPr>
        <w:pStyle w:val="aa"/>
        <w:ind w:firstLineChars="200" w:firstLine="480"/>
        <w:rPr>
          <w:rFonts w:ascii="仿宋" w:eastAsia="仿宋" w:hAnsi="仿宋"/>
          <w:sz w:val="24"/>
          <w:szCs w:val="24"/>
        </w:rPr>
      </w:pPr>
      <w:r>
        <w:rPr>
          <w:rFonts w:ascii="仿宋" w:eastAsia="仿宋" w:hAnsi="仿宋" w:hint="eastAsia"/>
          <w:sz w:val="24"/>
          <w:szCs w:val="24"/>
        </w:rPr>
        <w:t>(二)加强项目资金管理。各项目实施单位应严格执行国家有关财务制度规定，确保项目建设资金专款专用，明确专项资金专账核算制度。要进一步加强资金管理，保证资金支出合法合规性。完善项目管理制度和专项资金管理办法，使各项目在立项、申报、批复及执行过程中均有据可查，有章可依；在专项资金使用上应对资金的申请、拨付，使用的范围、标准以及监督检查等有明确的规定，使制度和办法贯穿于整个项目的始终。</w:t>
      </w:r>
    </w:p>
    <w:p w:rsidR="000F23C3" w:rsidRDefault="000A1845">
      <w:pPr>
        <w:pStyle w:val="aa"/>
        <w:ind w:firstLineChars="200" w:firstLine="480"/>
        <w:rPr>
          <w:rFonts w:ascii="仿宋" w:eastAsia="仿宋" w:hAnsi="仿宋"/>
          <w:sz w:val="24"/>
          <w:szCs w:val="24"/>
        </w:rPr>
      </w:pPr>
      <w:r>
        <w:rPr>
          <w:rFonts w:ascii="仿宋" w:eastAsia="仿宋" w:hAnsi="仿宋" w:hint="eastAsia"/>
          <w:noProof/>
          <w:sz w:val="24"/>
          <w:szCs w:val="24"/>
        </w:rPr>
        <w:drawing>
          <wp:anchor distT="0" distB="0" distL="114300" distR="114300" simplePos="0" relativeHeight="251659264" behindDoc="1" locked="0" layoutInCell="1" allowOverlap="1">
            <wp:simplePos x="0" y="0"/>
            <wp:positionH relativeFrom="column">
              <wp:posOffset>4232275</wp:posOffset>
            </wp:positionH>
            <wp:positionV relativeFrom="paragraph">
              <wp:posOffset>1154430</wp:posOffset>
            </wp:positionV>
            <wp:extent cx="866140" cy="654685"/>
            <wp:effectExtent l="19050" t="0" r="0" b="0"/>
            <wp:wrapTight wrapText="bothSides">
              <wp:wrapPolygon edited="0">
                <wp:start x="-475" y="0"/>
                <wp:lineTo x="-475" y="20741"/>
                <wp:lineTo x="21378" y="20741"/>
                <wp:lineTo x="21378"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r w:rsidR="008366E2">
        <w:rPr>
          <w:rFonts w:ascii="仿宋" w:eastAsia="仿宋" w:hAnsi="仿宋" w:hint="eastAsia"/>
          <w:sz w:val="24"/>
          <w:szCs w:val="24"/>
        </w:rPr>
        <w:t>(三)重视监督检查工作，及时发现问题并控制解决问题，保证财政预算的执行质量。监督能杜绝暗箱操作或腐败行为，保证财政预算的编制效果，因而必须要采取切实措施加强对预算执行情况的监督检查，以规范各有关预算执行部门的行为。</w:t>
      </w:r>
    </w:p>
    <w:p w:rsidR="000F23C3" w:rsidRDefault="008366E2">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0F23C3" w:rsidRDefault="000A1845">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4232275</wp:posOffset>
            </wp:positionH>
            <wp:positionV relativeFrom="paragraph">
              <wp:posOffset>241300</wp:posOffset>
            </wp:positionV>
            <wp:extent cx="801370" cy="597535"/>
            <wp:effectExtent l="19050" t="0" r="0" b="0"/>
            <wp:wrapTight wrapText="bothSides">
              <wp:wrapPolygon edited="0">
                <wp:start x="-513" y="0"/>
                <wp:lineTo x="-513" y="20659"/>
                <wp:lineTo x="21566" y="20659"/>
                <wp:lineTo x="21566" y="0"/>
                <wp:lineTo x="-513"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有限公司</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r w:rsidR="008366E2">
        <w:rPr>
          <w:rFonts w:ascii="宋体" w:eastAsia="仿宋" w:hAnsi="宋体" w:hint="eastAsia"/>
          <w:b/>
          <w:color w:val="000000"/>
          <w:sz w:val="24"/>
          <w:szCs w:val="24"/>
        </w:rPr>
        <w:t> </w:t>
      </w:r>
      <w:r w:rsidR="008366E2">
        <w:rPr>
          <w:rFonts w:ascii="仿宋" w:eastAsia="仿宋" w:hAnsi="仿宋" w:hint="eastAsia"/>
          <w:b/>
          <w:color w:val="000000"/>
          <w:sz w:val="24"/>
          <w:szCs w:val="24"/>
        </w:rPr>
        <w:t xml:space="preserve">                                                      </w:t>
      </w:r>
    </w:p>
    <w:p w:rsidR="000F23C3" w:rsidRDefault="008366E2">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0F23C3" w:rsidRDefault="008366E2">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0F23C3" w:rsidRDefault="008366E2" w:rsidP="000A1845">
      <w:pPr>
        <w:spacing w:line="360" w:lineRule="auto"/>
        <w:ind w:firstLineChars="250" w:firstLine="602"/>
        <w:rPr>
          <w:rFonts w:ascii="仿宋" w:eastAsia="仿宋" w:hAnsi="仿宋"/>
          <w:sz w:val="24"/>
          <w:szCs w:val="24"/>
        </w:rPr>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r>
        <w:rPr>
          <w:rFonts w:ascii="仿宋" w:eastAsia="仿宋" w:hAnsi="仿宋" w:hint="eastAsia"/>
          <w:sz w:val="28"/>
          <w:szCs w:val="28"/>
        </w:rPr>
        <w:t xml:space="preserve">       </w:t>
      </w:r>
    </w:p>
    <w:sectPr w:rsidR="000F23C3" w:rsidSect="000F23C3">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47F8" w:rsidRDefault="002F47F8">
      <w:pPr>
        <w:spacing w:line="240" w:lineRule="auto"/>
      </w:pPr>
      <w:r>
        <w:separator/>
      </w:r>
    </w:p>
  </w:endnote>
  <w:endnote w:type="continuationSeparator" w:id="0">
    <w:p w:rsidR="002F47F8" w:rsidRDefault="002F47F8">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0F23C3" w:rsidRDefault="00573D22">
        <w:pPr>
          <w:pStyle w:val="a5"/>
          <w:jc w:val="right"/>
        </w:pPr>
        <w:r w:rsidRPr="00573D22">
          <w:fldChar w:fldCharType="begin"/>
        </w:r>
        <w:r w:rsidR="008366E2">
          <w:instrText xml:space="preserve"> PAGE   \* MERGEFORMAT </w:instrText>
        </w:r>
        <w:r w:rsidRPr="00573D22">
          <w:fldChar w:fldCharType="separate"/>
        </w:r>
        <w:r w:rsidR="000A1845" w:rsidRPr="000A1845">
          <w:rPr>
            <w:noProof/>
            <w:lang w:val="zh-CN"/>
          </w:rPr>
          <w:t>1</w:t>
        </w:r>
        <w:r>
          <w:rPr>
            <w:lang w:val="zh-CN"/>
          </w:rPr>
          <w:fldChar w:fldCharType="end"/>
        </w:r>
      </w:p>
    </w:sdtContent>
  </w:sdt>
  <w:p w:rsidR="000F23C3" w:rsidRDefault="000F23C3">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47F8" w:rsidRDefault="002F47F8">
      <w:pPr>
        <w:spacing w:line="240" w:lineRule="auto"/>
      </w:pPr>
      <w:r>
        <w:separator/>
      </w:r>
    </w:p>
  </w:footnote>
  <w:footnote w:type="continuationSeparator" w:id="0">
    <w:p w:rsidR="002F47F8" w:rsidRDefault="002F47F8">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proofState w:spelling="clean"/>
  <w:defaultTabStop w:val="420"/>
  <w:drawingGridVerticalSpacing w:val="156"/>
  <w:noPunctuationKerning/>
  <w:characterSpacingControl w:val="compressPunctuation"/>
  <w:hdrShapeDefaults>
    <o:shapedefaults v:ext="edit" spidmax="5122"/>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8775B"/>
    <w:rsid w:val="000A1845"/>
    <w:rsid w:val="000A4E3A"/>
    <w:rsid w:val="000F23C3"/>
    <w:rsid w:val="001135CD"/>
    <w:rsid w:val="00122845"/>
    <w:rsid w:val="00184877"/>
    <w:rsid w:val="001904B1"/>
    <w:rsid w:val="00192988"/>
    <w:rsid w:val="00216E3E"/>
    <w:rsid w:val="00221061"/>
    <w:rsid w:val="00230A8B"/>
    <w:rsid w:val="002C7542"/>
    <w:rsid w:val="002F0C6E"/>
    <w:rsid w:val="002F47F8"/>
    <w:rsid w:val="00335311"/>
    <w:rsid w:val="00344374"/>
    <w:rsid w:val="00382315"/>
    <w:rsid w:val="00383F7D"/>
    <w:rsid w:val="003F5513"/>
    <w:rsid w:val="004259F6"/>
    <w:rsid w:val="004272F7"/>
    <w:rsid w:val="00435E8B"/>
    <w:rsid w:val="00436364"/>
    <w:rsid w:val="00443FAD"/>
    <w:rsid w:val="0045022D"/>
    <w:rsid w:val="004C4C94"/>
    <w:rsid w:val="004F1790"/>
    <w:rsid w:val="00563063"/>
    <w:rsid w:val="00564BD7"/>
    <w:rsid w:val="00573D22"/>
    <w:rsid w:val="005912B3"/>
    <w:rsid w:val="005B2C7B"/>
    <w:rsid w:val="005E5C58"/>
    <w:rsid w:val="006102DF"/>
    <w:rsid w:val="0063151F"/>
    <w:rsid w:val="006433BF"/>
    <w:rsid w:val="006445D1"/>
    <w:rsid w:val="006C06A3"/>
    <w:rsid w:val="006C0C7C"/>
    <w:rsid w:val="006C5ECB"/>
    <w:rsid w:val="006F5DB2"/>
    <w:rsid w:val="007C479B"/>
    <w:rsid w:val="007F0D6F"/>
    <w:rsid w:val="0081595E"/>
    <w:rsid w:val="00820388"/>
    <w:rsid w:val="008366E2"/>
    <w:rsid w:val="008476D9"/>
    <w:rsid w:val="00851A90"/>
    <w:rsid w:val="00931845"/>
    <w:rsid w:val="00953DBF"/>
    <w:rsid w:val="00962838"/>
    <w:rsid w:val="00A103EB"/>
    <w:rsid w:val="00A31CAA"/>
    <w:rsid w:val="00A74491"/>
    <w:rsid w:val="00AE5754"/>
    <w:rsid w:val="00B26772"/>
    <w:rsid w:val="00B52AEA"/>
    <w:rsid w:val="00B6615A"/>
    <w:rsid w:val="00B76808"/>
    <w:rsid w:val="00BC4683"/>
    <w:rsid w:val="00C01E38"/>
    <w:rsid w:val="00C31D03"/>
    <w:rsid w:val="00C5451A"/>
    <w:rsid w:val="00C977E6"/>
    <w:rsid w:val="00CC0188"/>
    <w:rsid w:val="00CC6F0D"/>
    <w:rsid w:val="00D96BC5"/>
    <w:rsid w:val="00DE6903"/>
    <w:rsid w:val="00E2302E"/>
    <w:rsid w:val="00EA5633"/>
    <w:rsid w:val="00EC5960"/>
    <w:rsid w:val="00F11F5A"/>
    <w:rsid w:val="00F127F0"/>
    <w:rsid w:val="00F814D6"/>
    <w:rsid w:val="00F94084"/>
    <w:rsid w:val="00FA19A7"/>
    <w:rsid w:val="00FF5F95"/>
    <w:rsid w:val="05F64E2B"/>
    <w:rsid w:val="073C4B29"/>
    <w:rsid w:val="07C7099F"/>
    <w:rsid w:val="0B457BB2"/>
    <w:rsid w:val="0E0D4557"/>
    <w:rsid w:val="0F6F2C44"/>
    <w:rsid w:val="0F80391C"/>
    <w:rsid w:val="111C76EC"/>
    <w:rsid w:val="139E6CC7"/>
    <w:rsid w:val="152E5EEC"/>
    <w:rsid w:val="1AE708E5"/>
    <w:rsid w:val="1F7774AB"/>
    <w:rsid w:val="241E06A0"/>
    <w:rsid w:val="2719110D"/>
    <w:rsid w:val="27C35BCB"/>
    <w:rsid w:val="2DA5502E"/>
    <w:rsid w:val="2E184E4B"/>
    <w:rsid w:val="2E2665C6"/>
    <w:rsid w:val="30C94526"/>
    <w:rsid w:val="31461624"/>
    <w:rsid w:val="31776EAE"/>
    <w:rsid w:val="345D27B8"/>
    <w:rsid w:val="37603D5F"/>
    <w:rsid w:val="37885DF4"/>
    <w:rsid w:val="38EF0808"/>
    <w:rsid w:val="3C071671"/>
    <w:rsid w:val="3EAB4F96"/>
    <w:rsid w:val="3F357C88"/>
    <w:rsid w:val="3F3C231B"/>
    <w:rsid w:val="420F1B9A"/>
    <w:rsid w:val="43B619C1"/>
    <w:rsid w:val="480C59EA"/>
    <w:rsid w:val="49F90EFD"/>
    <w:rsid w:val="4A3E2980"/>
    <w:rsid w:val="4AFD4AD9"/>
    <w:rsid w:val="4BB22F56"/>
    <w:rsid w:val="50977AC5"/>
    <w:rsid w:val="51823560"/>
    <w:rsid w:val="53C10EEE"/>
    <w:rsid w:val="53E12E5C"/>
    <w:rsid w:val="560866F6"/>
    <w:rsid w:val="564B26FF"/>
    <w:rsid w:val="56ED6BDD"/>
    <w:rsid w:val="577E2B19"/>
    <w:rsid w:val="5B466507"/>
    <w:rsid w:val="5C970DDF"/>
    <w:rsid w:val="5D3C24BD"/>
    <w:rsid w:val="5EB11C0D"/>
    <w:rsid w:val="5F6A7DC3"/>
    <w:rsid w:val="60AA0CBA"/>
    <w:rsid w:val="66C61AD7"/>
    <w:rsid w:val="6B060DFB"/>
    <w:rsid w:val="6E131A64"/>
    <w:rsid w:val="70056FCC"/>
    <w:rsid w:val="705A7861"/>
    <w:rsid w:val="71E40BFB"/>
    <w:rsid w:val="72A03FF2"/>
    <w:rsid w:val="77CB600D"/>
    <w:rsid w:val="7CBC63FC"/>
    <w:rsid w:val="7D202E71"/>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annotation subject"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23C3"/>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rsid w:val="000F23C3"/>
  </w:style>
  <w:style w:type="paragraph" w:styleId="a4">
    <w:name w:val="Balloon Text"/>
    <w:basedOn w:val="a"/>
    <w:link w:val="Char0"/>
    <w:uiPriority w:val="99"/>
    <w:semiHidden/>
    <w:unhideWhenUsed/>
    <w:qFormat/>
    <w:rsid w:val="000F23C3"/>
    <w:pPr>
      <w:spacing w:line="240" w:lineRule="auto"/>
    </w:pPr>
    <w:rPr>
      <w:sz w:val="18"/>
      <w:szCs w:val="18"/>
    </w:rPr>
  </w:style>
  <w:style w:type="paragraph" w:styleId="a5">
    <w:name w:val="footer"/>
    <w:basedOn w:val="a"/>
    <w:link w:val="Char1"/>
    <w:uiPriority w:val="99"/>
    <w:unhideWhenUsed/>
    <w:qFormat/>
    <w:rsid w:val="000F23C3"/>
    <w:pPr>
      <w:tabs>
        <w:tab w:val="center" w:pos="4153"/>
        <w:tab w:val="right" w:pos="8306"/>
      </w:tabs>
      <w:snapToGrid w:val="0"/>
      <w:spacing w:line="240" w:lineRule="atLeast"/>
    </w:pPr>
    <w:rPr>
      <w:sz w:val="18"/>
      <w:szCs w:val="18"/>
    </w:rPr>
  </w:style>
  <w:style w:type="paragraph" w:styleId="a6">
    <w:name w:val="header"/>
    <w:basedOn w:val="a"/>
    <w:link w:val="Char2"/>
    <w:uiPriority w:val="99"/>
    <w:semiHidden/>
    <w:unhideWhenUsed/>
    <w:qFormat/>
    <w:rsid w:val="000F23C3"/>
    <w:pPr>
      <w:pBdr>
        <w:bottom w:val="single" w:sz="6" w:space="1" w:color="auto"/>
      </w:pBdr>
      <w:tabs>
        <w:tab w:val="center" w:pos="4153"/>
        <w:tab w:val="right" w:pos="8306"/>
      </w:tabs>
      <w:snapToGrid w:val="0"/>
      <w:spacing w:line="240" w:lineRule="atLeast"/>
      <w:jc w:val="center"/>
    </w:pPr>
    <w:rPr>
      <w:sz w:val="18"/>
      <w:szCs w:val="18"/>
    </w:rPr>
  </w:style>
  <w:style w:type="paragraph" w:styleId="a7">
    <w:name w:val="Normal (Web)"/>
    <w:basedOn w:val="a"/>
    <w:uiPriority w:val="99"/>
    <w:unhideWhenUsed/>
    <w:qFormat/>
    <w:rsid w:val="000F23C3"/>
    <w:pPr>
      <w:spacing w:before="100" w:beforeAutospacing="1" w:after="100" w:afterAutospacing="1"/>
    </w:pPr>
    <w:rPr>
      <w:rFonts w:ascii="宋体" w:eastAsia="宋体" w:hAnsi="宋体" w:cs="宋体"/>
      <w:kern w:val="0"/>
      <w:sz w:val="24"/>
      <w:szCs w:val="24"/>
    </w:rPr>
  </w:style>
  <w:style w:type="paragraph" w:styleId="a8">
    <w:name w:val="annotation subject"/>
    <w:basedOn w:val="a3"/>
    <w:next w:val="a3"/>
    <w:link w:val="Char3"/>
    <w:uiPriority w:val="99"/>
    <w:semiHidden/>
    <w:unhideWhenUsed/>
    <w:qFormat/>
    <w:rsid w:val="000F23C3"/>
    <w:rPr>
      <w:b/>
      <w:bCs/>
    </w:rPr>
  </w:style>
  <w:style w:type="character" w:styleId="a9">
    <w:name w:val="annotation reference"/>
    <w:basedOn w:val="a0"/>
    <w:uiPriority w:val="99"/>
    <w:semiHidden/>
    <w:unhideWhenUsed/>
    <w:qFormat/>
    <w:rsid w:val="000F23C3"/>
    <w:rPr>
      <w:sz w:val="21"/>
      <w:szCs w:val="21"/>
    </w:rPr>
  </w:style>
  <w:style w:type="paragraph" w:styleId="aa">
    <w:name w:val="No Spacing"/>
    <w:uiPriority w:val="1"/>
    <w:qFormat/>
    <w:rsid w:val="000F23C3"/>
    <w:pPr>
      <w:widowControl w:val="0"/>
      <w:spacing w:line="540" w:lineRule="exact"/>
      <w:jc w:val="both"/>
    </w:pPr>
    <w:rPr>
      <w:rFonts w:asciiTheme="minorHAnsi" w:eastAsiaTheme="minorEastAsia" w:hAnsiTheme="minorHAnsi" w:cstheme="minorBidi"/>
      <w:kern w:val="2"/>
      <w:sz w:val="21"/>
      <w:szCs w:val="22"/>
    </w:rPr>
  </w:style>
  <w:style w:type="paragraph" w:styleId="ab">
    <w:name w:val="List Paragraph"/>
    <w:basedOn w:val="a"/>
    <w:uiPriority w:val="34"/>
    <w:qFormat/>
    <w:rsid w:val="000F23C3"/>
    <w:pPr>
      <w:ind w:firstLineChars="200" w:firstLine="420"/>
    </w:pPr>
  </w:style>
  <w:style w:type="character" w:customStyle="1" w:styleId="Char2">
    <w:name w:val="页眉 Char"/>
    <w:basedOn w:val="a0"/>
    <w:link w:val="a6"/>
    <w:uiPriority w:val="99"/>
    <w:semiHidden/>
    <w:qFormat/>
    <w:rsid w:val="000F23C3"/>
    <w:rPr>
      <w:sz w:val="18"/>
      <w:szCs w:val="18"/>
    </w:rPr>
  </w:style>
  <w:style w:type="character" w:customStyle="1" w:styleId="Char1">
    <w:name w:val="页脚 Char"/>
    <w:basedOn w:val="a0"/>
    <w:link w:val="a5"/>
    <w:uiPriority w:val="99"/>
    <w:qFormat/>
    <w:rsid w:val="000F23C3"/>
    <w:rPr>
      <w:sz w:val="18"/>
      <w:szCs w:val="18"/>
    </w:rPr>
  </w:style>
  <w:style w:type="paragraph" w:customStyle="1" w:styleId="p0">
    <w:name w:val="p0"/>
    <w:basedOn w:val="a"/>
    <w:qFormat/>
    <w:rsid w:val="000F23C3"/>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0">
    <w:name w:val="批注框文本 Char"/>
    <w:basedOn w:val="a0"/>
    <w:link w:val="a4"/>
    <w:uiPriority w:val="99"/>
    <w:semiHidden/>
    <w:qFormat/>
    <w:rsid w:val="000F23C3"/>
    <w:rPr>
      <w:rFonts w:asciiTheme="minorHAnsi" w:eastAsiaTheme="minorEastAsia" w:hAnsiTheme="minorHAnsi" w:cstheme="minorBidi"/>
      <w:kern w:val="2"/>
      <w:sz w:val="18"/>
      <w:szCs w:val="18"/>
    </w:rPr>
  </w:style>
  <w:style w:type="character" w:customStyle="1" w:styleId="Char">
    <w:name w:val="批注文字 Char"/>
    <w:basedOn w:val="a0"/>
    <w:link w:val="a3"/>
    <w:uiPriority w:val="99"/>
    <w:semiHidden/>
    <w:qFormat/>
    <w:rsid w:val="000F23C3"/>
    <w:rPr>
      <w:rFonts w:asciiTheme="minorHAnsi" w:eastAsiaTheme="minorEastAsia" w:hAnsiTheme="minorHAnsi" w:cstheme="minorBidi"/>
      <w:kern w:val="2"/>
      <w:sz w:val="21"/>
      <w:szCs w:val="22"/>
    </w:rPr>
  </w:style>
  <w:style w:type="character" w:customStyle="1" w:styleId="Char3">
    <w:name w:val="批注主题 Char"/>
    <w:basedOn w:val="Char"/>
    <w:link w:val="a8"/>
    <w:uiPriority w:val="99"/>
    <w:semiHidden/>
    <w:qFormat/>
    <w:rsid w:val="000F23C3"/>
    <w:rPr>
      <w:b/>
      <w:bC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5615982-AA22-4041-8A16-583443441E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7</Pages>
  <Words>731</Words>
  <Characters>4168</Characters>
  <Application>Microsoft Office Word</Application>
  <DocSecurity>0</DocSecurity>
  <Lines>34</Lines>
  <Paragraphs>9</Paragraphs>
  <ScaleCrop>false</ScaleCrop>
  <Company/>
  <LinksUpToDate>false</LinksUpToDate>
  <CharactersWithSpaces>4890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32</cp:revision>
  <cp:lastPrinted>2021-08-31T07:58:00Z</cp:lastPrinted>
  <dcterms:created xsi:type="dcterms:W3CDTF">2019-06-06T07:34:00Z</dcterms:created>
  <dcterms:modified xsi:type="dcterms:W3CDTF">2021-08-31T07:58:00Z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2FAA11091B354423A75572C11990D6B2</vt:lpwstr>
  </property>
</Properties>
</file>