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54CB6" w:rsidRDefault="00A54CB6">
      <w:pPr>
        <w:shd w:val="clear" w:color="auto" w:fill="FFFFFF"/>
        <w:spacing w:line="900" w:lineRule="atLeast"/>
        <w:jc w:val="center"/>
        <w:outlineLvl w:val="0"/>
        <w:rPr>
          <w:rFonts w:ascii="仿宋" w:eastAsia="仿宋" w:hAnsi="仿宋" w:cs="宋体"/>
          <w:b/>
          <w:bCs/>
          <w:color w:val="333333"/>
          <w:kern w:val="36"/>
          <w:sz w:val="36"/>
          <w:szCs w:val="36"/>
        </w:rPr>
      </w:pPr>
    </w:p>
    <w:p w:rsidR="00A54CB6" w:rsidRDefault="00A54CB6">
      <w:pPr>
        <w:shd w:val="clear" w:color="auto" w:fill="FFFFFF"/>
        <w:spacing w:line="900" w:lineRule="atLeast"/>
        <w:jc w:val="center"/>
        <w:outlineLvl w:val="0"/>
        <w:rPr>
          <w:rFonts w:ascii="仿宋" w:eastAsia="仿宋" w:hAnsi="仿宋" w:cs="宋体"/>
          <w:b/>
          <w:bCs/>
          <w:color w:val="333333"/>
          <w:kern w:val="36"/>
          <w:sz w:val="36"/>
          <w:szCs w:val="36"/>
        </w:rPr>
      </w:pPr>
    </w:p>
    <w:p w:rsidR="00132052" w:rsidRDefault="008171F9" w:rsidP="00132052">
      <w:pPr>
        <w:shd w:val="clear" w:color="auto" w:fill="FFFFFF"/>
        <w:spacing w:line="900" w:lineRule="atLeas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南县水利局</w:t>
      </w:r>
      <w:r w:rsidR="00132052">
        <w:rPr>
          <w:rFonts w:ascii="仿宋" w:eastAsia="仿宋" w:hAnsi="仿宋" w:cs="宋体" w:hint="eastAsia"/>
          <w:b/>
          <w:bCs/>
          <w:color w:val="333333"/>
          <w:kern w:val="36"/>
          <w:sz w:val="36"/>
          <w:szCs w:val="36"/>
        </w:rPr>
        <w:t>2020年度工程维护费</w:t>
      </w:r>
    </w:p>
    <w:p w:rsidR="00A54CB6" w:rsidRDefault="008171F9">
      <w:pPr>
        <w:shd w:val="clear" w:color="auto" w:fill="FFFFFF"/>
        <w:spacing w:line="900" w:lineRule="atLeast"/>
        <w:jc w:val="center"/>
        <w:outlineLvl w:val="0"/>
        <w:rPr>
          <w:rFonts w:ascii="仿宋" w:eastAsia="仿宋" w:hAnsi="仿宋" w:cs="宋体"/>
          <w:b/>
          <w:bCs/>
          <w:color w:val="333333"/>
          <w:kern w:val="36"/>
          <w:sz w:val="36"/>
          <w:szCs w:val="36"/>
        </w:rPr>
      </w:pPr>
      <w:r>
        <w:rPr>
          <w:rFonts w:ascii="仿宋" w:eastAsia="仿宋" w:hAnsi="仿宋" w:cs="宋体" w:hint="eastAsia"/>
          <w:b/>
          <w:bCs/>
          <w:color w:val="333333"/>
          <w:kern w:val="36"/>
          <w:sz w:val="36"/>
          <w:szCs w:val="36"/>
        </w:rPr>
        <w:t>绩效评价报告</w:t>
      </w:r>
    </w:p>
    <w:p w:rsidR="00A54CB6" w:rsidRDefault="008171F9">
      <w:pPr>
        <w:tabs>
          <w:tab w:val="left" w:pos="1260"/>
          <w:tab w:val="left" w:pos="6090"/>
        </w:tabs>
        <w:spacing w:line="74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593BB6">
        <w:rPr>
          <w:rFonts w:ascii="仿宋" w:eastAsia="仿宋" w:hAnsi="仿宋" w:hint="eastAsia"/>
          <w:b/>
          <w:spacing w:val="24"/>
          <w:sz w:val="28"/>
          <w:szCs w:val="28"/>
        </w:rPr>
        <w:t>014</w:t>
      </w:r>
      <w:r>
        <w:rPr>
          <w:rFonts w:ascii="仿宋" w:eastAsia="仿宋" w:hAnsi="仿宋" w:hint="eastAsia"/>
          <w:b/>
          <w:spacing w:val="24"/>
          <w:sz w:val="28"/>
          <w:szCs w:val="28"/>
        </w:rPr>
        <w:t>号</w:t>
      </w: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A54CB6">
      <w:pPr>
        <w:tabs>
          <w:tab w:val="left" w:pos="1260"/>
          <w:tab w:val="left" w:pos="6090"/>
        </w:tabs>
        <w:spacing w:line="740" w:lineRule="exact"/>
        <w:jc w:val="center"/>
        <w:rPr>
          <w:rFonts w:ascii="仿宋" w:eastAsia="仿宋" w:hAnsi="仿宋"/>
          <w:b/>
          <w:spacing w:val="24"/>
          <w:sz w:val="52"/>
          <w:szCs w:val="52"/>
        </w:rPr>
      </w:pPr>
    </w:p>
    <w:p w:rsidR="00A54CB6" w:rsidRDefault="008171F9">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A54CB6" w:rsidRDefault="00A54CB6">
      <w:pPr>
        <w:tabs>
          <w:tab w:val="left" w:pos="1260"/>
          <w:tab w:val="left" w:pos="6090"/>
        </w:tabs>
        <w:spacing w:line="740" w:lineRule="exact"/>
        <w:jc w:val="center"/>
        <w:rPr>
          <w:rFonts w:ascii="仿宋" w:eastAsia="仿宋" w:hAnsi="仿宋"/>
          <w:b/>
          <w:spacing w:val="24"/>
          <w:sz w:val="32"/>
          <w:szCs w:val="32"/>
        </w:rPr>
      </w:pPr>
    </w:p>
    <w:p w:rsidR="00A54CB6" w:rsidRDefault="00A54CB6">
      <w:pPr>
        <w:tabs>
          <w:tab w:val="left" w:pos="1260"/>
          <w:tab w:val="left" w:pos="6090"/>
        </w:tabs>
        <w:spacing w:line="740" w:lineRule="exact"/>
        <w:jc w:val="center"/>
        <w:rPr>
          <w:rFonts w:ascii="仿宋" w:eastAsia="仿宋" w:hAnsi="仿宋"/>
          <w:b/>
          <w:spacing w:val="24"/>
          <w:sz w:val="32"/>
          <w:szCs w:val="32"/>
        </w:rPr>
      </w:pPr>
    </w:p>
    <w:p w:rsidR="00132052" w:rsidRDefault="00132052">
      <w:pPr>
        <w:tabs>
          <w:tab w:val="left" w:pos="1260"/>
          <w:tab w:val="left" w:pos="6090"/>
        </w:tabs>
        <w:spacing w:line="740" w:lineRule="exact"/>
        <w:jc w:val="center"/>
        <w:rPr>
          <w:rFonts w:ascii="仿宋" w:eastAsia="仿宋" w:hAnsi="仿宋"/>
          <w:b/>
          <w:spacing w:val="24"/>
          <w:sz w:val="32"/>
          <w:szCs w:val="32"/>
        </w:rPr>
      </w:pPr>
    </w:p>
    <w:p w:rsidR="00A54CB6" w:rsidRDefault="008171F9">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A54CB6" w:rsidRDefault="008171F9">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A54CB6" w:rsidRDefault="008171F9">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A54CB6">
        <w:tc>
          <w:tcPr>
            <w:tcW w:w="9407" w:type="dxa"/>
            <w:tcBorders>
              <w:top w:val="single" w:sz="4" w:space="0" w:color="auto"/>
              <w:left w:val="nil"/>
              <w:bottom w:val="nil"/>
              <w:right w:val="nil"/>
            </w:tcBorders>
          </w:tcPr>
          <w:p w:rsidR="00A54CB6" w:rsidRDefault="00A54CB6">
            <w:pPr>
              <w:spacing w:line="520" w:lineRule="exact"/>
              <w:rPr>
                <w:rFonts w:eastAsia="仿宋_GB2312"/>
                <w:szCs w:val="21"/>
                <w:u w:val="single"/>
                <w:bdr w:val="single" w:sz="4" w:space="0" w:color="auto"/>
              </w:rPr>
            </w:pPr>
          </w:p>
        </w:tc>
      </w:tr>
    </w:tbl>
    <w:p w:rsidR="00132052" w:rsidRDefault="008171F9" w:rsidP="00132052">
      <w:pPr>
        <w:shd w:val="clear" w:color="auto" w:fill="FFFFFF"/>
        <w:spacing w:line="520" w:lineRule="exact"/>
        <w:jc w:val="center"/>
        <w:outlineLvl w:val="0"/>
        <w:rPr>
          <w:rFonts w:ascii="仿宋" w:eastAsia="仿宋" w:hAnsi="仿宋"/>
          <w:b/>
          <w:sz w:val="36"/>
          <w:szCs w:val="36"/>
        </w:rPr>
      </w:pPr>
      <w:r>
        <w:rPr>
          <w:rFonts w:ascii="仿宋" w:eastAsia="仿宋" w:hAnsi="仿宋" w:hint="eastAsia"/>
          <w:b/>
          <w:sz w:val="36"/>
          <w:szCs w:val="36"/>
        </w:rPr>
        <w:t>南县水利局</w:t>
      </w:r>
      <w:r w:rsidR="00132052">
        <w:rPr>
          <w:rFonts w:ascii="仿宋" w:eastAsia="仿宋" w:hAnsi="仿宋" w:hint="eastAsia"/>
          <w:b/>
          <w:sz w:val="36"/>
          <w:szCs w:val="36"/>
        </w:rPr>
        <w:t>2020年度工程维护费</w:t>
      </w:r>
    </w:p>
    <w:p w:rsidR="00A54CB6" w:rsidRDefault="008171F9">
      <w:pPr>
        <w:spacing w:line="520" w:lineRule="exact"/>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A54CB6" w:rsidRDefault="008171F9">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湘财苑绩评字[2021]1-</w:t>
      </w:r>
      <w:r w:rsidR="00593BB6">
        <w:rPr>
          <w:rFonts w:ascii="仿宋" w:eastAsia="仿宋" w:hAnsi="仿宋" w:hint="eastAsia"/>
          <w:spacing w:val="24"/>
          <w:sz w:val="28"/>
          <w:szCs w:val="28"/>
        </w:rPr>
        <w:t>014</w:t>
      </w:r>
      <w:r>
        <w:rPr>
          <w:rFonts w:ascii="仿宋" w:eastAsia="仿宋" w:hAnsi="仿宋" w:hint="eastAsia"/>
          <w:spacing w:val="24"/>
          <w:sz w:val="28"/>
          <w:szCs w:val="28"/>
        </w:rPr>
        <w:t>号</w:t>
      </w:r>
    </w:p>
    <w:p w:rsidR="00A54CB6" w:rsidRDefault="008171F9">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2020年度南县水利局“工程维护费”专项资金（以下简称项目资金）开展了绩效评价。现将有关情况报告如下：</w:t>
      </w:r>
    </w:p>
    <w:p w:rsidR="00A54CB6" w:rsidRDefault="008171F9" w:rsidP="00E754D8">
      <w:pPr>
        <w:pStyle w:val="aa"/>
        <w:ind w:firstLineChars="200" w:firstLine="643"/>
        <w:rPr>
          <w:rFonts w:ascii="仿宋" w:eastAsia="仿宋" w:hAnsi="仿宋"/>
          <w:b/>
          <w:sz w:val="32"/>
          <w:szCs w:val="32"/>
        </w:rPr>
      </w:pPr>
      <w:r>
        <w:rPr>
          <w:rFonts w:ascii="仿宋" w:eastAsia="仿宋" w:hAnsi="仿宋" w:hint="eastAsia"/>
          <w:b/>
          <w:sz w:val="32"/>
          <w:szCs w:val="32"/>
        </w:rPr>
        <w:t>一、基本情况</w:t>
      </w:r>
    </w:p>
    <w:p w:rsidR="00A54CB6" w:rsidRDefault="008171F9">
      <w:pPr>
        <w:pStyle w:val="a7"/>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水利局是南县政府正科级工作部门。主要职责是：1.负责保障水资源的合理开发利用；2.负责生活、生产经营和生态环境用水的统筹和保障；3.指导水资源保护工作；4.负责节约用水工作；5.指导水利设施、水域及其岸线的管理、保护与综合利用等。设办公室、规划计划股、财务股、人事股、水土保持股（水资源河湖管理股）、水利工程建设运行监督股、水旱灾害防御股、河长制工作股等8个内设机构。有二级单位9家，分别为：县水旱灾害防御事务中心、县水利信息中心、县三仙湖水库管理站、县南茅运河管理所、县水政监察大队、县育新电排站、县农村供水工程站、县提防工程站、县机电排</w:t>
      </w:r>
      <w:r>
        <w:rPr>
          <w:rFonts w:ascii="仿宋" w:eastAsia="仿宋" w:hAnsi="仿宋" w:hint="eastAsia"/>
        </w:rPr>
        <w:lastRenderedPageBreak/>
        <w:t>灌工程站。县水利局机关行政编制 12名。设局长1名，副局长3名，总工程师1名；股级职数8名（含兼职）。</w:t>
      </w:r>
    </w:p>
    <w:p w:rsidR="00A54CB6" w:rsidRDefault="008171F9">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南县水利局工程维护是自2008年拨付以来的常年性项目。根据《南县人民政府关于同意&lt;南县大中型水利工程管理单位体制改革实施方案&gt;的批复》（南政函[2008]51号）和县编委《关于重新明确县管大中型水利工程管理单位职能编制等事项的通知 》（南编发[2008]51号）精神，南县财政局于2008年10月29日下达《南县财政局下达&lt;南县大中型水利工程管理单位人员经费和工程维护费的通知&gt;》（南财农[2008]118号），对南县水利局下属大中型水利工程管理单位体制改革后人员经费和工程维护费从2008年11月开始拨付。由于南县财政局年初预算时要求专项保持20%的递减，南县财政局2020年度部门预算批复文件（南财编函[2020]1号），批复下达南县水利局工程维护费72万元。</w:t>
      </w:r>
    </w:p>
    <w:p w:rsidR="00A54CB6" w:rsidRDefault="008171F9">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（一）项目资金到位情况。“工程维护费”财政预算安排项目资金72.00万元，县财政实际拨付72万元，资金到位率100%。</w:t>
      </w:r>
    </w:p>
    <w:p w:rsidR="00A54CB6" w:rsidRDefault="008171F9">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情况。南到水利局将“工程维护费”拨付至其直属的5个二级机构，</w:t>
      </w:r>
      <w:r>
        <w:rPr>
          <w:rFonts w:ascii="仿宋" w:eastAsia="仿宋" w:hAnsi="仿宋" w:hint="eastAsia"/>
          <w:sz w:val="24"/>
          <w:szCs w:val="24"/>
        </w:rPr>
        <w:t>实际拨付资金85.00万元，县本级专项资金无结余。其中使用县级专项资金72.00万元，另整合自有结余资金13万元。南县水利局接收拨付资金的二级单位实际使用资金81.49万元，结余拨付资金3.51万元。其中：资金拨付使用情况如下：</w:t>
      </w:r>
    </w:p>
    <w:tbl>
      <w:tblPr>
        <w:tblW w:w="9593" w:type="dxa"/>
        <w:tblInd w:w="-271" w:type="dxa"/>
        <w:tblLayout w:type="fixed"/>
        <w:tblLook w:val="04A0"/>
      </w:tblPr>
      <w:tblGrid>
        <w:gridCol w:w="593"/>
        <w:gridCol w:w="1004"/>
        <w:gridCol w:w="1899"/>
        <w:gridCol w:w="1511"/>
        <w:gridCol w:w="1004"/>
        <w:gridCol w:w="852"/>
        <w:gridCol w:w="1454"/>
        <w:gridCol w:w="1276"/>
      </w:tblGrid>
      <w:tr w:rsidR="00A54CB6" w:rsidTr="00E754D8">
        <w:trPr>
          <w:trHeight w:val="465"/>
        </w:trPr>
        <w:tc>
          <w:tcPr>
            <w:tcW w:w="593"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序号</w:t>
            </w:r>
          </w:p>
        </w:tc>
        <w:tc>
          <w:tcPr>
            <w:tcW w:w="1004" w:type="dxa"/>
            <w:tcBorders>
              <w:top w:val="single" w:sz="8" w:space="0" w:color="000000"/>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年初预算（万元）</w:t>
            </w: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拨付至单位</w:t>
            </w:r>
          </w:p>
        </w:tc>
        <w:tc>
          <w:tcPr>
            <w:tcW w:w="1511"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拨付金额（元）</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占支出资金比例</w:t>
            </w:r>
          </w:p>
        </w:tc>
        <w:tc>
          <w:tcPr>
            <w:tcW w:w="852"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预算执行率</w:t>
            </w: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收款单位使用金额</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收款单位结余资金</w:t>
            </w:r>
          </w:p>
        </w:tc>
      </w:tr>
      <w:tr w:rsidR="00A54CB6" w:rsidTr="00E754D8">
        <w:trPr>
          <w:trHeight w:val="690"/>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1</w:t>
            </w:r>
          </w:p>
        </w:tc>
        <w:tc>
          <w:tcPr>
            <w:tcW w:w="1004" w:type="dxa"/>
            <w:vMerge w:val="restart"/>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72</w:t>
            </w: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防汛抢险蓄洪转移机动队</w:t>
            </w:r>
          </w:p>
        </w:tc>
        <w:tc>
          <w:tcPr>
            <w:tcW w:w="1511" w:type="dxa"/>
            <w:tcBorders>
              <w:top w:val="single" w:sz="8" w:space="0" w:color="000000"/>
              <w:left w:val="nil"/>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230,000.00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29.87%</w:t>
            </w:r>
          </w:p>
        </w:tc>
        <w:tc>
          <w:tcPr>
            <w:tcW w:w="852"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106.94%</w:t>
            </w: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133,645.00</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96,355.00</w:t>
            </w:r>
          </w:p>
        </w:tc>
      </w:tr>
      <w:tr w:rsidR="00A54CB6" w:rsidTr="00E754D8">
        <w:trPr>
          <w:trHeight w:val="285"/>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w:t>
            </w:r>
          </w:p>
        </w:tc>
        <w:tc>
          <w:tcPr>
            <w:tcW w:w="1004" w:type="dxa"/>
            <w:vMerge/>
            <w:tcBorders>
              <w:top w:val="nil"/>
              <w:left w:val="nil"/>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三仙湖水库</w:t>
            </w:r>
          </w:p>
        </w:tc>
        <w:tc>
          <w:tcPr>
            <w:tcW w:w="1511" w:type="dxa"/>
            <w:tcBorders>
              <w:top w:val="nil"/>
              <w:left w:val="nil"/>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280,000.00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36.36%</w:t>
            </w:r>
          </w:p>
        </w:tc>
        <w:tc>
          <w:tcPr>
            <w:tcW w:w="85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329,542.59</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-49,542.59</w:t>
            </w:r>
          </w:p>
        </w:tc>
      </w:tr>
      <w:tr w:rsidR="00A54CB6" w:rsidTr="00E754D8">
        <w:trPr>
          <w:trHeight w:val="465"/>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lastRenderedPageBreak/>
              <w:t>3</w:t>
            </w:r>
          </w:p>
        </w:tc>
        <w:tc>
          <w:tcPr>
            <w:tcW w:w="1004" w:type="dxa"/>
            <w:vMerge/>
            <w:tcBorders>
              <w:top w:val="nil"/>
              <w:left w:val="nil"/>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南茅运河管理所</w:t>
            </w:r>
          </w:p>
        </w:tc>
        <w:tc>
          <w:tcPr>
            <w:tcW w:w="1511" w:type="dxa"/>
            <w:tcBorders>
              <w:top w:val="nil"/>
              <w:left w:val="nil"/>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250,000.00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32.47%</w:t>
            </w:r>
          </w:p>
        </w:tc>
        <w:tc>
          <w:tcPr>
            <w:tcW w:w="85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247,590.00</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2,410.00</w:t>
            </w:r>
          </w:p>
        </w:tc>
      </w:tr>
      <w:tr w:rsidR="00A54CB6" w:rsidTr="00E754D8">
        <w:trPr>
          <w:trHeight w:val="465"/>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4</w:t>
            </w:r>
          </w:p>
        </w:tc>
        <w:tc>
          <w:tcPr>
            <w:tcW w:w="1004" w:type="dxa"/>
            <w:vMerge/>
            <w:tcBorders>
              <w:top w:val="nil"/>
              <w:left w:val="nil"/>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南县育新电排站</w:t>
            </w:r>
          </w:p>
        </w:tc>
        <w:tc>
          <w:tcPr>
            <w:tcW w:w="1511" w:type="dxa"/>
            <w:tcBorders>
              <w:top w:val="nil"/>
              <w:left w:val="nil"/>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30,000.00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3.90%</w:t>
            </w:r>
          </w:p>
        </w:tc>
        <w:tc>
          <w:tcPr>
            <w:tcW w:w="85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44,133.00</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-14,133.00</w:t>
            </w:r>
          </w:p>
        </w:tc>
      </w:tr>
      <w:tr w:rsidR="00A54CB6" w:rsidTr="00E754D8">
        <w:trPr>
          <w:trHeight w:val="465"/>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5</w:t>
            </w:r>
          </w:p>
        </w:tc>
        <w:tc>
          <w:tcPr>
            <w:tcW w:w="1004" w:type="dxa"/>
            <w:vMerge/>
            <w:tcBorders>
              <w:top w:val="nil"/>
              <w:left w:val="nil"/>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899"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南县农村供水管理站</w:t>
            </w:r>
          </w:p>
        </w:tc>
        <w:tc>
          <w:tcPr>
            <w:tcW w:w="1511" w:type="dxa"/>
            <w:tcBorders>
              <w:top w:val="nil"/>
              <w:left w:val="nil"/>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60,000.00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7.79%</w:t>
            </w:r>
          </w:p>
        </w:tc>
        <w:tc>
          <w:tcPr>
            <w:tcW w:w="852"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45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60,000.00</w:t>
            </w:r>
          </w:p>
        </w:tc>
        <w:tc>
          <w:tcPr>
            <w:tcW w:w="1276"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right"/>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0.00</w:t>
            </w:r>
          </w:p>
        </w:tc>
      </w:tr>
      <w:tr w:rsidR="00A54CB6" w:rsidTr="00E754D8">
        <w:trPr>
          <w:trHeight w:val="285"/>
        </w:trPr>
        <w:tc>
          <w:tcPr>
            <w:tcW w:w="593" w:type="dxa"/>
            <w:tcBorders>
              <w:top w:val="nil"/>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合计</w:t>
            </w:r>
          </w:p>
        </w:tc>
        <w:tc>
          <w:tcPr>
            <w:tcW w:w="1004" w:type="dxa"/>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72</w:t>
            </w:r>
          </w:p>
        </w:tc>
        <w:tc>
          <w:tcPr>
            <w:tcW w:w="1899" w:type="dxa"/>
            <w:tcBorders>
              <w:top w:val="nil"/>
              <w:left w:val="nil"/>
              <w:bottom w:val="single" w:sz="8" w:space="0" w:color="000000"/>
              <w:right w:val="single" w:sz="8" w:space="0" w:color="000000"/>
            </w:tcBorders>
            <w:shd w:val="clear" w:color="auto" w:fill="auto"/>
            <w:vAlign w:val="center"/>
          </w:tcPr>
          <w:p w:rsidR="00A54CB6" w:rsidRPr="00E754D8" w:rsidRDefault="00A54CB6">
            <w:pPr>
              <w:jc w:val="center"/>
              <w:rPr>
                <w:rFonts w:ascii="仿宋" w:eastAsia="仿宋" w:hAnsi="仿宋" w:cs="宋体"/>
                <w:color w:val="000000"/>
                <w:sz w:val="18"/>
                <w:szCs w:val="18"/>
              </w:rPr>
            </w:pPr>
          </w:p>
        </w:tc>
        <w:tc>
          <w:tcPr>
            <w:tcW w:w="1511" w:type="dxa"/>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850,000.00</w:t>
            </w:r>
          </w:p>
        </w:tc>
        <w:tc>
          <w:tcPr>
            <w:tcW w:w="1004" w:type="dxa"/>
            <w:tcBorders>
              <w:top w:val="single" w:sz="8" w:space="0" w:color="000000"/>
              <w:left w:val="single" w:sz="8" w:space="0" w:color="000000"/>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128.79%</w:t>
            </w:r>
          </w:p>
        </w:tc>
        <w:tc>
          <w:tcPr>
            <w:tcW w:w="852" w:type="dxa"/>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sz w:val="18"/>
                <w:szCs w:val="18"/>
              </w:rPr>
            </w:pPr>
            <w:r w:rsidRPr="00E754D8">
              <w:rPr>
                <w:rFonts w:ascii="仿宋" w:eastAsia="仿宋" w:hAnsi="仿宋" w:cs="宋体" w:hint="eastAsia"/>
                <w:color w:val="000000"/>
                <w:kern w:val="0"/>
                <w:sz w:val="18"/>
                <w:szCs w:val="18"/>
              </w:rPr>
              <w:t>106.94%</w:t>
            </w:r>
          </w:p>
        </w:tc>
        <w:tc>
          <w:tcPr>
            <w:tcW w:w="1454" w:type="dxa"/>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814,910.59</w:t>
            </w:r>
          </w:p>
        </w:tc>
        <w:tc>
          <w:tcPr>
            <w:tcW w:w="1276" w:type="dxa"/>
            <w:tcBorders>
              <w:top w:val="nil"/>
              <w:left w:val="nil"/>
              <w:bottom w:val="single" w:sz="8" w:space="0" w:color="000000"/>
              <w:right w:val="single" w:sz="8" w:space="0" w:color="000000"/>
            </w:tcBorders>
            <w:shd w:val="clear" w:color="auto" w:fill="auto"/>
            <w:vAlign w:val="center"/>
          </w:tcPr>
          <w:p w:rsidR="00A54CB6" w:rsidRPr="00E754D8" w:rsidRDefault="008171F9">
            <w:pPr>
              <w:jc w:val="center"/>
              <w:textAlignment w:val="center"/>
              <w:rPr>
                <w:rFonts w:ascii="仿宋" w:eastAsia="仿宋" w:hAnsi="仿宋" w:cs="宋体"/>
                <w:color w:val="000000"/>
                <w:kern w:val="0"/>
                <w:sz w:val="18"/>
                <w:szCs w:val="18"/>
              </w:rPr>
            </w:pPr>
            <w:r w:rsidRPr="00E754D8">
              <w:rPr>
                <w:rFonts w:ascii="仿宋" w:eastAsia="仿宋" w:hAnsi="仿宋" w:cs="宋体" w:hint="eastAsia"/>
                <w:color w:val="000000"/>
                <w:kern w:val="0"/>
                <w:sz w:val="18"/>
                <w:szCs w:val="18"/>
              </w:rPr>
              <w:t>35,089.41</w:t>
            </w:r>
          </w:p>
        </w:tc>
      </w:tr>
    </w:tbl>
    <w:p w:rsidR="00A54CB6" w:rsidRDefault="008171F9">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项目资金由南县财政局将南县水利的预算经费分季度下达指标支付令，南县水利局根据需要申请拨款，再由南县财政局国库集中支付，费用报销程序基本合规，相关手续较完善。</w:t>
      </w:r>
    </w:p>
    <w:p w:rsidR="00A54CB6" w:rsidRDefault="008171F9">
      <w:pPr>
        <w:tabs>
          <w:tab w:val="left" w:pos="5567"/>
        </w:tabs>
        <w:ind w:left="760"/>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A54CB6" w:rsidRDefault="008171F9">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制订并颁发了《南县水务局关于&lt;南县水务系统财政专项资金管理办法&gt;》（南水发[2019]5号）等相关管理制度，要求建立健全财政管理制度和会计核算制度，严格遵循资金“专款专用、专账核算、专人管理”的原则，规范系统财政专项资金管理，增强财政专项资金分配、使用的科学性和公正性，提高资金使用效益。</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（二）项目实施情况。南县水利局“工程维护费”日常维修养护需要投入较多，经过党组研究安排，将款项拨付至局直属二级单位，由其关业务股室负责监督，进行督查。实施情况如下：</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1.防汛抢险蓄洪转移机动队支付工程维护费133,645.00元，主要完成了公务快艇维修养护及船闸施工震损房屋的赔偿等：家属楼震损补偿费81,000.00元、茅草街镇水旱灾害防御事务中心零星工程4,200.00 、趸船网费2,040.00元、指挥船油费5,430.00元、购买角磨机14,140.00元、购买油漆7,212.00元、趸船铲锈刷漆维修13,000.00元、办公楼下水管维修1,500.00元、购买水管595.00元、购买防汛物资3,480.00元、购买厨具1,048.00元。</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2.三仙湖水库管理所支付工程维护费329,542.59元，主要用于办公楼院内维修和引水闸维护等：其中办公楼维修及引水闸维护工程168,000.00元、办公</w:t>
      </w:r>
      <w:r>
        <w:rPr>
          <w:rFonts w:ascii="仿宋" w:eastAsia="仿宋" w:hAnsi="仿宋" w:hint="eastAsia"/>
          <w:sz w:val="24"/>
          <w:szCs w:val="24"/>
        </w:rPr>
        <w:lastRenderedPageBreak/>
        <w:t>楼屋顶新建轻钢屋面125,252.59元、坝闸口护栏</w:t>
      </w:r>
      <w:r w:rsidR="00212365">
        <w:rPr>
          <w:rFonts w:ascii="仿宋" w:eastAsia="仿宋" w:hAnsi="仿宋" w:hint="eastAsia"/>
          <w:sz w:val="24"/>
          <w:szCs w:val="24"/>
        </w:rPr>
        <w:t>加</w:t>
      </w:r>
      <w:r>
        <w:rPr>
          <w:rFonts w:ascii="仿宋" w:eastAsia="仿宋" w:hAnsi="仿宋" w:hint="eastAsia"/>
          <w:sz w:val="24"/>
          <w:szCs w:val="24"/>
        </w:rPr>
        <w:t>高10,850.00元、零星维护25,440.00元</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3.南茅运河管理所支付工程维护费247,590.00元，主要用于南洲泄水船闸外八字处险、食堂改造、办公区绿化、下坝闸室维修养护等：其中泄水闸出水口入字挡水墙水毁处险工程62,454.00元、浪拔源长樱村库围整修41,486.00元、下坝船闸维修31,550.00元、食堂改造及办公楼修缮26,737.00元、泄水闸工作股辖区绿化维护1,588.00元、南茅运河管理所办公楼绿化工程19,896.00元、南茅复线兴盛桥至桂花大桥损毁苗木恢复工程21,680.00元、安全饮水项目材料费及人工费11,036.00元、农村安全饮水工程管网维修</w:t>
      </w:r>
      <w:r>
        <w:rPr>
          <w:rFonts w:ascii="仿宋" w:eastAsia="仿宋" w:hAnsi="仿宋"/>
          <w:sz w:val="24"/>
          <w:szCs w:val="24"/>
        </w:rPr>
        <w:t>16,539.00</w:t>
      </w:r>
      <w:r>
        <w:rPr>
          <w:rFonts w:ascii="仿宋" w:eastAsia="仿宋" w:hAnsi="仿宋" w:hint="eastAsia"/>
          <w:sz w:val="24"/>
          <w:szCs w:val="24"/>
        </w:rPr>
        <w:t>元、购买五金工具12,535.00元、购买厨具2,089.00元。</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4.南县育新电排站支付工程维护费44,133.00元，主要购置相关的零配件、机油、电缆等维修养护备品备件 ：机电维修费28,310.00元、购买五金及零星机电维修支出15,823.00元。</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5.南县农村供水管理站支付工程维护费60,000.00元，主要对农村饮水工程进行了提质改造：茅草街管网维护工程20,000.00元、荷花水利管理站水网改造20,000.00元、华阁镇管网维修20,000.00元。</w:t>
      </w:r>
    </w:p>
    <w:p w:rsidR="00A54CB6" w:rsidRDefault="008171F9">
      <w:pPr>
        <w:ind w:firstLineChars="200" w:firstLine="643"/>
        <w:rPr>
          <w:rFonts w:ascii="仿宋" w:eastAsia="仿宋" w:hAnsi="仿宋"/>
          <w:b/>
          <w:sz w:val="32"/>
          <w:szCs w:val="32"/>
        </w:rPr>
      </w:pPr>
      <w:r>
        <w:rPr>
          <w:rFonts w:ascii="仿宋" w:eastAsia="仿宋" w:hAnsi="仿宋" w:hint="eastAsia"/>
          <w:b/>
          <w:sz w:val="32"/>
          <w:szCs w:val="32"/>
        </w:rPr>
        <w:t>四、绩效评价工作情况</w:t>
      </w:r>
    </w:p>
    <w:p w:rsidR="00A54CB6" w:rsidRDefault="008171F9">
      <w:pPr>
        <w:ind w:firstLine="480"/>
        <w:rPr>
          <w:rFonts w:ascii="仿宋" w:eastAsia="仿宋" w:hAnsi="仿宋" w:cs="仿宋"/>
          <w:sz w:val="24"/>
          <w:szCs w:val="24"/>
        </w:rPr>
      </w:pPr>
      <w:r>
        <w:rPr>
          <w:rFonts w:ascii="仿宋" w:eastAsia="仿宋" w:hAnsi="仿宋" w:cs="仿宋" w:hint="eastAsia"/>
          <w:sz w:val="24"/>
          <w:szCs w:val="24"/>
        </w:rPr>
        <w:t>（一）绩效评价目的</w:t>
      </w:r>
    </w:p>
    <w:p w:rsidR="00A54CB6" w:rsidRDefault="008171F9">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 “工程维护费”的使用，强化财政资金支出绩效理念，切实提高财政资金使用效益。</w:t>
      </w:r>
    </w:p>
    <w:p w:rsidR="00A54CB6" w:rsidRDefault="008171F9">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A54CB6" w:rsidRDefault="008171F9">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lastRenderedPageBreak/>
        <w:t>1.前期准备。我所抽调专人成立了绩效评价工作组，明确了工作职责，制定了现场评价方案，设计了相关表格，联系了相关部门和单位，确定了实施时间。</w:t>
      </w:r>
    </w:p>
    <w:p w:rsidR="00A54CB6" w:rsidRDefault="008171F9">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A54CB6" w:rsidRDefault="008171F9">
      <w:pPr>
        <w:pStyle w:val="aa"/>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根据该项目资金绩效评价指标体系和绩效检查情况，该项目整体绩效分值100分，实得77分，被评为“合格”等级(详见：南县水利局“工程维护费 ”绩效评价指标评分表)。主要绩效表现在以下几个方面：</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（一）项目经济性分析：</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南县水利局二级机构的水利设施主要有排涝泵站，南茅运河、进水船闸、泄水船闸、平原水库、农村供水工程等，每年承担着南县政治经济文化中心大垸的排涝及抗旱任务。水利工程维护费的有效使用，对维系县域内的排涝抗旱能力、保证人民群众的安全生产、提高全县工农业产值水平都产生了重大作用，为南县区域的经济发展提供了切实保障。</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（二）项目有效性分析：</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水利工程的维修维护，是一项对国计民生有着重要影响作用的项目，首先他保障了居民的生活用水，加快了生态环境综合治理，改善了南县的生产生活环境，而且对河道的保洁、挖坝清淤，对水闸的维护提升了蓄水能力，更避免了洪水对下游居民带来的威胁，使人民群众能够安居乐业，充分感受社会主义制度的优越性。</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lastRenderedPageBreak/>
        <w:t>（三）项目可持续影响分析：</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南县水利局工程维护费在抵御水旱灾害、保障人民生命财产安全和国民经济的发展、促进水资源的可</w:t>
      </w:r>
      <w:r w:rsidR="005173D4">
        <w:rPr>
          <w:rFonts w:ascii="仿宋" w:eastAsia="仿宋" w:hAnsi="仿宋" w:hint="eastAsia"/>
          <w:sz w:val="24"/>
          <w:szCs w:val="24"/>
        </w:rPr>
        <w:t>持</w:t>
      </w:r>
      <w:r>
        <w:rPr>
          <w:rFonts w:ascii="仿宋" w:eastAsia="仿宋" w:hAnsi="仿宋" w:hint="eastAsia"/>
          <w:sz w:val="24"/>
          <w:szCs w:val="24"/>
        </w:rPr>
        <w:t>续利用和保护生态环境等方面发挥着重要作用，该项目的实施具有较好的可持续性。而且通过渐进式的水利工程维修养护，水利风景区逐步形成，对提升城市品位、提高人民生活质量、人民的获得感、都发挥着重要作用。</w:t>
      </w:r>
    </w:p>
    <w:p w:rsidR="00A54CB6" w:rsidRDefault="008171F9">
      <w:pPr>
        <w:pStyle w:val="aa"/>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南县水利局 “工程维护费”专项工作经费在项目决策上合理，实施过程中领导重视，管理较规范，较好的达到了预期的绩效目标，但有些方面仍有不足，主要有：</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 xml:space="preserve"> (一)</w:t>
      </w:r>
      <w:r>
        <w:rPr>
          <w:rFonts w:ascii="仿宋" w:eastAsia="仿宋" w:hAnsi="仿宋"/>
          <w:sz w:val="24"/>
          <w:szCs w:val="24"/>
        </w:rPr>
        <w:t>预算编制不到位</w:t>
      </w:r>
      <w:r>
        <w:rPr>
          <w:rFonts w:ascii="仿宋" w:eastAsia="仿宋" w:hAnsi="仿宋" w:hint="eastAsia"/>
          <w:sz w:val="24"/>
          <w:szCs w:val="24"/>
        </w:rPr>
        <w:t>，且资金分配也不合理</w:t>
      </w:r>
      <w:r>
        <w:rPr>
          <w:rFonts w:ascii="仿宋" w:eastAsia="仿宋" w:hAnsi="仿宋"/>
          <w:sz w:val="24"/>
          <w:szCs w:val="24"/>
        </w:rPr>
        <w:t>。“</w:t>
      </w:r>
      <w:r>
        <w:rPr>
          <w:rFonts w:ascii="仿宋" w:eastAsia="仿宋" w:hAnsi="仿宋" w:hint="eastAsia"/>
          <w:sz w:val="24"/>
          <w:szCs w:val="24"/>
        </w:rPr>
        <w:t>工程维护费</w:t>
      </w:r>
      <w:r>
        <w:rPr>
          <w:rFonts w:ascii="仿宋" w:eastAsia="仿宋" w:hAnsi="仿宋"/>
          <w:sz w:val="24"/>
          <w:szCs w:val="24"/>
        </w:rPr>
        <w:t>”预算</w:t>
      </w:r>
      <w:r>
        <w:rPr>
          <w:rFonts w:ascii="仿宋" w:eastAsia="仿宋" w:hAnsi="仿宋" w:hint="eastAsia"/>
          <w:sz w:val="24"/>
          <w:szCs w:val="24"/>
        </w:rPr>
        <w:t>72.00万</w:t>
      </w:r>
      <w:r>
        <w:rPr>
          <w:rFonts w:ascii="仿宋" w:eastAsia="仿宋" w:hAnsi="仿宋"/>
          <w:sz w:val="24"/>
          <w:szCs w:val="24"/>
        </w:rPr>
        <w:t>元，实际使用资金</w:t>
      </w:r>
      <w:r>
        <w:rPr>
          <w:rFonts w:ascii="仿宋" w:eastAsia="仿宋" w:hAnsi="仿宋" w:hint="eastAsia"/>
          <w:sz w:val="24"/>
          <w:szCs w:val="24"/>
        </w:rPr>
        <w:t>85.00万</w:t>
      </w:r>
      <w:r>
        <w:rPr>
          <w:rFonts w:ascii="仿宋" w:eastAsia="仿宋" w:hAnsi="仿宋"/>
          <w:sz w:val="24"/>
          <w:szCs w:val="24"/>
        </w:rPr>
        <w:t>元，项目资金超出年初预算</w:t>
      </w:r>
      <w:r>
        <w:rPr>
          <w:rFonts w:ascii="仿宋" w:eastAsia="仿宋" w:hAnsi="仿宋" w:hint="eastAsia"/>
          <w:sz w:val="24"/>
          <w:szCs w:val="24"/>
        </w:rPr>
        <w:t>13.00万</w:t>
      </w:r>
      <w:r>
        <w:rPr>
          <w:rFonts w:ascii="仿宋" w:eastAsia="仿宋" w:hAnsi="仿宋"/>
          <w:sz w:val="24"/>
          <w:szCs w:val="24"/>
        </w:rPr>
        <w:t>元。超预算开支</w:t>
      </w:r>
      <w:r>
        <w:rPr>
          <w:rFonts w:ascii="仿宋" w:eastAsia="仿宋" w:hAnsi="仿宋" w:hint="eastAsia"/>
          <w:sz w:val="24"/>
          <w:szCs w:val="24"/>
        </w:rPr>
        <w:t>使用的是本单位的资金结存</w:t>
      </w:r>
      <w:r>
        <w:rPr>
          <w:rFonts w:ascii="仿宋" w:eastAsia="仿宋" w:hAnsi="仿宋"/>
          <w:sz w:val="24"/>
          <w:szCs w:val="24"/>
        </w:rPr>
        <w:t>。</w:t>
      </w:r>
      <w:r>
        <w:rPr>
          <w:rFonts w:ascii="仿宋" w:eastAsia="仿宋" w:hAnsi="仿宋" w:hint="eastAsia"/>
          <w:sz w:val="24"/>
          <w:szCs w:val="24"/>
        </w:rPr>
        <w:t>且拨付至5个二级机构的资金85万元，有单位超支，有单位结余，未能合理分配：①防汛抢险蓄洪转移机动队：收到南县水利局拨付专项资金23万元，使用133,645.00元，结余资金96,355.00元；②三仙湖水库：收到南县水利局拨付专项资金28万元，使用329,542.59元，超支49,542.59元；③南茅运河管理所收到南县水利局拨付专项资金25万元，使用247,590.00元，结余资金2,410.00元；④南县育新电排站收到南县水利局拨付专项资金3万元，使用44,133.00元，超支14,133.00 元。</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二)超范围使用专项资金。南县水利局未对“工程维护费”制定实施方案，根据水利部印发《关于做好中央财政补助水利工程维修养护经费安排使用的指导意见》，要求切实加强维修养护资金的使用管理，不得用于修建楼堂馆所、交通工具购置、办公设备购置。但是①防汛抢险蓄洪转移机动队用于家属楼震损补偿费81000元（2020-3-13#）、厨房电器电饭煲348元+电风扇2台700元（2020-6-10#）；②南茅运河管理所:购买厨具1444元+食堂改造及办公楼修缮</w:t>
      </w:r>
      <w:r>
        <w:rPr>
          <w:rFonts w:ascii="仿宋" w:eastAsia="仿宋" w:hAnsi="仿宋" w:hint="eastAsia"/>
          <w:sz w:val="24"/>
          <w:szCs w:val="24"/>
        </w:rPr>
        <w:lastRenderedPageBreak/>
        <w:t>26737元(2020-6-23#)、泄水闸工作股辖区绿化维护工程1588元+厨房用品645.9元(2020-10-20#)、南茅运河管理所办公楼绿化工程19896元(2020-10-9#)、南茅复线兴盛桥至桂花大桥损毁苗木恢复工程21680元(2020-3-12#)；③三仙湖水库管理站办公楼屋顶新建轻钢屋面125252.59元(2020-12-16#)。以上三点涉及资金279,291.49元。</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(三)验收资料不完备。“工程维护费”所补助的</w:t>
      </w:r>
      <w:bookmarkStart w:id="0" w:name="_GoBack"/>
      <w:bookmarkEnd w:id="0"/>
      <w:r>
        <w:rPr>
          <w:rFonts w:ascii="仿宋" w:eastAsia="仿宋" w:hAnsi="仿宋" w:hint="eastAsia"/>
          <w:sz w:val="24"/>
          <w:szCs w:val="24"/>
        </w:rPr>
        <w:t>项目建设均采取的是自检及乡镇验收，无南县水利局或专门机构出具的验收资料。</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(四)</w:t>
      </w:r>
      <w:r>
        <w:rPr>
          <w:rFonts w:ascii="仿宋" w:eastAsia="仿宋" w:hAnsi="仿宋"/>
          <w:sz w:val="24"/>
          <w:szCs w:val="24"/>
        </w:rPr>
        <w:t>监督检查工作未到位，有待加强。该项目</w:t>
      </w:r>
      <w:r>
        <w:rPr>
          <w:rFonts w:ascii="仿宋" w:eastAsia="仿宋" w:hAnsi="仿宋" w:hint="eastAsia"/>
          <w:sz w:val="24"/>
          <w:szCs w:val="24"/>
        </w:rPr>
        <w:t>资金的使用</w:t>
      </w:r>
      <w:r>
        <w:rPr>
          <w:rFonts w:ascii="仿宋" w:eastAsia="仿宋" w:hAnsi="仿宋"/>
          <w:sz w:val="24"/>
          <w:szCs w:val="24"/>
        </w:rPr>
        <w:t>的</w:t>
      </w:r>
      <w:r>
        <w:rPr>
          <w:rFonts w:ascii="仿宋" w:eastAsia="仿宋" w:hAnsi="仿宋" w:hint="eastAsia"/>
          <w:sz w:val="24"/>
          <w:szCs w:val="24"/>
        </w:rPr>
        <w:t>及项目实施</w:t>
      </w:r>
      <w:r>
        <w:rPr>
          <w:rFonts w:ascii="仿宋" w:eastAsia="仿宋" w:hAnsi="仿宋"/>
          <w:sz w:val="24"/>
          <w:szCs w:val="24"/>
        </w:rPr>
        <w:t>过程中，均未提供督查检查资料，监督检查是保证预算执行的重要手段，通过实施内部监督检查，可以及时查找并督促整改财政管理中存在的问题，发挥监督预算、纠偏、评价及监管职能 ，推动财政管理更加规范、科学、合理、高效。本工作专项没有受到财政或主管部门的监督检查。</w:t>
      </w:r>
    </w:p>
    <w:p w:rsidR="00A54CB6" w:rsidRDefault="008171F9">
      <w:pPr>
        <w:pStyle w:val="aa"/>
        <w:ind w:firstLine="640"/>
        <w:rPr>
          <w:rFonts w:ascii="仿宋" w:eastAsia="仿宋" w:hAnsi="仿宋"/>
          <w:b/>
          <w:bCs/>
          <w:sz w:val="32"/>
          <w:szCs w:val="32"/>
        </w:rPr>
      </w:pPr>
      <w:r>
        <w:rPr>
          <w:rFonts w:ascii="仿宋" w:eastAsia="仿宋" w:hAnsi="仿宋" w:hint="eastAsia"/>
          <w:b/>
          <w:bCs/>
          <w:sz w:val="32"/>
          <w:szCs w:val="32"/>
        </w:rPr>
        <w:t>七、建议</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一)科学编制预算,加强预算执行力，合理分配资金。对预算事项充分论证，科学编制预算方案，将预算编制内容明细化,实行先预算再开支、无预算不开支制度。南县水利局应根据往来开支情况合理的编制预算，避免资金缺口带来工作损失,并严格按照项目实施方案及相关文件规定执行项目建设，合理分配资金、在规定时间内完成工作。</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(二) 加强会计核算工作，严格按准则要求进行账务处理，专项资金坚决实行“专人管理、专户储存、专账核算、专项使用”的原则，做到：账实相符，账证相符、账账相符“，在专项资金拨入时努力做到来源明确并单独核算，所有支出尽量纳入财政预算架构。</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(三) 重视并加强工程验收工作。加强工程验收工作，验收工作是工程建设程序的重要能成部分和关键环节，是工程建设完成的重要标志，是全面考量工程建设成果、检验工程质量的有效手段，也是保障工程正常运行，发挥效益的重要</w:t>
      </w:r>
      <w:r>
        <w:rPr>
          <w:rFonts w:ascii="仿宋" w:eastAsia="仿宋" w:hAnsi="仿宋" w:hint="eastAsia"/>
          <w:sz w:val="24"/>
          <w:szCs w:val="24"/>
        </w:rPr>
        <w:lastRenderedPageBreak/>
        <w:t>基础。</w:t>
      </w:r>
    </w:p>
    <w:p w:rsidR="00A54CB6" w:rsidRDefault="008171F9">
      <w:pPr>
        <w:pStyle w:val="aa"/>
        <w:ind w:firstLineChars="200" w:firstLine="480"/>
        <w:rPr>
          <w:rFonts w:ascii="仿宋" w:eastAsia="仿宋" w:hAnsi="仿宋"/>
          <w:sz w:val="24"/>
          <w:szCs w:val="24"/>
        </w:rPr>
      </w:pPr>
      <w:r>
        <w:rPr>
          <w:rFonts w:ascii="仿宋" w:eastAsia="仿宋" w:hAnsi="仿宋" w:hint="eastAsia"/>
          <w:sz w:val="24"/>
          <w:szCs w:val="24"/>
        </w:rPr>
        <w:t>(四) 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A54CB6" w:rsidRDefault="00A54CB6">
      <w:pPr>
        <w:pStyle w:val="aa"/>
        <w:rPr>
          <w:rFonts w:ascii="仿宋" w:eastAsia="仿宋" w:hAnsi="仿宋"/>
          <w:sz w:val="24"/>
          <w:szCs w:val="24"/>
        </w:rPr>
      </w:pPr>
    </w:p>
    <w:p w:rsidR="00A54CB6" w:rsidRDefault="00A54CB6">
      <w:pPr>
        <w:pStyle w:val="aa"/>
        <w:ind w:firstLineChars="200" w:firstLine="480"/>
        <w:rPr>
          <w:rFonts w:ascii="仿宋" w:eastAsia="仿宋" w:hAnsi="仿宋"/>
          <w:sz w:val="24"/>
          <w:szCs w:val="24"/>
        </w:rPr>
      </w:pPr>
    </w:p>
    <w:p w:rsidR="00A54CB6" w:rsidRDefault="00A54CB6">
      <w:pPr>
        <w:pStyle w:val="aa"/>
        <w:rPr>
          <w:rFonts w:ascii="仿宋" w:eastAsia="仿宋" w:hAnsi="仿宋"/>
          <w:sz w:val="24"/>
          <w:szCs w:val="24"/>
        </w:rPr>
      </w:pPr>
    </w:p>
    <w:p w:rsidR="00A54CB6" w:rsidRDefault="00E754D8">
      <w:pPr>
        <w:pStyle w:val="aa"/>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8240" behindDoc="1" locked="0" layoutInCell="1" allowOverlap="1">
            <wp:simplePos x="0" y="0"/>
            <wp:positionH relativeFrom="column">
              <wp:posOffset>4232275</wp:posOffset>
            </wp:positionH>
            <wp:positionV relativeFrom="paragraph">
              <wp:posOffset>163195</wp:posOffset>
            </wp:positionV>
            <wp:extent cx="868045" cy="654685"/>
            <wp:effectExtent l="19050" t="0" r="8255" b="0"/>
            <wp:wrapTight wrapText="bothSides">
              <wp:wrapPolygon edited="0">
                <wp:start x="-474" y="0"/>
                <wp:lineTo x="-474" y="20741"/>
                <wp:lineTo x="21805" y="20741"/>
                <wp:lineTo x="21805" y="0"/>
                <wp:lineTo x="-474" y="0"/>
              </wp:wrapPolygon>
            </wp:wrapTight>
            <wp:docPr id="2" name="图片 2"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8045" cy="654685"/>
                    </a:xfrm>
                    <a:prstGeom prst="rect">
                      <a:avLst/>
                    </a:prstGeom>
                    <a:solidFill>
                      <a:srgbClr val="000000"/>
                    </a:solidFill>
                    <a:ln w="9525">
                      <a:noFill/>
                      <a:miter lim="800000"/>
                      <a:headEnd/>
                      <a:tailEnd/>
                    </a:ln>
                  </pic:spPr>
                </pic:pic>
              </a:graphicData>
            </a:graphic>
          </wp:anchor>
        </w:drawing>
      </w:r>
    </w:p>
    <w:p w:rsidR="00A54CB6" w:rsidRDefault="008171F9">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A54CB6" w:rsidRDefault="00E754D8">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9264" behindDoc="1" locked="0" layoutInCell="1" allowOverlap="0">
            <wp:simplePos x="0" y="0"/>
            <wp:positionH relativeFrom="column">
              <wp:posOffset>4198620</wp:posOffset>
            </wp:positionH>
            <wp:positionV relativeFrom="paragraph">
              <wp:posOffset>280670</wp:posOffset>
            </wp:positionV>
            <wp:extent cx="798830" cy="600075"/>
            <wp:effectExtent l="19050" t="0" r="1270" b="0"/>
            <wp:wrapTight wrapText="bothSides">
              <wp:wrapPolygon edited="0">
                <wp:start x="-515" y="0"/>
                <wp:lineTo x="-515" y="21257"/>
                <wp:lineTo x="21634" y="21257"/>
                <wp:lineTo x="21634" y="0"/>
                <wp:lineTo x="-515" y="0"/>
              </wp:wrapPolygon>
            </wp:wrapTight>
            <wp:docPr id="3" name="图片 3"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798830" cy="600075"/>
                    </a:xfrm>
                    <a:prstGeom prst="rect">
                      <a:avLst/>
                    </a:prstGeom>
                    <a:solidFill>
                      <a:srgbClr val="000000"/>
                    </a:solidFill>
                    <a:ln w="9525">
                      <a:noFill/>
                      <a:miter lim="800000"/>
                      <a:headEnd/>
                      <a:tailEnd/>
                    </a:ln>
                  </pic:spPr>
                </pic:pic>
              </a:graphicData>
            </a:graphic>
          </wp:anchor>
        </w:drawing>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有限公司</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r w:rsidR="008171F9">
        <w:rPr>
          <w:rFonts w:ascii="宋体" w:eastAsia="仿宋" w:hAnsi="宋体" w:hint="eastAsia"/>
          <w:b/>
          <w:color w:val="000000"/>
          <w:sz w:val="24"/>
          <w:szCs w:val="24"/>
        </w:rPr>
        <w:t> </w:t>
      </w:r>
      <w:r w:rsidR="008171F9">
        <w:rPr>
          <w:rFonts w:ascii="仿宋" w:eastAsia="仿宋" w:hAnsi="仿宋" w:hint="eastAsia"/>
          <w:b/>
          <w:color w:val="000000"/>
          <w:sz w:val="24"/>
          <w:szCs w:val="24"/>
        </w:rPr>
        <w:t xml:space="preserve">                                                      </w:t>
      </w:r>
    </w:p>
    <w:p w:rsidR="00A54CB6" w:rsidRDefault="008171F9">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A54CB6" w:rsidRDefault="008171F9">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A54CB6" w:rsidRDefault="008171F9">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p w:rsidR="00A54CB6" w:rsidRDefault="008171F9">
      <w:pPr>
        <w:pStyle w:val="aa"/>
        <w:ind w:firstLineChars="200" w:firstLine="560"/>
        <w:rPr>
          <w:rFonts w:ascii="仿宋" w:eastAsia="仿宋" w:hAnsi="仿宋"/>
          <w:sz w:val="24"/>
          <w:szCs w:val="24"/>
        </w:rPr>
      </w:pPr>
      <w:r>
        <w:rPr>
          <w:rFonts w:ascii="仿宋" w:eastAsia="仿宋" w:hAnsi="仿宋" w:hint="eastAsia"/>
          <w:sz w:val="28"/>
          <w:szCs w:val="28"/>
        </w:rPr>
        <w:t xml:space="preserve">          </w:t>
      </w:r>
    </w:p>
    <w:p w:rsidR="00A54CB6" w:rsidRDefault="00A54CB6">
      <w:pPr>
        <w:pStyle w:val="aa"/>
        <w:rPr>
          <w:rFonts w:ascii="仿宋" w:eastAsia="仿宋" w:hAnsi="仿宋"/>
          <w:sz w:val="28"/>
          <w:szCs w:val="28"/>
        </w:rPr>
      </w:pPr>
    </w:p>
    <w:sectPr w:rsidR="00A54CB6" w:rsidSect="00A54CB6">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207FB" w:rsidRDefault="000207FB">
      <w:pPr>
        <w:spacing w:line="240" w:lineRule="auto"/>
      </w:pPr>
      <w:r>
        <w:separator/>
      </w:r>
    </w:p>
  </w:endnote>
  <w:endnote w:type="continuationSeparator" w:id="0">
    <w:p w:rsidR="000207FB" w:rsidRDefault="000207F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A54CB6" w:rsidRDefault="00525013">
        <w:pPr>
          <w:pStyle w:val="a5"/>
          <w:jc w:val="right"/>
        </w:pPr>
        <w:r w:rsidRPr="00525013">
          <w:fldChar w:fldCharType="begin"/>
        </w:r>
        <w:r w:rsidR="008171F9">
          <w:instrText xml:space="preserve"> PAGE   \* MERGEFORMAT </w:instrText>
        </w:r>
        <w:r w:rsidRPr="00525013">
          <w:fldChar w:fldCharType="separate"/>
        </w:r>
        <w:r w:rsidR="00ED3C9D" w:rsidRPr="00ED3C9D">
          <w:rPr>
            <w:noProof/>
            <w:lang w:val="zh-CN"/>
          </w:rPr>
          <w:t>7</w:t>
        </w:r>
        <w:r>
          <w:rPr>
            <w:lang w:val="zh-CN"/>
          </w:rPr>
          <w:fldChar w:fldCharType="end"/>
        </w:r>
      </w:p>
    </w:sdtContent>
  </w:sdt>
  <w:p w:rsidR="00A54CB6" w:rsidRDefault="00A54CB6">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207FB" w:rsidRDefault="000207FB">
      <w:pPr>
        <w:spacing w:line="240" w:lineRule="auto"/>
      </w:pPr>
      <w:r>
        <w:separator/>
      </w:r>
    </w:p>
  </w:footnote>
  <w:footnote w:type="continuationSeparator" w:id="0">
    <w:p w:rsidR="000207FB" w:rsidRDefault="000207FB">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proofState w:spelling="clean"/>
  <w:defaultTabStop w:val="420"/>
  <w:drawingGridVerticalSpacing w:val="156"/>
  <w:noPunctuationKerning/>
  <w:characterSpacingControl w:val="compressPunctuation"/>
  <w:hdrShapeDefaults>
    <o:shapedefaults v:ext="edit" spidmax="13314"/>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207FB"/>
    <w:rsid w:val="0008775B"/>
    <w:rsid w:val="000A4E3A"/>
    <w:rsid w:val="001135CD"/>
    <w:rsid w:val="00122845"/>
    <w:rsid w:val="00132052"/>
    <w:rsid w:val="00176B87"/>
    <w:rsid w:val="0018018A"/>
    <w:rsid w:val="00184877"/>
    <w:rsid w:val="001904B1"/>
    <w:rsid w:val="00192988"/>
    <w:rsid w:val="001A7873"/>
    <w:rsid w:val="001F52AE"/>
    <w:rsid w:val="00212365"/>
    <w:rsid w:val="00216E3E"/>
    <w:rsid w:val="00230A8B"/>
    <w:rsid w:val="00297EDB"/>
    <w:rsid w:val="002C7542"/>
    <w:rsid w:val="002F0C6E"/>
    <w:rsid w:val="002F18B0"/>
    <w:rsid w:val="00304802"/>
    <w:rsid w:val="003162A3"/>
    <w:rsid w:val="00344374"/>
    <w:rsid w:val="00382315"/>
    <w:rsid w:val="00383F7D"/>
    <w:rsid w:val="003C113F"/>
    <w:rsid w:val="003F5513"/>
    <w:rsid w:val="004259F6"/>
    <w:rsid w:val="004272F7"/>
    <w:rsid w:val="00436364"/>
    <w:rsid w:val="00443FAD"/>
    <w:rsid w:val="00447CC1"/>
    <w:rsid w:val="0045022D"/>
    <w:rsid w:val="00475C5D"/>
    <w:rsid w:val="004C4C94"/>
    <w:rsid w:val="004F1790"/>
    <w:rsid w:val="005173D4"/>
    <w:rsid w:val="00525013"/>
    <w:rsid w:val="005912B3"/>
    <w:rsid w:val="00593BB6"/>
    <w:rsid w:val="005B2C7B"/>
    <w:rsid w:val="005D1B14"/>
    <w:rsid w:val="006102DF"/>
    <w:rsid w:val="0063151F"/>
    <w:rsid w:val="006433BF"/>
    <w:rsid w:val="006445D1"/>
    <w:rsid w:val="00645271"/>
    <w:rsid w:val="006C06A3"/>
    <w:rsid w:val="006C0C7C"/>
    <w:rsid w:val="006C5ECB"/>
    <w:rsid w:val="006F5DB2"/>
    <w:rsid w:val="0070323D"/>
    <w:rsid w:val="007C479B"/>
    <w:rsid w:val="007F0D6F"/>
    <w:rsid w:val="008171F9"/>
    <w:rsid w:val="00820388"/>
    <w:rsid w:val="008476D9"/>
    <w:rsid w:val="00851A90"/>
    <w:rsid w:val="009251E9"/>
    <w:rsid w:val="00953DBF"/>
    <w:rsid w:val="00962838"/>
    <w:rsid w:val="00A103EB"/>
    <w:rsid w:val="00A31CAA"/>
    <w:rsid w:val="00A54CB6"/>
    <w:rsid w:val="00A74491"/>
    <w:rsid w:val="00AE5754"/>
    <w:rsid w:val="00B16813"/>
    <w:rsid w:val="00B26772"/>
    <w:rsid w:val="00B351C5"/>
    <w:rsid w:val="00B52AEA"/>
    <w:rsid w:val="00B6615A"/>
    <w:rsid w:val="00BA60B5"/>
    <w:rsid w:val="00BC4683"/>
    <w:rsid w:val="00BE1BEB"/>
    <w:rsid w:val="00C31D03"/>
    <w:rsid w:val="00C5451A"/>
    <w:rsid w:val="00C84CEC"/>
    <w:rsid w:val="00C961B5"/>
    <w:rsid w:val="00C977E6"/>
    <w:rsid w:val="00CC6F0D"/>
    <w:rsid w:val="00D96BC5"/>
    <w:rsid w:val="00DC0C55"/>
    <w:rsid w:val="00DE6903"/>
    <w:rsid w:val="00E2302E"/>
    <w:rsid w:val="00E51F4B"/>
    <w:rsid w:val="00E558F8"/>
    <w:rsid w:val="00E754D8"/>
    <w:rsid w:val="00E96AE1"/>
    <w:rsid w:val="00EA5633"/>
    <w:rsid w:val="00EC5960"/>
    <w:rsid w:val="00ED3C9D"/>
    <w:rsid w:val="00F11F5A"/>
    <w:rsid w:val="00F127F0"/>
    <w:rsid w:val="00F81ED6"/>
    <w:rsid w:val="00F82FB9"/>
    <w:rsid w:val="00F94084"/>
    <w:rsid w:val="00FB22A1"/>
    <w:rsid w:val="00FD0469"/>
    <w:rsid w:val="00FF5F95"/>
    <w:rsid w:val="01F5514A"/>
    <w:rsid w:val="05ED3C34"/>
    <w:rsid w:val="05F64E2B"/>
    <w:rsid w:val="073C4B29"/>
    <w:rsid w:val="07C7099F"/>
    <w:rsid w:val="0B457BB2"/>
    <w:rsid w:val="0B466DE2"/>
    <w:rsid w:val="0C2F2187"/>
    <w:rsid w:val="0E0D4557"/>
    <w:rsid w:val="0E155395"/>
    <w:rsid w:val="0F6F2C44"/>
    <w:rsid w:val="0F80391C"/>
    <w:rsid w:val="111C76EC"/>
    <w:rsid w:val="12413227"/>
    <w:rsid w:val="124973C0"/>
    <w:rsid w:val="139E6CC7"/>
    <w:rsid w:val="152E5EEC"/>
    <w:rsid w:val="17CD1B8B"/>
    <w:rsid w:val="18C274C8"/>
    <w:rsid w:val="1AE708E5"/>
    <w:rsid w:val="1BBC6002"/>
    <w:rsid w:val="1D022A16"/>
    <w:rsid w:val="1F7774AB"/>
    <w:rsid w:val="241E06A0"/>
    <w:rsid w:val="25CE2D2A"/>
    <w:rsid w:val="2719110D"/>
    <w:rsid w:val="27C35BCB"/>
    <w:rsid w:val="27C67005"/>
    <w:rsid w:val="2DA5502E"/>
    <w:rsid w:val="2E184E4B"/>
    <w:rsid w:val="2E2665C6"/>
    <w:rsid w:val="2E2D7DAC"/>
    <w:rsid w:val="2E4073E6"/>
    <w:rsid w:val="30C94526"/>
    <w:rsid w:val="31461624"/>
    <w:rsid w:val="31776EAE"/>
    <w:rsid w:val="345D27B8"/>
    <w:rsid w:val="35C93427"/>
    <w:rsid w:val="37603D5F"/>
    <w:rsid w:val="37885DF4"/>
    <w:rsid w:val="38EF0808"/>
    <w:rsid w:val="3C071671"/>
    <w:rsid w:val="3D690925"/>
    <w:rsid w:val="3E721A99"/>
    <w:rsid w:val="3EAB4F96"/>
    <w:rsid w:val="3F357C88"/>
    <w:rsid w:val="3F3C231B"/>
    <w:rsid w:val="420F1B9A"/>
    <w:rsid w:val="43876039"/>
    <w:rsid w:val="449B1187"/>
    <w:rsid w:val="46B01830"/>
    <w:rsid w:val="480C59EA"/>
    <w:rsid w:val="48A11B1D"/>
    <w:rsid w:val="49F90EFD"/>
    <w:rsid w:val="4A3E2980"/>
    <w:rsid w:val="4AFD4AD9"/>
    <w:rsid w:val="4BB22F56"/>
    <w:rsid w:val="4CBF6C77"/>
    <w:rsid w:val="4DDC46DC"/>
    <w:rsid w:val="50977AC5"/>
    <w:rsid w:val="51455CC9"/>
    <w:rsid w:val="51823560"/>
    <w:rsid w:val="51907FCA"/>
    <w:rsid w:val="53C10EEE"/>
    <w:rsid w:val="53C61CBB"/>
    <w:rsid w:val="53E12E5C"/>
    <w:rsid w:val="54C8215D"/>
    <w:rsid w:val="560866F6"/>
    <w:rsid w:val="56ED6BDD"/>
    <w:rsid w:val="577E2B19"/>
    <w:rsid w:val="5AE5072F"/>
    <w:rsid w:val="5B466507"/>
    <w:rsid w:val="5C970DDF"/>
    <w:rsid w:val="5D3C24BD"/>
    <w:rsid w:val="5EB11C0D"/>
    <w:rsid w:val="5F385E10"/>
    <w:rsid w:val="5F6A7DC3"/>
    <w:rsid w:val="5FA1797F"/>
    <w:rsid w:val="60AA0CBA"/>
    <w:rsid w:val="629E45DB"/>
    <w:rsid w:val="66C61AD7"/>
    <w:rsid w:val="69F54B77"/>
    <w:rsid w:val="6A0D5AA5"/>
    <w:rsid w:val="6B060DFB"/>
    <w:rsid w:val="6C206C0B"/>
    <w:rsid w:val="6C953DC0"/>
    <w:rsid w:val="6E131A64"/>
    <w:rsid w:val="6F2C429A"/>
    <w:rsid w:val="70056FCC"/>
    <w:rsid w:val="705A7861"/>
    <w:rsid w:val="71E40BFB"/>
    <w:rsid w:val="72A03FF2"/>
    <w:rsid w:val="77CB600D"/>
    <w:rsid w:val="792D27D4"/>
    <w:rsid w:val="799823D0"/>
    <w:rsid w:val="7CBC63FC"/>
    <w:rsid w:val="7D202E7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4CB6"/>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A54CB6"/>
  </w:style>
  <w:style w:type="paragraph" w:styleId="a4">
    <w:name w:val="Balloon Text"/>
    <w:basedOn w:val="a"/>
    <w:link w:val="Char0"/>
    <w:uiPriority w:val="99"/>
    <w:semiHidden/>
    <w:unhideWhenUsed/>
    <w:qFormat/>
    <w:rsid w:val="00A54CB6"/>
    <w:pPr>
      <w:spacing w:line="240" w:lineRule="auto"/>
    </w:pPr>
    <w:rPr>
      <w:sz w:val="18"/>
      <w:szCs w:val="18"/>
    </w:rPr>
  </w:style>
  <w:style w:type="paragraph" w:styleId="a5">
    <w:name w:val="footer"/>
    <w:basedOn w:val="a"/>
    <w:link w:val="Char1"/>
    <w:uiPriority w:val="99"/>
    <w:unhideWhenUsed/>
    <w:qFormat/>
    <w:rsid w:val="00A54CB6"/>
    <w:pPr>
      <w:tabs>
        <w:tab w:val="center" w:pos="4153"/>
        <w:tab w:val="right" w:pos="8306"/>
      </w:tabs>
      <w:snapToGrid w:val="0"/>
      <w:spacing w:line="240" w:lineRule="atLeast"/>
    </w:pPr>
    <w:rPr>
      <w:sz w:val="18"/>
      <w:szCs w:val="18"/>
    </w:rPr>
  </w:style>
  <w:style w:type="paragraph" w:styleId="a6">
    <w:name w:val="header"/>
    <w:basedOn w:val="a"/>
    <w:link w:val="Char2"/>
    <w:uiPriority w:val="99"/>
    <w:semiHidden/>
    <w:unhideWhenUsed/>
    <w:qFormat/>
    <w:rsid w:val="00A54CB6"/>
    <w:pPr>
      <w:pBdr>
        <w:bottom w:val="single" w:sz="6" w:space="1" w:color="auto"/>
      </w:pBdr>
      <w:tabs>
        <w:tab w:val="center" w:pos="4153"/>
        <w:tab w:val="right" w:pos="8306"/>
      </w:tabs>
      <w:snapToGrid w:val="0"/>
      <w:spacing w:line="240" w:lineRule="atLeast"/>
      <w:jc w:val="center"/>
    </w:pPr>
    <w:rPr>
      <w:sz w:val="18"/>
      <w:szCs w:val="18"/>
    </w:rPr>
  </w:style>
  <w:style w:type="paragraph" w:styleId="a7">
    <w:name w:val="Normal (Web)"/>
    <w:basedOn w:val="a"/>
    <w:uiPriority w:val="99"/>
    <w:unhideWhenUsed/>
    <w:qFormat/>
    <w:rsid w:val="00A54CB6"/>
    <w:pPr>
      <w:spacing w:before="100" w:beforeAutospacing="1" w:after="100" w:afterAutospacing="1"/>
    </w:pPr>
    <w:rPr>
      <w:rFonts w:ascii="宋体" w:eastAsia="宋体" w:hAnsi="宋体" w:cs="宋体"/>
      <w:kern w:val="0"/>
      <w:sz w:val="24"/>
      <w:szCs w:val="24"/>
    </w:rPr>
  </w:style>
  <w:style w:type="paragraph" w:styleId="a8">
    <w:name w:val="annotation subject"/>
    <w:basedOn w:val="a3"/>
    <w:next w:val="a3"/>
    <w:link w:val="Char3"/>
    <w:uiPriority w:val="99"/>
    <w:semiHidden/>
    <w:unhideWhenUsed/>
    <w:qFormat/>
    <w:rsid w:val="00A54CB6"/>
    <w:rPr>
      <w:b/>
      <w:bCs/>
    </w:rPr>
  </w:style>
  <w:style w:type="character" w:styleId="a9">
    <w:name w:val="annotation reference"/>
    <w:basedOn w:val="a0"/>
    <w:uiPriority w:val="99"/>
    <w:semiHidden/>
    <w:unhideWhenUsed/>
    <w:qFormat/>
    <w:rsid w:val="00A54CB6"/>
    <w:rPr>
      <w:sz w:val="21"/>
      <w:szCs w:val="21"/>
    </w:rPr>
  </w:style>
  <w:style w:type="paragraph" w:styleId="aa">
    <w:name w:val="No Spacing"/>
    <w:uiPriority w:val="1"/>
    <w:qFormat/>
    <w:rsid w:val="00A54CB6"/>
    <w:pPr>
      <w:widowControl w:val="0"/>
      <w:spacing w:line="540" w:lineRule="exact"/>
      <w:jc w:val="both"/>
    </w:pPr>
    <w:rPr>
      <w:rFonts w:asciiTheme="minorHAnsi" w:eastAsiaTheme="minorEastAsia" w:hAnsiTheme="minorHAnsi" w:cstheme="minorBidi"/>
      <w:kern w:val="2"/>
      <w:sz w:val="21"/>
      <w:szCs w:val="22"/>
    </w:rPr>
  </w:style>
  <w:style w:type="paragraph" w:styleId="ab">
    <w:name w:val="List Paragraph"/>
    <w:basedOn w:val="a"/>
    <w:uiPriority w:val="34"/>
    <w:qFormat/>
    <w:rsid w:val="00A54CB6"/>
    <w:pPr>
      <w:ind w:firstLineChars="200" w:firstLine="420"/>
    </w:pPr>
  </w:style>
  <w:style w:type="character" w:customStyle="1" w:styleId="Char2">
    <w:name w:val="页眉 Char"/>
    <w:basedOn w:val="a0"/>
    <w:link w:val="a6"/>
    <w:uiPriority w:val="99"/>
    <w:semiHidden/>
    <w:qFormat/>
    <w:rsid w:val="00A54CB6"/>
    <w:rPr>
      <w:sz w:val="18"/>
      <w:szCs w:val="18"/>
    </w:rPr>
  </w:style>
  <w:style w:type="character" w:customStyle="1" w:styleId="Char1">
    <w:name w:val="页脚 Char"/>
    <w:basedOn w:val="a0"/>
    <w:link w:val="a5"/>
    <w:uiPriority w:val="99"/>
    <w:qFormat/>
    <w:rsid w:val="00A54CB6"/>
    <w:rPr>
      <w:sz w:val="18"/>
      <w:szCs w:val="18"/>
    </w:rPr>
  </w:style>
  <w:style w:type="paragraph" w:customStyle="1" w:styleId="p0">
    <w:name w:val="p0"/>
    <w:basedOn w:val="a"/>
    <w:qFormat/>
    <w:rsid w:val="00A54CB6"/>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0">
    <w:name w:val="批注框文本 Char"/>
    <w:basedOn w:val="a0"/>
    <w:link w:val="a4"/>
    <w:uiPriority w:val="99"/>
    <w:semiHidden/>
    <w:qFormat/>
    <w:rsid w:val="00A54CB6"/>
    <w:rPr>
      <w:rFonts w:asciiTheme="minorHAnsi" w:eastAsiaTheme="minorEastAsia" w:hAnsiTheme="minorHAnsi" w:cstheme="minorBidi"/>
      <w:kern w:val="2"/>
      <w:sz w:val="18"/>
      <w:szCs w:val="18"/>
    </w:rPr>
  </w:style>
  <w:style w:type="character" w:customStyle="1" w:styleId="Char">
    <w:name w:val="批注文字 Char"/>
    <w:basedOn w:val="a0"/>
    <w:link w:val="a3"/>
    <w:uiPriority w:val="99"/>
    <w:semiHidden/>
    <w:qFormat/>
    <w:rsid w:val="00A54CB6"/>
    <w:rPr>
      <w:rFonts w:asciiTheme="minorHAnsi" w:eastAsiaTheme="minorEastAsia" w:hAnsiTheme="minorHAnsi" w:cstheme="minorBidi"/>
      <w:kern w:val="2"/>
      <w:sz w:val="21"/>
      <w:szCs w:val="22"/>
    </w:rPr>
  </w:style>
  <w:style w:type="character" w:customStyle="1" w:styleId="Char3">
    <w:name w:val="批注主题 Char"/>
    <w:basedOn w:val="Char"/>
    <w:link w:val="a8"/>
    <w:uiPriority w:val="99"/>
    <w:semiHidden/>
    <w:qFormat/>
    <w:rsid w:val="00A54CB6"/>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365A116-7F56-4C1C-BFE4-013DDE06D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249</TotalTime>
  <Pages>1</Pages>
  <Words>893</Words>
  <Characters>5096</Characters>
  <Application>Microsoft Office Word</Application>
  <DocSecurity>0</DocSecurity>
  <Lines>42</Lines>
  <Paragraphs>11</Paragraphs>
  <ScaleCrop>false</ScaleCrop>
  <Company/>
  <LinksUpToDate>false</LinksUpToDate>
  <CharactersWithSpaces>5978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39</cp:revision>
  <cp:lastPrinted>2021-09-06T06:43:00Z</cp:lastPrinted>
  <dcterms:created xsi:type="dcterms:W3CDTF">2019-06-06T07:34:00Z</dcterms:created>
  <dcterms:modified xsi:type="dcterms:W3CDTF">2021-09-06T06:45:00Z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2052-11.1.0.10667</vt:lpwstr>
  </property>
  <property fmtid="{D5CDD505-2E9C-101B-9397-08002B2CF9AE}" pid="3" name="ICV">
    <vt:lpwstr>296A2C42548048A69C6E6843F91CE592</vt:lpwstr>
  </property>
</Properties>
</file>