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7C1E" w:rsidRDefault="00FF7C1E">
      <w:pPr>
        <w:shd w:val="clear" w:color="auto" w:fill="FFFFFF"/>
        <w:spacing w:line="900" w:lineRule="atLeast"/>
        <w:jc w:val="center"/>
        <w:outlineLvl w:val="0"/>
        <w:rPr>
          <w:rFonts w:ascii="仿宋" w:eastAsia="仿宋" w:hAnsi="仿宋" w:cs="宋体"/>
          <w:b/>
          <w:bCs/>
          <w:color w:val="333333"/>
          <w:kern w:val="36"/>
          <w:sz w:val="36"/>
          <w:szCs w:val="36"/>
        </w:rPr>
      </w:pPr>
    </w:p>
    <w:p w:rsidR="00FF7C1E" w:rsidRDefault="00FF7C1E">
      <w:pPr>
        <w:shd w:val="clear" w:color="auto" w:fill="FFFFFF"/>
        <w:spacing w:line="900" w:lineRule="atLeast"/>
        <w:jc w:val="center"/>
        <w:outlineLvl w:val="0"/>
        <w:rPr>
          <w:rFonts w:ascii="仿宋" w:eastAsia="仿宋" w:hAnsi="仿宋" w:cs="宋体"/>
          <w:b/>
          <w:bCs/>
          <w:color w:val="333333"/>
          <w:kern w:val="36"/>
          <w:sz w:val="36"/>
          <w:szCs w:val="36"/>
        </w:rPr>
      </w:pPr>
    </w:p>
    <w:p w:rsidR="003C02CA" w:rsidRPr="003C02CA" w:rsidRDefault="002F04FA" w:rsidP="003C02CA">
      <w:pPr>
        <w:shd w:val="clear" w:color="auto" w:fill="FFFFFF"/>
        <w:spacing w:line="900" w:lineRule="atLeast"/>
        <w:jc w:val="center"/>
        <w:outlineLvl w:val="0"/>
        <w:rPr>
          <w:rFonts w:ascii="仿宋" w:eastAsia="仿宋" w:hAnsi="仿宋" w:cs="宋体"/>
          <w:b/>
          <w:bCs/>
          <w:color w:val="333333"/>
          <w:kern w:val="36"/>
          <w:sz w:val="30"/>
          <w:szCs w:val="30"/>
        </w:rPr>
      </w:pPr>
      <w:r w:rsidRPr="003C02CA">
        <w:rPr>
          <w:rFonts w:ascii="仿宋" w:eastAsia="仿宋" w:hAnsi="仿宋" w:cs="宋体" w:hint="eastAsia"/>
          <w:b/>
          <w:bCs/>
          <w:color w:val="333333"/>
          <w:kern w:val="36"/>
          <w:sz w:val="30"/>
          <w:szCs w:val="30"/>
        </w:rPr>
        <w:t>南县农田建设服务中心</w:t>
      </w:r>
      <w:r w:rsidR="003C02CA" w:rsidRPr="003C02CA">
        <w:rPr>
          <w:rFonts w:ascii="仿宋" w:eastAsia="仿宋" w:hAnsi="仿宋" w:cs="宋体" w:hint="eastAsia"/>
          <w:b/>
          <w:bCs/>
          <w:color w:val="333333"/>
          <w:kern w:val="36"/>
          <w:sz w:val="30"/>
          <w:szCs w:val="30"/>
        </w:rPr>
        <w:t>2020年农田建设配套资金</w:t>
      </w:r>
    </w:p>
    <w:p w:rsidR="00FF7C1E" w:rsidRPr="003C02CA" w:rsidRDefault="002F04FA">
      <w:pPr>
        <w:shd w:val="clear" w:color="auto" w:fill="FFFFFF"/>
        <w:spacing w:line="900" w:lineRule="atLeast"/>
        <w:jc w:val="center"/>
        <w:outlineLvl w:val="0"/>
        <w:rPr>
          <w:rFonts w:ascii="仿宋" w:eastAsia="仿宋" w:hAnsi="仿宋" w:cs="宋体"/>
          <w:b/>
          <w:bCs/>
          <w:color w:val="333333"/>
          <w:kern w:val="36"/>
          <w:sz w:val="30"/>
          <w:szCs w:val="30"/>
        </w:rPr>
      </w:pPr>
      <w:r w:rsidRPr="003C02CA">
        <w:rPr>
          <w:rFonts w:ascii="仿宋" w:eastAsia="仿宋" w:hAnsi="仿宋" w:cs="宋体" w:hint="eastAsia"/>
          <w:b/>
          <w:bCs/>
          <w:color w:val="333333"/>
          <w:kern w:val="36"/>
          <w:sz w:val="30"/>
          <w:szCs w:val="30"/>
        </w:rPr>
        <w:t>绩效评价报告</w:t>
      </w:r>
    </w:p>
    <w:p w:rsidR="00FF7C1E" w:rsidRPr="003C02CA" w:rsidRDefault="002F04FA">
      <w:pPr>
        <w:tabs>
          <w:tab w:val="left" w:pos="1260"/>
          <w:tab w:val="left" w:pos="6090"/>
        </w:tabs>
        <w:spacing w:line="74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w:t>
      </w:r>
      <w:r w:rsidRPr="003C02CA">
        <w:rPr>
          <w:rFonts w:ascii="仿宋" w:eastAsia="仿宋" w:hAnsi="仿宋" w:hint="eastAsia"/>
          <w:b/>
          <w:spacing w:val="24"/>
          <w:sz w:val="28"/>
          <w:szCs w:val="28"/>
        </w:rPr>
        <w:t>湘财苑绩评字[2021]1-</w:t>
      </w:r>
      <w:r w:rsidR="00553A05" w:rsidRPr="003C02CA">
        <w:rPr>
          <w:rFonts w:ascii="仿宋" w:eastAsia="仿宋" w:hAnsi="仿宋" w:hint="eastAsia"/>
          <w:b/>
          <w:spacing w:val="24"/>
          <w:sz w:val="28"/>
          <w:szCs w:val="28"/>
        </w:rPr>
        <w:t>012</w:t>
      </w:r>
      <w:r w:rsidRPr="003C02CA">
        <w:rPr>
          <w:rFonts w:ascii="仿宋" w:eastAsia="仿宋" w:hAnsi="仿宋" w:hint="eastAsia"/>
          <w:b/>
          <w:spacing w:val="24"/>
          <w:sz w:val="28"/>
          <w:szCs w:val="28"/>
        </w:rPr>
        <w:t>号</w:t>
      </w: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FF7C1E">
      <w:pPr>
        <w:tabs>
          <w:tab w:val="left" w:pos="1260"/>
          <w:tab w:val="left" w:pos="6090"/>
        </w:tabs>
        <w:spacing w:line="740" w:lineRule="exact"/>
        <w:jc w:val="center"/>
        <w:rPr>
          <w:rFonts w:ascii="仿宋" w:eastAsia="仿宋" w:hAnsi="仿宋"/>
          <w:b/>
          <w:spacing w:val="24"/>
          <w:sz w:val="52"/>
          <w:szCs w:val="52"/>
        </w:rPr>
      </w:pPr>
    </w:p>
    <w:p w:rsidR="00FF7C1E" w:rsidRDefault="002F04FA">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FF7C1E" w:rsidRDefault="00FF7C1E">
      <w:pPr>
        <w:tabs>
          <w:tab w:val="left" w:pos="1260"/>
          <w:tab w:val="left" w:pos="6090"/>
        </w:tabs>
        <w:spacing w:line="740" w:lineRule="exact"/>
        <w:jc w:val="center"/>
        <w:rPr>
          <w:rFonts w:ascii="仿宋" w:eastAsia="仿宋" w:hAnsi="仿宋"/>
          <w:b/>
          <w:spacing w:val="24"/>
          <w:sz w:val="32"/>
          <w:szCs w:val="32"/>
        </w:rPr>
      </w:pPr>
    </w:p>
    <w:p w:rsidR="003C02CA" w:rsidRDefault="003C02CA">
      <w:pPr>
        <w:tabs>
          <w:tab w:val="left" w:pos="1260"/>
          <w:tab w:val="left" w:pos="6090"/>
        </w:tabs>
        <w:spacing w:line="740" w:lineRule="exact"/>
        <w:jc w:val="center"/>
        <w:rPr>
          <w:rFonts w:ascii="仿宋" w:eastAsia="仿宋" w:hAnsi="仿宋"/>
          <w:b/>
          <w:spacing w:val="24"/>
          <w:sz w:val="32"/>
          <w:szCs w:val="32"/>
        </w:rPr>
      </w:pPr>
    </w:p>
    <w:p w:rsidR="00FF7C1E" w:rsidRDefault="00FF7C1E">
      <w:pPr>
        <w:tabs>
          <w:tab w:val="left" w:pos="1260"/>
          <w:tab w:val="left" w:pos="6090"/>
        </w:tabs>
        <w:spacing w:line="740" w:lineRule="exact"/>
        <w:jc w:val="center"/>
        <w:rPr>
          <w:rFonts w:ascii="仿宋" w:eastAsia="仿宋" w:hAnsi="仿宋"/>
          <w:b/>
          <w:spacing w:val="24"/>
          <w:sz w:val="32"/>
          <w:szCs w:val="32"/>
        </w:rPr>
      </w:pPr>
    </w:p>
    <w:p w:rsidR="00FF7C1E" w:rsidRDefault="002F04FA">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FF7C1E" w:rsidRDefault="002F04FA">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FF7C1E" w:rsidRDefault="002F04FA">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FF7C1E">
        <w:tc>
          <w:tcPr>
            <w:tcW w:w="9407" w:type="dxa"/>
            <w:tcBorders>
              <w:top w:val="single" w:sz="4" w:space="0" w:color="auto"/>
              <w:left w:val="nil"/>
              <w:bottom w:val="nil"/>
              <w:right w:val="nil"/>
            </w:tcBorders>
          </w:tcPr>
          <w:p w:rsidR="00FF7C1E" w:rsidRDefault="00FF7C1E">
            <w:pPr>
              <w:spacing w:line="520" w:lineRule="exact"/>
              <w:rPr>
                <w:rFonts w:eastAsia="仿宋_GB2312"/>
                <w:szCs w:val="21"/>
                <w:u w:val="single"/>
                <w:bdr w:val="single" w:sz="4" w:space="0" w:color="auto"/>
              </w:rPr>
            </w:pPr>
          </w:p>
        </w:tc>
      </w:tr>
    </w:tbl>
    <w:p w:rsidR="003C02CA" w:rsidRDefault="002F04FA" w:rsidP="003C02CA">
      <w:pPr>
        <w:shd w:val="clear" w:color="auto" w:fill="FFFFFF"/>
        <w:spacing w:line="520" w:lineRule="exact"/>
        <w:jc w:val="center"/>
        <w:outlineLvl w:val="0"/>
        <w:rPr>
          <w:rFonts w:ascii="仿宋" w:eastAsia="仿宋" w:hAnsi="仿宋"/>
          <w:b/>
          <w:sz w:val="36"/>
          <w:szCs w:val="36"/>
        </w:rPr>
      </w:pPr>
      <w:r>
        <w:rPr>
          <w:rFonts w:ascii="仿宋" w:eastAsia="仿宋" w:hAnsi="仿宋" w:hint="eastAsia"/>
          <w:b/>
          <w:sz w:val="36"/>
          <w:szCs w:val="36"/>
        </w:rPr>
        <w:t>南县农田建设服务中心</w:t>
      </w:r>
      <w:r w:rsidR="003C02CA">
        <w:rPr>
          <w:rFonts w:ascii="仿宋" w:eastAsia="仿宋" w:hAnsi="仿宋" w:hint="eastAsia"/>
          <w:b/>
          <w:sz w:val="36"/>
          <w:szCs w:val="36"/>
        </w:rPr>
        <w:t>2020年度农田建设配套资金</w:t>
      </w:r>
    </w:p>
    <w:p w:rsidR="00FF7C1E" w:rsidRDefault="002F04FA">
      <w:pPr>
        <w:spacing w:line="520" w:lineRule="exact"/>
        <w:ind w:leftChars="1450" w:left="3045" w:firstLineChars="50" w:firstLine="181"/>
        <w:rPr>
          <w:rFonts w:ascii="仿宋" w:eastAsia="仿宋" w:hAnsi="仿宋"/>
          <w:b/>
          <w:sz w:val="36"/>
          <w:szCs w:val="36"/>
        </w:rPr>
      </w:pPr>
      <w:r>
        <w:rPr>
          <w:rFonts w:ascii="仿宋" w:eastAsia="仿宋" w:hAnsi="仿宋" w:hint="eastAsia"/>
          <w:b/>
          <w:sz w:val="36"/>
          <w:szCs w:val="36"/>
        </w:rPr>
        <w:t>绩效评价报告</w:t>
      </w:r>
    </w:p>
    <w:p w:rsidR="00FF7C1E" w:rsidRDefault="002F04FA">
      <w:pPr>
        <w:spacing w:line="520" w:lineRule="exact"/>
        <w:ind w:firstLineChars="700" w:firstLine="2296"/>
        <w:rPr>
          <w:rFonts w:ascii="仿宋" w:eastAsia="仿宋" w:hAnsi="仿宋"/>
          <w:spacing w:val="24"/>
          <w:sz w:val="28"/>
          <w:szCs w:val="28"/>
        </w:rPr>
      </w:pPr>
      <w:r>
        <w:rPr>
          <w:rFonts w:ascii="仿宋" w:eastAsia="仿宋" w:hAnsi="仿宋" w:hint="eastAsia"/>
          <w:spacing w:val="24"/>
          <w:sz w:val="28"/>
          <w:szCs w:val="28"/>
        </w:rPr>
        <w:t>湘财苑绩评字[2021]1-</w:t>
      </w:r>
      <w:r w:rsidR="00553A05">
        <w:rPr>
          <w:rFonts w:ascii="仿宋" w:eastAsia="仿宋" w:hAnsi="仿宋" w:hint="eastAsia"/>
          <w:spacing w:val="24"/>
          <w:sz w:val="28"/>
          <w:szCs w:val="28"/>
        </w:rPr>
        <w:t>012</w:t>
      </w:r>
      <w:r>
        <w:rPr>
          <w:rFonts w:ascii="仿宋" w:eastAsia="仿宋" w:hAnsi="仿宋" w:hint="eastAsia"/>
          <w:spacing w:val="24"/>
          <w:sz w:val="28"/>
          <w:szCs w:val="28"/>
        </w:rPr>
        <w:t>号</w:t>
      </w:r>
    </w:p>
    <w:p w:rsidR="00FF7C1E" w:rsidRDefault="00FF7C1E">
      <w:pPr>
        <w:ind w:firstLineChars="700" w:firstLine="2296"/>
        <w:rPr>
          <w:rFonts w:ascii="仿宋" w:eastAsia="仿宋" w:hAnsi="仿宋"/>
          <w:spacing w:val="24"/>
          <w:sz w:val="28"/>
          <w:szCs w:val="28"/>
        </w:rPr>
      </w:pPr>
    </w:p>
    <w:p w:rsidR="00FF7C1E" w:rsidRDefault="002F04FA">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28日对2020年度对南县农田建设服务中心“农田建设配套资金”工作经费（以下简称项目资金）开展了绩效评价。现将有关情况报告如下：</w:t>
      </w:r>
    </w:p>
    <w:p w:rsidR="00FF7C1E" w:rsidRDefault="002F04FA">
      <w:pPr>
        <w:pStyle w:val="a7"/>
        <w:ind w:firstLineChars="250" w:firstLine="803"/>
        <w:rPr>
          <w:rFonts w:ascii="仿宋" w:eastAsia="仿宋" w:hAnsi="仿宋"/>
          <w:b/>
          <w:sz w:val="32"/>
          <w:szCs w:val="32"/>
        </w:rPr>
      </w:pPr>
      <w:r>
        <w:rPr>
          <w:rFonts w:ascii="仿宋" w:eastAsia="仿宋" w:hAnsi="仿宋" w:hint="eastAsia"/>
          <w:b/>
          <w:sz w:val="32"/>
          <w:szCs w:val="32"/>
        </w:rPr>
        <w:t>一、基本情况</w:t>
      </w:r>
    </w:p>
    <w:p w:rsidR="00FF7C1E" w:rsidRDefault="002F04FA">
      <w:pPr>
        <w:pStyle w:val="a6"/>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农田建设服务中心是南县农业农村局所属股级公益一类事业单位，核定全额拨款事业编制10名，设主任1名，副主任2名。主要职责是：拟定全县农田建设与管理和资金管理规章制度与实施细则；拟定全县农田建设和管理的总体发展战略，编制中长期发展规划；负责全县农田建设项目规划、设计、申报、实施等相关工作。</w:t>
      </w:r>
    </w:p>
    <w:p w:rsidR="00FF7C1E" w:rsidRDefault="002F04FA">
      <w:pPr>
        <w:pStyle w:val="a6"/>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（二）项目基本情况。2020年初，南县农田建设服务中心对县域内相关乡镇、行政村内急需进行新建、改造的农田基础设施进行了摸底调查，制定了争取</w:t>
      </w:r>
      <w:r>
        <w:rPr>
          <w:rFonts w:ascii="仿宋" w:eastAsia="仿宋" w:hAnsi="仿宋" w:hint="eastAsia"/>
        </w:rPr>
        <w:lastRenderedPageBreak/>
        <w:t>县级财政配套资金改造高标准农田375亩的计划任务。该计划得到主管单位南县农业农村局及财政部门的大力支持。根据南财编审函[2020]1号《南县财政局关于2020年部门预算的批复》文件，核定南县农田建设服务中心农田建设配套专项资金60万元。</w:t>
      </w:r>
    </w:p>
    <w:p w:rsidR="00FF7C1E" w:rsidRDefault="002F04FA">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FF7C1E" w:rsidRDefault="002F04FA">
      <w:pPr>
        <w:ind w:firstLineChars="200" w:firstLine="480"/>
        <w:rPr>
          <w:rFonts w:ascii="仿宋" w:eastAsia="仿宋" w:hAnsi="仿宋"/>
          <w:sz w:val="24"/>
          <w:szCs w:val="24"/>
        </w:rPr>
      </w:pPr>
      <w:r>
        <w:rPr>
          <w:rFonts w:ascii="仿宋" w:eastAsia="仿宋" w:hAnsi="仿宋" w:hint="eastAsia"/>
          <w:sz w:val="24"/>
          <w:szCs w:val="24"/>
        </w:rPr>
        <w:t>（一）项目资金到位情况。“农田建设配套资金”财政预算安排项目资金60.00万元，县财政2020年1月13日下达预算本级专项50万元、2020年9月25日拨付40万元（其中增资立项30万元），实际拨付60万元，资金到位率100%。</w:t>
      </w:r>
    </w:p>
    <w:p w:rsidR="00FF7C1E" w:rsidRDefault="002F04FA">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情况。“农田建设配套资金”项目资金</w:t>
      </w:r>
      <w:r>
        <w:rPr>
          <w:rFonts w:ascii="仿宋" w:eastAsia="仿宋" w:hAnsi="仿宋" w:hint="eastAsia"/>
          <w:sz w:val="24"/>
          <w:szCs w:val="24"/>
        </w:rPr>
        <w:t>实际使用资金66.00万元，其中县级农田配套专项资金60.00万元，另整合增资立项资金6万元。专项资金支付情况：2020年9月支付20万元、2021年2月拨付46万。该专项资金拨付至7个镇：麻河口镇26.00万元、浪拔湖镇15.00万元、南洲镇2.00万元、青树嘴镇10.00万元、明山头镇7.00万元、华阁镇4.00万元、三仙湖镇2.00万元。资金使用情况如下：</w:t>
      </w:r>
    </w:p>
    <w:tbl>
      <w:tblPr>
        <w:tblW w:w="9388" w:type="dxa"/>
        <w:tblInd w:w="42" w:type="dxa"/>
        <w:tblLayout w:type="fixed"/>
        <w:tblLook w:val="04A0"/>
      </w:tblPr>
      <w:tblGrid>
        <w:gridCol w:w="507"/>
        <w:gridCol w:w="971"/>
        <w:gridCol w:w="1325"/>
        <w:gridCol w:w="2792"/>
        <w:gridCol w:w="1134"/>
        <w:gridCol w:w="850"/>
        <w:gridCol w:w="851"/>
        <w:gridCol w:w="958"/>
      </w:tblGrid>
      <w:tr w:rsidR="00FF7C1E" w:rsidRPr="003C02CA" w:rsidTr="003C02CA">
        <w:trPr>
          <w:trHeight w:val="465"/>
        </w:trPr>
        <w:tc>
          <w:tcPr>
            <w:tcW w:w="507"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序号</w:t>
            </w:r>
          </w:p>
        </w:tc>
        <w:tc>
          <w:tcPr>
            <w:tcW w:w="971" w:type="dxa"/>
            <w:tcBorders>
              <w:top w:val="single" w:sz="8" w:space="0" w:color="000000"/>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年初预算（万元）</w:t>
            </w:r>
          </w:p>
        </w:tc>
        <w:tc>
          <w:tcPr>
            <w:tcW w:w="1325" w:type="dxa"/>
            <w:tcBorders>
              <w:top w:val="single" w:sz="8" w:space="0" w:color="000000"/>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项目所属乡镇</w:t>
            </w:r>
          </w:p>
        </w:tc>
        <w:tc>
          <w:tcPr>
            <w:tcW w:w="2792" w:type="dxa"/>
            <w:tcBorders>
              <w:top w:val="single" w:sz="8" w:space="0" w:color="000000"/>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本年开支明细</w:t>
            </w:r>
          </w:p>
        </w:tc>
        <w:tc>
          <w:tcPr>
            <w:tcW w:w="1134" w:type="dxa"/>
            <w:tcBorders>
              <w:top w:val="single" w:sz="8" w:space="0" w:color="000000"/>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本年支出金额（元）</w:t>
            </w:r>
          </w:p>
        </w:tc>
        <w:tc>
          <w:tcPr>
            <w:tcW w:w="850" w:type="dxa"/>
            <w:tcBorders>
              <w:top w:val="single" w:sz="8" w:space="0" w:color="000000"/>
              <w:left w:val="nil"/>
              <w:bottom w:val="nil"/>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5"/>
                <w:szCs w:val="15"/>
              </w:rPr>
            </w:pPr>
            <w:r w:rsidRPr="003C02CA">
              <w:rPr>
                <w:rFonts w:ascii="仿宋" w:eastAsia="仿宋" w:hAnsi="仿宋" w:cs="宋体" w:hint="eastAsia"/>
                <w:color w:val="000000"/>
                <w:kern w:val="0"/>
                <w:sz w:val="15"/>
                <w:szCs w:val="15"/>
              </w:rPr>
              <w:t>占支出资金比例</w:t>
            </w:r>
          </w:p>
        </w:tc>
        <w:tc>
          <w:tcPr>
            <w:tcW w:w="851" w:type="dxa"/>
            <w:tcBorders>
              <w:top w:val="single" w:sz="8" w:space="0" w:color="000000"/>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5"/>
                <w:szCs w:val="15"/>
              </w:rPr>
            </w:pPr>
            <w:r w:rsidRPr="003C02CA">
              <w:rPr>
                <w:rFonts w:ascii="仿宋" w:eastAsia="仿宋" w:hAnsi="仿宋" w:cs="宋体" w:hint="eastAsia"/>
                <w:color w:val="000000"/>
                <w:kern w:val="0"/>
                <w:sz w:val="15"/>
                <w:szCs w:val="15"/>
              </w:rPr>
              <w:t>占支出资金比例</w:t>
            </w:r>
          </w:p>
        </w:tc>
        <w:tc>
          <w:tcPr>
            <w:tcW w:w="958" w:type="dxa"/>
            <w:tcBorders>
              <w:top w:val="single" w:sz="8" w:space="0" w:color="000000"/>
              <w:left w:val="nil"/>
              <w:bottom w:val="nil"/>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预算执行率%</w:t>
            </w:r>
          </w:p>
        </w:tc>
      </w:tr>
      <w:tr w:rsidR="00FF7C1E" w:rsidRPr="003C02CA" w:rsidTr="003C02CA">
        <w:trPr>
          <w:trHeight w:val="90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w:t>
            </w:r>
          </w:p>
        </w:tc>
        <w:tc>
          <w:tcPr>
            <w:tcW w:w="971" w:type="dxa"/>
            <w:vMerge w:val="restart"/>
            <w:tcBorders>
              <w:top w:val="nil"/>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60</w:t>
            </w:r>
          </w:p>
        </w:tc>
        <w:tc>
          <w:tcPr>
            <w:tcW w:w="1325" w:type="dxa"/>
            <w:vMerge w:val="restart"/>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麻河口镇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南间堤村道路硬化570米、新建涵闸6处、机耕桥1座</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30.30%</w:t>
            </w:r>
          </w:p>
        </w:tc>
        <w:tc>
          <w:tcPr>
            <w:tcW w:w="851" w:type="dxa"/>
            <w:vMerge w:val="restart"/>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39.39%</w:t>
            </w:r>
          </w:p>
        </w:tc>
        <w:tc>
          <w:tcPr>
            <w:tcW w:w="958"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5"/>
                <w:szCs w:val="15"/>
              </w:rPr>
              <w:t>110.00%</w:t>
            </w: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曹家铺村渠道护坡100米</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40,000.00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6.06%</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陈家渡村渠道疏洗5130米</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4</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val="restart"/>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浪拔湖镇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kern w:val="0"/>
                <w:sz w:val="18"/>
                <w:szCs w:val="18"/>
              </w:rPr>
            </w:pPr>
            <w:r w:rsidRPr="003C02CA">
              <w:rPr>
                <w:rFonts w:ascii="仿宋" w:eastAsia="仿宋" w:hAnsi="仿宋" w:cs="宋体" w:hint="eastAsia"/>
                <w:color w:val="000000"/>
                <w:kern w:val="0"/>
                <w:sz w:val="18"/>
                <w:szCs w:val="18"/>
              </w:rPr>
              <w:t>南红村新建涵闸</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70,000.00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10.61%</w:t>
            </w:r>
          </w:p>
        </w:tc>
        <w:tc>
          <w:tcPr>
            <w:tcW w:w="851" w:type="dxa"/>
            <w:vMerge w:val="restart"/>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22.73%</w:t>
            </w: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5</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稻稻菜基地碎石道路铺设400米</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9.09%</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红星村机埠维修1处</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7</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南洲镇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荷花嘴村原永固新建涵闸6处</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851" w:type="dxa"/>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8</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val="restart"/>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青树嘴镇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镇本级民兵渠清障6950米</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50,000.00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7.58%</w:t>
            </w:r>
          </w:p>
        </w:tc>
        <w:tc>
          <w:tcPr>
            <w:tcW w:w="851" w:type="dxa"/>
            <w:vMerge w:val="restart"/>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15.15%</w:t>
            </w: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lastRenderedPageBreak/>
              <w:t>9</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吉祥村双闸上电排增容1处</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4.55%</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10</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吉祥村渠道疏洗900米</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11</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val="restart"/>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明山头镇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丰安坝村跃进渠衬砌、田间分水口10处、桥维修4座、涵闸建设5处、码头20处</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50,000.00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7.58%</w:t>
            </w:r>
          </w:p>
        </w:tc>
        <w:tc>
          <w:tcPr>
            <w:tcW w:w="851" w:type="dxa"/>
            <w:vMerge w:val="restart"/>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10.61%</w:t>
            </w: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12</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耕余堂村团结渠八字处理涵闸2处</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851" w:type="dxa"/>
            <w:vMerge/>
            <w:tcBorders>
              <w:top w:val="nil"/>
              <w:left w:val="nil"/>
              <w:bottom w:val="single" w:sz="8" w:space="0" w:color="000000"/>
              <w:right w:val="nil"/>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13</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华阁镇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子午村涵闸建设1处</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40,000.00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6.06%</w:t>
            </w:r>
          </w:p>
        </w:tc>
        <w:tc>
          <w:tcPr>
            <w:tcW w:w="851" w:type="dxa"/>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6.06%</w:t>
            </w: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340"/>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14</w:t>
            </w:r>
          </w:p>
        </w:tc>
        <w:tc>
          <w:tcPr>
            <w:tcW w:w="971" w:type="dxa"/>
            <w:vMerge/>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325"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三仙湖镇</w:t>
            </w: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2F04FA">
            <w:pP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咸嘉垸村均和东渠疏洗900米</w:t>
            </w: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right"/>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20,000.00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851" w:type="dxa"/>
            <w:tcBorders>
              <w:top w:val="nil"/>
              <w:left w:val="nil"/>
              <w:bottom w:val="single" w:sz="8" w:space="0" w:color="000000"/>
              <w:right w:val="nil"/>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3.03%</w:t>
            </w:r>
          </w:p>
        </w:tc>
        <w:tc>
          <w:tcPr>
            <w:tcW w:w="958" w:type="dxa"/>
            <w:vMerge/>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r>
      <w:tr w:rsidR="00FF7C1E" w:rsidRPr="003C02CA" w:rsidTr="003C02CA">
        <w:trPr>
          <w:trHeight w:val="405"/>
        </w:trPr>
        <w:tc>
          <w:tcPr>
            <w:tcW w:w="507" w:type="dxa"/>
            <w:tcBorders>
              <w:top w:val="nil"/>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合计</w:t>
            </w:r>
          </w:p>
        </w:tc>
        <w:tc>
          <w:tcPr>
            <w:tcW w:w="971" w:type="dxa"/>
            <w:tcBorders>
              <w:top w:val="nil"/>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60</w:t>
            </w:r>
          </w:p>
        </w:tc>
        <w:tc>
          <w:tcPr>
            <w:tcW w:w="1325" w:type="dxa"/>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2792" w:type="dxa"/>
            <w:tcBorders>
              <w:top w:val="nil"/>
              <w:left w:val="nil"/>
              <w:bottom w:val="single" w:sz="8" w:space="0" w:color="000000"/>
              <w:right w:val="single" w:sz="8" w:space="0" w:color="000000"/>
            </w:tcBorders>
            <w:shd w:val="clear" w:color="auto" w:fill="auto"/>
            <w:vAlign w:val="center"/>
          </w:tcPr>
          <w:p w:rsidR="00FF7C1E" w:rsidRPr="003C02CA" w:rsidRDefault="00FF7C1E">
            <w:pPr>
              <w:jc w:val="center"/>
              <w:rPr>
                <w:rFonts w:ascii="仿宋" w:eastAsia="仿宋" w:hAnsi="仿宋" w:cs="宋体"/>
                <w:color w:val="000000"/>
                <w:sz w:val="18"/>
                <w:szCs w:val="18"/>
              </w:rPr>
            </w:pPr>
          </w:p>
        </w:tc>
        <w:tc>
          <w:tcPr>
            <w:tcW w:w="1134" w:type="dxa"/>
            <w:tcBorders>
              <w:top w:val="nil"/>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660,000.00</w:t>
            </w:r>
          </w:p>
        </w:tc>
        <w:tc>
          <w:tcPr>
            <w:tcW w:w="850" w:type="dxa"/>
            <w:tcBorders>
              <w:top w:val="single" w:sz="8" w:space="0" w:color="000000"/>
              <w:left w:val="single" w:sz="8" w:space="0" w:color="000000"/>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100.00%</w:t>
            </w:r>
          </w:p>
        </w:tc>
        <w:tc>
          <w:tcPr>
            <w:tcW w:w="851" w:type="dxa"/>
            <w:tcBorders>
              <w:top w:val="nil"/>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100.00%</w:t>
            </w:r>
          </w:p>
        </w:tc>
        <w:tc>
          <w:tcPr>
            <w:tcW w:w="958" w:type="dxa"/>
            <w:tcBorders>
              <w:top w:val="nil"/>
              <w:left w:val="nil"/>
              <w:bottom w:val="single" w:sz="8" w:space="0" w:color="000000"/>
              <w:right w:val="single" w:sz="8" w:space="0" w:color="000000"/>
            </w:tcBorders>
            <w:shd w:val="clear" w:color="auto" w:fill="auto"/>
            <w:vAlign w:val="center"/>
          </w:tcPr>
          <w:p w:rsidR="00FF7C1E" w:rsidRPr="003C02CA" w:rsidRDefault="002F04FA">
            <w:pPr>
              <w:jc w:val="center"/>
              <w:textAlignment w:val="center"/>
              <w:rPr>
                <w:rFonts w:ascii="仿宋" w:eastAsia="仿宋" w:hAnsi="仿宋" w:cs="宋体"/>
                <w:color w:val="000000"/>
                <w:sz w:val="18"/>
                <w:szCs w:val="18"/>
              </w:rPr>
            </w:pPr>
            <w:r w:rsidRPr="003C02CA">
              <w:rPr>
                <w:rFonts w:ascii="仿宋" w:eastAsia="仿宋" w:hAnsi="仿宋" w:cs="宋体" w:hint="eastAsia"/>
                <w:color w:val="000000"/>
                <w:kern w:val="0"/>
                <w:sz w:val="18"/>
                <w:szCs w:val="18"/>
              </w:rPr>
              <w:t>110.00%</w:t>
            </w:r>
          </w:p>
        </w:tc>
      </w:tr>
    </w:tbl>
    <w:p w:rsidR="00FF7C1E" w:rsidRDefault="002F04FA">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由南县财政局将专项资金拨付至南县农业农村局，南县农业农术局再将专项资金直接拨付至南县农田建设服务中心公账上，南县农田建设服务中心根据需要拨款，费用报销程序基本合规，相关手续较完善。</w:t>
      </w:r>
    </w:p>
    <w:p w:rsidR="00FF7C1E" w:rsidRDefault="002F04FA" w:rsidP="003C02CA">
      <w:pPr>
        <w:tabs>
          <w:tab w:val="left" w:pos="5567"/>
        </w:tabs>
        <w:ind w:firstLineChars="200" w:firstLine="643"/>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FF7C1E" w:rsidRDefault="002F04FA">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南县农田建设服务中心制订了《南县高标准农田建设工程管理办法》、《南县高标准农田建设项目综合考评办法》、《南县高标准农田建设项目和资金管理实施则》等相关管理制度，要求切实加强资金全程管理，保证高标准农田建设资金投得准，管得住，用得好，收得回。要求坚持按项目投放，按计划管理，坚持“三专五定”资金管理制度（即专人管理、专户储存、专账核算、定开发任务、定投资规模、定还款时间、定奖罚措施、定制度条文），并要求建立专账，加强核算 ，切实提高财政资金使用效益。</w:t>
      </w:r>
    </w:p>
    <w:p w:rsidR="00FF7C1E" w:rsidRDefault="002F04FA">
      <w:pPr>
        <w:ind w:firstLineChars="200" w:firstLine="480"/>
        <w:rPr>
          <w:rFonts w:ascii="仿宋" w:eastAsia="仿宋" w:hAnsi="仿宋"/>
          <w:sz w:val="24"/>
          <w:szCs w:val="24"/>
        </w:rPr>
      </w:pPr>
      <w:r>
        <w:rPr>
          <w:rFonts w:ascii="仿宋" w:eastAsia="仿宋" w:hAnsi="仿宋" w:hint="eastAsia"/>
          <w:sz w:val="24"/>
          <w:szCs w:val="24"/>
        </w:rPr>
        <w:lastRenderedPageBreak/>
        <w:t>（二）项目实施情况。一是分工明确，明确责任。本项目由南县农田服务中心负责组织实施，项目主管单位为南县农业农村局，项目单位负责人为项目主任邹石峰，项目负责人项目股工程师薛向阳。二是合理规划项目。因各乡镇建设任务分散，且工程量小，未达到招投标和政府采购程序的标准，对各乡镇、行政村的农田建设采取“急事先办，先建后补”的方式进行：即由各申报单位根据项目轻重缓急自行组织施工，乡村两级验收合格后，由农田建设服务中心组织专家进行实地察看核实后拨付项目资金，使项目更快、更好的得到发挥。三是组织验收。项目完工后，由建设单位进行自检，自检合格后由乡镇组织验收 ，验收达标后，再由农田建设服务中心实在核实后拨付资金。三是项目管护。按照“谁受益、谁管护，谁管护，谁使用”的原则由项目使用单位负责管护。四是是妥善保管资料，对项目申报、备案等相关资料及时整理，并归档。项目实施程序基本规范。</w:t>
      </w:r>
    </w:p>
    <w:p w:rsidR="00FF7C1E" w:rsidRDefault="002F04FA" w:rsidP="003C02CA">
      <w:pPr>
        <w:ind w:firstLineChars="150" w:firstLine="482"/>
        <w:rPr>
          <w:rFonts w:ascii="仿宋" w:eastAsia="仿宋" w:hAnsi="仿宋"/>
          <w:b/>
          <w:sz w:val="32"/>
          <w:szCs w:val="32"/>
        </w:rPr>
      </w:pPr>
      <w:r>
        <w:rPr>
          <w:rFonts w:ascii="仿宋" w:eastAsia="仿宋" w:hAnsi="仿宋" w:hint="eastAsia"/>
          <w:b/>
          <w:sz w:val="32"/>
          <w:szCs w:val="32"/>
        </w:rPr>
        <w:t>四、绩效评价工作情况</w:t>
      </w:r>
    </w:p>
    <w:p w:rsidR="00FF7C1E" w:rsidRDefault="002F04FA">
      <w:pPr>
        <w:ind w:firstLine="480"/>
        <w:rPr>
          <w:rFonts w:ascii="仿宋" w:eastAsia="仿宋" w:hAnsi="仿宋" w:cs="仿宋"/>
          <w:sz w:val="24"/>
          <w:szCs w:val="24"/>
        </w:rPr>
      </w:pPr>
      <w:r>
        <w:rPr>
          <w:rFonts w:ascii="仿宋" w:eastAsia="仿宋" w:hAnsi="仿宋" w:cs="仿宋" w:hint="eastAsia"/>
          <w:sz w:val="24"/>
          <w:szCs w:val="24"/>
        </w:rPr>
        <w:t>（一）绩效评价目的</w:t>
      </w:r>
    </w:p>
    <w:p w:rsidR="00FF7C1E" w:rsidRDefault="002F04FA">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color w:val="000000" w:themeColor="text1"/>
          <w:sz w:val="24"/>
          <w:szCs w:val="24"/>
        </w:rPr>
        <w:t>农田建设配套资金</w:t>
      </w:r>
      <w:r>
        <w:rPr>
          <w:rFonts w:ascii="仿宋" w:eastAsia="仿宋" w:hAnsi="仿宋" w:cs="仿宋" w:hint="eastAsia"/>
          <w:color w:val="auto"/>
          <w:kern w:val="2"/>
          <w:sz w:val="24"/>
          <w:szCs w:val="24"/>
        </w:rPr>
        <w:t>的使用，强化财政资金支出绩效理念，切实提高财政资金使用效益。</w:t>
      </w:r>
    </w:p>
    <w:p w:rsidR="00FF7C1E" w:rsidRDefault="002F04FA">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FF7C1E" w:rsidRDefault="002F04FA">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FF7C1E" w:rsidRDefault="002F04FA">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FF7C1E" w:rsidRDefault="002F04FA">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w:t>
      </w:r>
      <w:r>
        <w:rPr>
          <w:rFonts w:ascii="仿宋" w:eastAsia="仿宋" w:hAnsi="仿宋" w:hint="eastAsia"/>
          <w:sz w:val="24"/>
          <w:szCs w:val="24"/>
        </w:rPr>
        <w:lastRenderedPageBreak/>
        <w:t>（3）现场查看。进入实地查看，拍照取证，调查走访，发放问卷调查。（4）归纳汇总。对提供材料及自评报告，结合现场评价情况进行综合分析、归纳汇总；（5）得出评价结论，形成绩效评价报告。</w:t>
      </w:r>
    </w:p>
    <w:p w:rsidR="00FF7C1E" w:rsidRDefault="002F04FA">
      <w:pPr>
        <w:pStyle w:val="a7"/>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根据该项目资金绩效评价指标体系和绩效检查情况，该项目整体绩效分值100分，实得90分，被评为“优秀</w:t>
      </w:r>
      <w:bookmarkStart w:id="0" w:name="_GoBack"/>
      <w:bookmarkEnd w:id="0"/>
      <w:r>
        <w:rPr>
          <w:rFonts w:ascii="仿宋" w:eastAsia="仿宋" w:hAnsi="仿宋" w:hint="eastAsia"/>
          <w:sz w:val="24"/>
          <w:szCs w:val="24"/>
        </w:rPr>
        <w:t>”等级(详见：南县农田建设服务中心2020年“农田建设配套资金 ”绩效评价指标评分表)。主要绩效表现在以下几个方面：</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（一）项目经济性分析：</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农田建设配套资金的使用，加快推进了乡村振兴和现代农业高质量发展，显著改善农业生产条件，提高农业综合生产能力，增强农村经济持续发展的后劲。</w:t>
      </w:r>
      <w:r>
        <w:rPr>
          <w:rFonts w:ascii="仿宋" w:eastAsia="仿宋" w:hAnsi="仿宋"/>
          <w:sz w:val="24"/>
          <w:szCs w:val="24"/>
        </w:rPr>
        <w:t>整齐划一的高标准农田，既提升了农业规模化、集约化、现代化发展能力，又提高了群众生产积极性，有利于提高粮食产量和群众收入。</w:t>
      </w:r>
      <w:r>
        <w:rPr>
          <w:rFonts w:ascii="仿宋" w:eastAsia="仿宋" w:hAnsi="仿宋" w:hint="eastAsia"/>
          <w:sz w:val="24"/>
          <w:szCs w:val="24"/>
        </w:rPr>
        <w:t>2020年县农田建设服务中心使用该农田建设专项资金对南县7个乡镇的农田建设改造该，完成高标准农田建设改造412.5亩，超额完成计划（绩效目标为375亩）37.5亩，提高了项目区内粮食综合生产能力，亩增产达106公斤，总增产43725公斤，按每公斤2.5元计算，为农民增加收入109</w:t>
      </w:r>
      <w:r>
        <w:rPr>
          <w:rFonts w:ascii="仿宋" w:eastAsia="仿宋" w:hAnsi="仿宋"/>
          <w:sz w:val="24"/>
          <w:szCs w:val="24"/>
        </w:rPr>
        <w:t>,</w:t>
      </w:r>
      <w:r>
        <w:rPr>
          <w:rFonts w:ascii="仿宋" w:eastAsia="仿宋" w:hAnsi="仿宋" w:hint="eastAsia"/>
          <w:sz w:val="24"/>
          <w:szCs w:val="24"/>
        </w:rPr>
        <w:t>312.50元。</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（二）项目有效性分析：</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启动高标准农田建设，不断夯实农业生产基础、巩固粮食产量，助力全县农业高质量发展、乡村全面振兴，高标准农田建设使及农田建设配套资金使项目区内田间道路通达率达90%，构建了便捷高效的田间道路体系，较好的满足了农业机械化安全生产，方便了人民群众的生产生活需要。</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（三）项目生态环境性分析：</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项目区内水资源利用率提高了17%，缓解了水资源缺乏的现象，对生态环境保护起到了重要的作用。</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（四）项目可持续影响分析：</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lastRenderedPageBreak/>
        <w:t>高标准农田建设在一定程度上可缓解农业发展和耕地、水资源紧张的矛盾，让农田生产能力得到明显提升，形成高标准、高质量、稳产高产、绿色生态的标准良田，促进农业可持续发展。2020年实施的项目工程质量寿命达到20年，在以后年度少量投入管护资金的前提下，为项目区的可持续发展发挥应有的作用。</w:t>
      </w:r>
    </w:p>
    <w:p w:rsidR="00FF7C1E" w:rsidRDefault="002F04FA">
      <w:pPr>
        <w:pStyle w:val="a7"/>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南县农田建设服务中心 “农田建设配套资金”在项目决策上合理，实施过程中领导重视，管理较规范，较好的达到了预期的绩效目标，但有些方面仍有不足，主要有：</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(一)</w:t>
      </w:r>
      <w:r>
        <w:rPr>
          <w:rFonts w:ascii="仿宋" w:eastAsia="仿宋" w:hAnsi="仿宋"/>
          <w:sz w:val="24"/>
          <w:szCs w:val="24"/>
        </w:rPr>
        <w:t>预算编制不到位</w:t>
      </w:r>
      <w:r>
        <w:rPr>
          <w:rFonts w:ascii="仿宋" w:eastAsia="仿宋" w:hAnsi="仿宋" w:hint="eastAsia"/>
          <w:sz w:val="24"/>
          <w:szCs w:val="24"/>
        </w:rPr>
        <w:t>，超支资金挪用其他项目资金</w:t>
      </w:r>
      <w:r>
        <w:rPr>
          <w:rFonts w:ascii="仿宋" w:eastAsia="仿宋" w:hAnsi="仿宋"/>
          <w:sz w:val="24"/>
          <w:szCs w:val="24"/>
        </w:rPr>
        <w:t>。“</w:t>
      </w:r>
      <w:r>
        <w:rPr>
          <w:rFonts w:ascii="仿宋" w:eastAsia="仿宋" w:hAnsi="仿宋" w:hint="eastAsia"/>
          <w:sz w:val="24"/>
          <w:szCs w:val="24"/>
        </w:rPr>
        <w:t>农田建设配套资金</w:t>
      </w:r>
      <w:r>
        <w:rPr>
          <w:rFonts w:ascii="仿宋" w:eastAsia="仿宋" w:hAnsi="仿宋"/>
          <w:sz w:val="24"/>
          <w:szCs w:val="24"/>
        </w:rPr>
        <w:t>”预算</w:t>
      </w:r>
      <w:r>
        <w:rPr>
          <w:rFonts w:ascii="仿宋" w:eastAsia="仿宋" w:hAnsi="仿宋" w:hint="eastAsia"/>
          <w:sz w:val="24"/>
          <w:szCs w:val="24"/>
        </w:rPr>
        <w:t>60.00万</w:t>
      </w:r>
      <w:r>
        <w:rPr>
          <w:rFonts w:ascii="仿宋" w:eastAsia="仿宋" w:hAnsi="仿宋"/>
          <w:sz w:val="24"/>
          <w:szCs w:val="24"/>
        </w:rPr>
        <w:t>元，实际使用资金</w:t>
      </w:r>
      <w:r>
        <w:rPr>
          <w:rFonts w:ascii="仿宋" w:eastAsia="仿宋" w:hAnsi="仿宋" w:hint="eastAsia"/>
          <w:sz w:val="24"/>
          <w:szCs w:val="24"/>
        </w:rPr>
        <w:t>66.00万</w:t>
      </w:r>
      <w:r>
        <w:rPr>
          <w:rFonts w:ascii="仿宋" w:eastAsia="仿宋" w:hAnsi="仿宋"/>
          <w:sz w:val="24"/>
          <w:szCs w:val="24"/>
        </w:rPr>
        <w:t>元，项目资金超出年初预算</w:t>
      </w:r>
      <w:r>
        <w:rPr>
          <w:rFonts w:ascii="仿宋" w:eastAsia="仿宋" w:hAnsi="仿宋" w:hint="eastAsia"/>
          <w:sz w:val="24"/>
          <w:szCs w:val="24"/>
        </w:rPr>
        <w:t>6.00万</w:t>
      </w:r>
      <w:r>
        <w:rPr>
          <w:rFonts w:ascii="仿宋" w:eastAsia="仿宋" w:hAnsi="仿宋"/>
          <w:sz w:val="24"/>
          <w:szCs w:val="24"/>
        </w:rPr>
        <w:t>元。超预算开支占用</w:t>
      </w:r>
      <w:r>
        <w:rPr>
          <w:rFonts w:ascii="仿宋" w:eastAsia="仿宋" w:hAnsi="仿宋" w:hint="eastAsia"/>
          <w:sz w:val="24"/>
          <w:szCs w:val="24"/>
        </w:rPr>
        <w:t>了争资立项</w:t>
      </w:r>
      <w:r>
        <w:rPr>
          <w:rFonts w:ascii="仿宋" w:eastAsia="仿宋" w:hAnsi="仿宋"/>
          <w:sz w:val="24"/>
          <w:szCs w:val="24"/>
        </w:rPr>
        <w:t>项目</w:t>
      </w:r>
      <w:r>
        <w:rPr>
          <w:rFonts w:ascii="仿宋" w:eastAsia="仿宋" w:hAnsi="仿宋" w:hint="eastAsia"/>
          <w:sz w:val="24"/>
          <w:szCs w:val="24"/>
        </w:rPr>
        <w:t>的</w:t>
      </w:r>
      <w:r>
        <w:rPr>
          <w:rFonts w:ascii="仿宋" w:eastAsia="仿宋" w:hAnsi="仿宋"/>
          <w:sz w:val="24"/>
          <w:szCs w:val="24"/>
        </w:rPr>
        <w:t>资金。</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(二)预算执行进度不足，存在跨年度执行情况。该项目总支付66.00万元，其中2020年9月支付20</w:t>
      </w:r>
      <w:r w:rsidR="00DE6194">
        <w:rPr>
          <w:rFonts w:ascii="仿宋" w:eastAsia="仿宋" w:hAnsi="仿宋" w:hint="eastAsia"/>
          <w:sz w:val="24"/>
          <w:szCs w:val="24"/>
        </w:rPr>
        <w:t>万</w:t>
      </w:r>
      <w:r>
        <w:rPr>
          <w:rFonts w:ascii="仿宋" w:eastAsia="仿宋" w:hAnsi="仿宋" w:hint="eastAsia"/>
          <w:sz w:val="24"/>
          <w:szCs w:val="24"/>
        </w:rPr>
        <w:t>元、2021年2月拨付46万。未在预计时间内完成款项支付。虽然县农田服务中心对“农田建设配套资金”采取的是“先建后补”的支付方式，但根据下面乡镇的拨款申请单时间来看，2020年总计申请拨付43万，但在2020年完成拨付的只有20万，2020年度的预算执行率仅30%。</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(三)专项资金使用及会计核算工作欠规范：</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1.未按照专项资金管理办法要求进行督导设置专账。南县农田服务中心将本专项资金以先建后补的方式拨付至7个乡镇，有按规定记入专账，专款专用，但是下面乡镇对拨入的专项资金虽有按时入账，但未按“高标准农田建设”项目入账，如麻河口镇入账“基础设施建设-农业综合服务中心”、明山头镇入账“交通运输-其他支出”、华阁镇入账“救灾应急-村镇救济扶贫款”。</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2.收到专项资金的乡镇对专项资金没有专款专用，而是整合资金使用。因为县农田服务中心对项目采取的是先建后补，即待下面乡镇建设完成后再拨付资金，但是各乡镇对项目支出并未待收到县农田建设中心补助资金后付款，而是在</w:t>
      </w:r>
      <w:r>
        <w:rPr>
          <w:rFonts w:ascii="仿宋" w:eastAsia="仿宋" w:hAnsi="仿宋" w:hint="eastAsia"/>
          <w:sz w:val="24"/>
          <w:szCs w:val="24"/>
        </w:rPr>
        <w:lastRenderedPageBreak/>
        <w:t>项目完成后，整合自己的资金，对方催着付款时就将款项进行支付，待收到农田建设中心的补助资金后用于其他待支付的项目。</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根据《南县高标准农田建设项目和资金管理实施细则》并未要求对该项目资金使用“先建后补”，但目前采取先建后补的方式出现了几个弊端：一是下面乡镇进行项目建设时并不确定自己能否申请到高标准农田建设资金，也无法确定是申请到多少资金，而且项目实际支出往往是大于补助资金的，所以下面乡镇也不能将账务记入到“农田建设配套资金”中去；二是先建后补，有些项目在2021年才建设完成，影响了专项资金的及时拨付，降低的资金效益。</w:t>
      </w:r>
    </w:p>
    <w:p w:rsidR="00FF7C1E" w:rsidRDefault="002F04FA">
      <w:pPr>
        <w:pStyle w:val="a7"/>
        <w:ind w:firstLine="640"/>
        <w:rPr>
          <w:rFonts w:ascii="仿宋" w:eastAsia="仿宋" w:hAnsi="仿宋"/>
          <w:b/>
          <w:bCs/>
          <w:sz w:val="32"/>
          <w:szCs w:val="32"/>
        </w:rPr>
      </w:pPr>
      <w:r>
        <w:rPr>
          <w:rFonts w:ascii="仿宋" w:eastAsia="仿宋" w:hAnsi="仿宋" w:hint="eastAsia"/>
          <w:b/>
          <w:bCs/>
          <w:sz w:val="32"/>
          <w:szCs w:val="32"/>
        </w:rPr>
        <w:t>七、建议</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一)科学编制预算。对预算事项充分论证，科学编制预算方案，将预算编制内容明细化,实行先预算再开支、无预算不开支制度。南县农田建设服务中心应根据往年开支情况合理的编制预算，避免资金缺口而挤占其他项目资金。</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(二)加强预算执行力，健全和完善相应的财务预算管理组织机构，负责财务预算管理组织实施，严格按照项目实施方案及相关文件规定执行项目建设，在规定时间内完成工作。</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三)加强会计核算工作，严格按准则要求进行账务处理，专项资金坚决实行“专人管理、专户储存、专账核算、专项使用”的原则，在专项资金拨入时努力做到来源明确并单独核算，并按照专项资金管理要求统一口径核算。</w:t>
      </w:r>
    </w:p>
    <w:p w:rsidR="00FF7C1E" w:rsidRDefault="002F04FA">
      <w:pPr>
        <w:pStyle w:val="a7"/>
        <w:ind w:firstLineChars="200" w:firstLine="480"/>
        <w:rPr>
          <w:rFonts w:ascii="仿宋" w:eastAsia="仿宋" w:hAnsi="仿宋"/>
          <w:sz w:val="24"/>
          <w:szCs w:val="24"/>
        </w:rPr>
      </w:pPr>
      <w:r>
        <w:rPr>
          <w:rFonts w:ascii="仿宋" w:eastAsia="仿宋" w:hAnsi="仿宋" w:hint="eastAsia"/>
          <w:sz w:val="24"/>
          <w:szCs w:val="24"/>
        </w:rPr>
        <w:t xml:space="preserve"> </w:t>
      </w:r>
    </w:p>
    <w:p w:rsidR="00FF7C1E" w:rsidRDefault="003C02CA">
      <w:pPr>
        <w:pStyle w:val="a7"/>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8240" behindDoc="1" locked="0" layoutInCell="1" allowOverlap="1">
            <wp:simplePos x="0" y="0"/>
            <wp:positionH relativeFrom="column">
              <wp:posOffset>3916045</wp:posOffset>
            </wp:positionH>
            <wp:positionV relativeFrom="paragraph">
              <wp:posOffset>158750</wp:posOffset>
            </wp:positionV>
            <wp:extent cx="866140" cy="654685"/>
            <wp:effectExtent l="19050" t="0" r="0" b="0"/>
            <wp:wrapTight wrapText="bothSides">
              <wp:wrapPolygon edited="0">
                <wp:start x="-475" y="0"/>
                <wp:lineTo x="-475" y="20741"/>
                <wp:lineTo x="21378" y="20741"/>
                <wp:lineTo x="21378" y="0"/>
                <wp:lineTo x="-475" y="0"/>
              </wp:wrapPolygon>
            </wp:wrapTight>
            <wp:docPr id="2" name="图片 2"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p>
    <w:p w:rsidR="00FF7C1E" w:rsidRDefault="002F04FA">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中国注册会计师：</w:t>
      </w:r>
    </w:p>
    <w:p w:rsidR="00FF7C1E" w:rsidRDefault="003C02CA">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9264" behindDoc="1" locked="0" layoutInCell="1" allowOverlap="0">
            <wp:simplePos x="0" y="0"/>
            <wp:positionH relativeFrom="column">
              <wp:posOffset>3980815</wp:posOffset>
            </wp:positionH>
            <wp:positionV relativeFrom="paragraph">
              <wp:posOffset>210185</wp:posOffset>
            </wp:positionV>
            <wp:extent cx="801370" cy="597535"/>
            <wp:effectExtent l="19050" t="0" r="0" b="0"/>
            <wp:wrapTight wrapText="bothSides">
              <wp:wrapPolygon edited="0">
                <wp:start x="-513" y="0"/>
                <wp:lineTo x="-513" y="20659"/>
                <wp:lineTo x="21566" y="20659"/>
                <wp:lineTo x="21566" y="0"/>
                <wp:lineTo x="-513" y="0"/>
              </wp:wrapPolygon>
            </wp:wrapTight>
            <wp:docPr id="3" name="图片 3"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有限公司</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r w:rsidR="002F04FA">
        <w:rPr>
          <w:rFonts w:ascii="宋体" w:eastAsia="仿宋" w:hAnsi="宋体" w:hint="eastAsia"/>
          <w:b/>
          <w:color w:val="000000"/>
          <w:sz w:val="24"/>
          <w:szCs w:val="24"/>
        </w:rPr>
        <w:t> </w:t>
      </w:r>
      <w:r w:rsidR="002F04FA">
        <w:rPr>
          <w:rFonts w:ascii="仿宋" w:eastAsia="仿宋" w:hAnsi="仿宋" w:hint="eastAsia"/>
          <w:b/>
          <w:color w:val="000000"/>
          <w:sz w:val="24"/>
          <w:szCs w:val="24"/>
        </w:rPr>
        <w:t xml:space="preserve">                                                      </w:t>
      </w:r>
    </w:p>
    <w:p w:rsidR="00FF7C1E" w:rsidRDefault="002F04FA">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FF7C1E" w:rsidRDefault="002F04FA">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FF7C1E" w:rsidRDefault="002F04FA">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2021年6月30日</w:t>
      </w:r>
    </w:p>
    <w:p w:rsidR="00FF7C1E" w:rsidRDefault="002F04FA" w:rsidP="003C02CA">
      <w:pPr>
        <w:pStyle w:val="a7"/>
        <w:ind w:firstLineChars="200" w:firstLine="560"/>
        <w:rPr>
          <w:rFonts w:ascii="仿宋" w:eastAsia="仿宋" w:hAnsi="仿宋"/>
          <w:sz w:val="28"/>
          <w:szCs w:val="28"/>
        </w:rPr>
      </w:pPr>
      <w:r>
        <w:rPr>
          <w:rFonts w:ascii="仿宋" w:eastAsia="仿宋" w:hAnsi="仿宋" w:hint="eastAsia"/>
          <w:sz w:val="28"/>
          <w:szCs w:val="28"/>
        </w:rPr>
        <w:t xml:space="preserve">          </w:t>
      </w:r>
    </w:p>
    <w:sectPr w:rsidR="00FF7C1E" w:rsidSect="00FF7C1E">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13ED4" w:rsidRDefault="00013ED4">
      <w:pPr>
        <w:spacing w:line="240" w:lineRule="auto"/>
      </w:pPr>
      <w:r>
        <w:separator/>
      </w:r>
    </w:p>
  </w:endnote>
  <w:endnote w:type="continuationSeparator" w:id="0">
    <w:p w:rsidR="00013ED4" w:rsidRDefault="00013ED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FF7C1E" w:rsidRDefault="00C95E0A">
        <w:pPr>
          <w:pStyle w:val="a4"/>
          <w:jc w:val="right"/>
        </w:pPr>
        <w:r w:rsidRPr="00C95E0A">
          <w:fldChar w:fldCharType="begin"/>
        </w:r>
        <w:r w:rsidR="002F04FA">
          <w:instrText xml:space="preserve"> PAGE   \* MERGEFORMAT </w:instrText>
        </w:r>
        <w:r w:rsidRPr="00C95E0A">
          <w:fldChar w:fldCharType="separate"/>
        </w:r>
        <w:r w:rsidR="00DE6194" w:rsidRPr="00DE6194">
          <w:rPr>
            <w:noProof/>
            <w:lang w:val="zh-CN"/>
          </w:rPr>
          <w:t>8</w:t>
        </w:r>
        <w:r>
          <w:rPr>
            <w:lang w:val="zh-CN"/>
          </w:rPr>
          <w:fldChar w:fldCharType="end"/>
        </w:r>
      </w:p>
    </w:sdtContent>
  </w:sdt>
  <w:p w:rsidR="00FF7C1E" w:rsidRDefault="00FF7C1E">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13ED4" w:rsidRDefault="00013ED4">
      <w:pPr>
        <w:spacing w:line="240" w:lineRule="auto"/>
      </w:pPr>
      <w:r>
        <w:separator/>
      </w:r>
    </w:p>
  </w:footnote>
  <w:footnote w:type="continuationSeparator" w:id="0">
    <w:p w:rsidR="00013ED4" w:rsidRDefault="00013ED4">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defaultTabStop w:val="420"/>
  <w:drawingGridVerticalSpacing w:val="156"/>
  <w:noPunctuationKerning/>
  <w:characterSpacingControl w:val="compressPunctuation"/>
  <w:hdrShapeDefaults>
    <o:shapedefaults v:ext="edit" spidmax="7170"/>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13ED4"/>
    <w:rsid w:val="0008775B"/>
    <w:rsid w:val="000A4E3A"/>
    <w:rsid w:val="000B722B"/>
    <w:rsid w:val="001135CD"/>
    <w:rsid w:val="00122845"/>
    <w:rsid w:val="00184877"/>
    <w:rsid w:val="001904B1"/>
    <w:rsid w:val="00192988"/>
    <w:rsid w:val="00216E3E"/>
    <w:rsid w:val="00230A8B"/>
    <w:rsid w:val="00264B3A"/>
    <w:rsid w:val="0027400B"/>
    <w:rsid w:val="002C7542"/>
    <w:rsid w:val="002E7B5F"/>
    <w:rsid w:val="002F04FA"/>
    <w:rsid w:val="002F0C6E"/>
    <w:rsid w:val="00344374"/>
    <w:rsid w:val="00382315"/>
    <w:rsid w:val="00383F7D"/>
    <w:rsid w:val="003C02CA"/>
    <w:rsid w:val="003F5513"/>
    <w:rsid w:val="004259F6"/>
    <w:rsid w:val="004272F7"/>
    <w:rsid w:val="00436364"/>
    <w:rsid w:val="00443FAD"/>
    <w:rsid w:val="0045022D"/>
    <w:rsid w:val="004C4C94"/>
    <w:rsid w:val="004F1790"/>
    <w:rsid w:val="00553A05"/>
    <w:rsid w:val="005912B3"/>
    <w:rsid w:val="005B2C7B"/>
    <w:rsid w:val="006102DF"/>
    <w:rsid w:val="0063151F"/>
    <w:rsid w:val="006433BF"/>
    <w:rsid w:val="006445D1"/>
    <w:rsid w:val="006571CD"/>
    <w:rsid w:val="006717D0"/>
    <w:rsid w:val="006C06A3"/>
    <w:rsid w:val="006C0C7C"/>
    <w:rsid w:val="006C5ECB"/>
    <w:rsid w:val="006F5DB2"/>
    <w:rsid w:val="00741E6C"/>
    <w:rsid w:val="007902B5"/>
    <w:rsid w:val="007A3E0D"/>
    <w:rsid w:val="007C479B"/>
    <w:rsid w:val="007F0D6F"/>
    <w:rsid w:val="008201E3"/>
    <w:rsid w:val="00820388"/>
    <w:rsid w:val="008476D9"/>
    <w:rsid w:val="00851A90"/>
    <w:rsid w:val="0090685D"/>
    <w:rsid w:val="00953DBF"/>
    <w:rsid w:val="00962838"/>
    <w:rsid w:val="00A103EB"/>
    <w:rsid w:val="00A31CAA"/>
    <w:rsid w:val="00A74491"/>
    <w:rsid w:val="00AC73EC"/>
    <w:rsid w:val="00AE5754"/>
    <w:rsid w:val="00B26772"/>
    <w:rsid w:val="00B36F18"/>
    <w:rsid w:val="00B52AEA"/>
    <w:rsid w:val="00B6615A"/>
    <w:rsid w:val="00BC4683"/>
    <w:rsid w:val="00C03C7D"/>
    <w:rsid w:val="00C31D03"/>
    <w:rsid w:val="00C42AB5"/>
    <w:rsid w:val="00C5451A"/>
    <w:rsid w:val="00C95E0A"/>
    <w:rsid w:val="00C977E6"/>
    <w:rsid w:val="00CC6F0D"/>
    <w:rsid w:val="00D71111"/>
    <w:rsid w:val="00D96BC5"/>
    <w:rsid w:val="00DE6194"/>
    <w:rsid w:val="00DE6903"/>
    <w:rsid w:val="00E2302E"/>
    <w:rsid w:val="00EA5633"/>
    <w:rsid w:val="00EC5960"/>
    <w:rsid w:val="00F05B62"/>
    <w:rsid w:val="00F11F5A"/>
    <w:rsid w:val="00F127F0"/>
    <w:rsid w:val="00F94084"/>
    <w:rsid w:val="00FF5F95"/>
    <w:rsid w:val="00FF7C1E"/>
    <w:rsid w:val="05ED3C34"/>
    <w:rsid w:val="05F64E2B"/>
    <w:rsid w:val="073C4B29"/>
    <w:rsid w:val="07C7099F"/>
    <w:rsid w:val="0ADA180E"/>
    <w:rsid w:val="0B457BB2"/>
    <w:rsid w:val="0B466DE2"/>
    <w:rsid w:val="0BD04B48"/>
    <w:rsid w:val="0C2F2187"/>
    <w:rsid w:val="0E0D4557"/>
    <w:rsid w:val="0E155395"/>
    <w:rsid w:val="0F6F2C44"/>
    <w:rsid w:val="0F80391C"/>
    <w:rsid w:val="111C76EC"/>
    <w:rsid w:val="12413227"/>
    <w:rsid w:val="139E6CC7"/>
    <w:rsid w:val="152E5EEC"/>
    <w:rsid w:val="18C274C8"/>
    <w:rsid w:val="1AE708E5"/>
    <w:rsid w:val="1D022A16"/>
    <w:rsid w:val="1F7774AB"/>
    <w:rsid w:val="241E06A0"/>
    <w:rsid w:val="2719110D"/>
    <w:rsid w:val="27C35BCB"/>
    <w:rsid w:val="27C67005"/>
    <w:rsid w:val="2DA5502E"/>
    <w:rsid w:val="2E184E4B"/>
    <w:rsid w:val="2E2665C6"/>
    <w:rsid w:val="2E2D7DAC"/>
    <w:rsid w:val="30C94526"/>
    <w:rsid w:val="31461624"/>
    <w:rsid w:val="31776EAE"/>
    <w:rsid w:val="345D27B8"/>
    <w:rsid w:val="37603D5F"/>
    <w:rsid w:val="37885DF4"/>
    <w:rsid w:val="38EF0808"/>
    <w:rsid w:val="3C071671"/>
    <w:rsid w:val="3D690925"/>
    <w:rsid w:val="3E721A99"/>
    <w:rsid w:val="3EAB4F96"/>
    <w:rsid w:val="3F357C88"/>
    <w:rsid w:val="3F3C231B"/>
    <w:rsid w:val="3FCB213D"/>
    <w:rsid w:val="420F1B9A"/>
    <w:rsid w:val="43876039"/>
    <w:rsid w:val="43F6478C"/>
    <w:rsid w:val="46B01830"/>
    <w:rsid w:val="480C59EA"/>
    <w:rsid w:val="49F90EFD"/>
    <w:rsid w:val="4A3E2980"/>
    <w:rsid w:val="4AFD4AD9"/>
    <w:rsid w:val="4BB22F56"/>
    <w:rsid w:val="4CBF6C77"/>
    <w:rsid w:val="4DDC46DC"/>
    <w:rsid w:val="50977AC5"/>
    <w:rsid w:val="51823560"/>
    <w:rsid w:val="53C10EEE"/>
    <w:rsid w:val="53C61CBB"/>
    <w:rsid w:val="53E12E5C"/>
    <w:rsid w:val="560866F6"/>
    <w:rsid w:val="56ED6BDD"/>
    <w:rsid w:val="577E2B19"/>
    <w:rsid w:val="59037631"/>
    <w:rsid w:val="5B466507"/>
    <w:rsid w:val="5C970DDF"/>
    <w:rsid w:val="5D3C24BD"/>
    <w:rsid w:val="5E45286D"/>
    <w:rsid w:val="5EB11C0D"/>
    <w:rsid w:val="5F6A7DC3"/>
    <w:rsid w:val="60AA0CBA"/>
    <w:rsid w:val="65C5762F"/>
    <w:rsid w:val="66C61AD7"/>
    <w:rsid w:val="6A0D5AA5"/>
    <w:rsid w:val="6B060DFB"/>
    <w:rsid w:val="6C206C0B"/>
    <w:rsid w:val="6C953DC0"/>
    <w:rsid w:val="6E131A64"/>
    <w:rsid w:val="70056FCC"/>
    <w:rsid w:val="705A7861"/>
    <w:rsid w:val="71E40BFB"/>
    <w:rsid w:val="72A03FF2"/>
    <w:rsid w:val="77CB600D"/>
    <w:rsid w:val="792D27D4"/>
    <w:rsid w:val="7CBC63FC"/>
    <w:rsid w:val="7D202E71"/>
    <w:rsid w:val="7DEF7E01"/>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7C1E"/>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qFormat/>
    <w:rsid w:val="00FF7C1E"/>
    <w:pPr>
      <w:spacing w:line="240" w:lineRule="auto"/>
    </w:pPr>
    <w:rPr>
      <w:sz w:val="18"/>
      <w:szCs w:val="18"/>
    </w:rPr>
  </w:style>
  <w:style w:type="paragraph" w:styleId="a4">
    <w:name w:val="footer"/>
    <w:basedOn w:val="a"/>
    <w:link w:val="Char0"/>
    <w:uiPriority w:val="99"/>
    <w:unhideWhenUsed/>
    <w:qFormat/>
    <w:rsid w:val="00FF7C1E"/>
    <w:pPr>
      <w:tabs>
        <w:tab w:val="center" w:pos="4153"/>
        <w:tab w:val="right" w:pos="8306"/>
      </w:tabs>
      <w:snapToGrid w:val="0"/>
      <w:spacing w:line="240" w:lineRule="atLeast"/>
    </w:pPr>
    <w:rPr>
      <w:sz w:val="18"/>
      <w:szCs w:val="18"/>
    </w:rPr>
  </w:style>
  <w:style w:type="paragraph" w:styleId="a5">
    <w:name w:val="header"/>
    <w:basedOn w:val="a"/>
    <w:link w:val="Char1"/>
    <w:uiPriority w:val="99"/>
    <w:semiHidden/>
    <w:unhideWhenUsed/>
    <w:qFormat/>
    <w:rsid w:val="00FF7C1E"/>
    <w:pPr>
      <w:pBdr>
        <w:bottom w:val="single" w:sz="6" w:space="1" w:color="auto"/>
      </w:pBdr>
      <w:tabs>
        <w:tab w:val="center" w:pos="4153"/>
        <w:tab w:val="right" w:pos="8306"/>
      </w:tabs>
      <w:snapToGrid w:val="0"/>
      <w:spacing w:line="240" w:lineRule="atLeast"/>
      <w:jc w:val="center"/>
    </w:pPr>
    <w:rPr>
      <w:sz w:val="18"/>
      <w:szCs w:val="18"/>
    </w:rPr>
  </w:style>
  <w:style w:type="paragraph" w:styleId="a6">
    <w:name w:val="Normal (Web)"/>
    <w:basedOn w:val="a"/>
    <w:uiPriority w:val="99"/>
    <w:unhideWhenUsed/>
    <w:qFormat/>
    <w:rsid w:val="00FF7C1E"/>
    <w:pPr>
      <w:spacing w:before="100" w:beforeAutospacing="1" w:after="100" w:afterAutospacing="1"/>
    </w:pPr>
    <w:rPr>
      <w:rFonts w:ascii="宋体" w:eastAsia="宋体" w:hAnsi="宋体" w:cs="宋体"/>
      <w:kern w:val="0"/>
      <w:sz w:val="24"/>
      <w:szCs w:val="24"/>
    </w:rPr>
  </w:style>
  <w:style w:type="paragraph" w:styleId="a7">
    <w:name w:val="No Spacing"/>
    <w:uiPriority w:val="1"/>
    <w:qFormat/>
    <w:rsid w:val="00FF7C1E"/>
    <w:pPr>
      <w:widowControl w:val="0"/>
      <w:spacing w:line="540" w:lineRule="exact"/>
      <w:jc w:val="both"/>
    </w:pPr>
    <w:rPr>
      <w:rFonts w:asciiTheme="minorHAnsi" w:eastAsiaTheme="minorEastAsia" w:hAnsiTheme="minorHAnsi" w:cstheme="minorBidi"/>
      <w:kern w:val="2"/>
      <w:sz w:val="21"/>
      <w:szCs w:val="22"/>
    </w:rPr>
  </w:style>
  <w:style w:type="paragraph" w:styleId="a8">
    <w:name w:val="List Paragraph"/>
    <w:basedOn w:val="a"/>
    <w:uiPriority w:val="34"/>
    <w:qFormat/>
    <w:rsid w:val="00FF7C1E"/>
    <w:pPr>
      <w:ind w:firstLineChars="200" w:firstLine="420"/>
    </w:pPr>
  </w:style>
  <w:style w:type="character" w:customStyle="1" w:styleId="Char1">
    <w:name w:val="页眉 Char"/>
    <w:basedOn w:val="a0"/>
    <w:link w:val="a5"/>
    <w:uiPriority w:val="99"/>
    <w:semiHidden/>
    <w:qFormat/>
    <w:rsid w:val="00FF7C1E"/>
    <w:rPr>
      <w:sz w:val="18"/>
      <w:szCs w:val="18"/>
    </w:rPr>
  </w:style>
  <w:style w:type="character" w:customStyle="1" w:styleId="Char0">
    <w:name w:val="页脚 Char"/>
    <w:basedOn w:val="a0"/>
    <w:link w:val="a4"/>
    <w:uiPriority w:val="99"/>
    <w:qFormat/>
    <w:rsid w:val="00FF7C1E"/>
    <w:rPr>
      <w:sz w:val="18"/>
      <w:szCs w:val="18"/>
    </w:rPr>
  </w:style>
  <w:style w:type="paragraph" w:customStyle="1" w:styleId="p0">
    <w:name w:val="p0"/>
    <w:basedOn w:val="a"/>
    <w:qFormat/>
    <w:rsid w:val="00FF7C1E"/>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
    <w:name w:val="批注框文本 Char"/>
    <w:basedOn w:val="a0"/>
    <w:link w:val="a3"/>
    <w:uiPriority w:val="99"/>
    <w:semiHidden/>
    <w:qFormat/>
    <w:rsid w:val="00FF7C1E"/>
    <w:rPr>
      <w:rFonts w:asciiTheme="minorHAnsi" w:eastAsiaTheme="minorEastAsia" w:hAnsiTheme="minorHAnsi" w:cstheme="minorBidi"/>
      <w:kern w:val="2"/>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B50A69F-B98C-4A69-913A-5B6A9696F7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84</TotalTime>
  <Pages>1</Pages>
  <Words>815</Words>
  <Characters>4649</Characters>
  <Application>Microsoft Office Word</Application>
  <DocSecurity>0</DocSecurity>
  <Lines>38</Lines>
  <Paragraphs>10</Paragraphs>
  <ScaleCrop>false</ScaleCrop>
  <Company/>
  <LinksUpToDate>false</LinksUpToDate>
  <CharactersWithSpaces>5454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33</cp:revision>
  <cp:lastPrinted>2021-09-06T01:19:00Z</cp:lastPrinted>
  <dcterms:created xsi:type="dcterms:W3CDTF">2019-06-06T07:34:00Z</dcterms:created>
  <dcterms:modified xsi:type="dcterms:W3CDTF">2021-09-06T01:19:00Z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FD3BA5C861384636BC8B5E2CDEDB01FD</vt:lpwstr>
  </property>
</Properties>
</file>