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p>
    <w:p>
      <w:pPr>
        <w:spacing w:after="200" w:line="360" w:lineRule="auto"/>
        <w:jc w:val="center"/>
        <w:rPr>
          <w:rFonts w:ascii="仿宋_GB2312" w:hAnsi="Calibri" w:eastAsia="仿宋_GB2312"/>
          <w:b/>
          <w:sz w:val="48"/>
          <w:szCs w:val="48"/>
        </w:rPr>
      </w:pPr>
      <w:r>
        <w:rPr>
          <w:rFonts w:hint="eastAsia" w:ascii="仿宋_GB2312" w:hAnsi="Calibri" w:eastAsia="仿宋_GB2312"/>
          <w:b/>
          <w:sz w:val="48"/>
          <w:szCs w:val="48"/>
        </w:rPr>
        <w:t>南洲镇人民政府2020年</w:t>
      </w:r>
    </w:p>
    <w:p>
      <w:pPr>
        <w:spacing w:after="200" w:line="360" w:lineRule="auto"/>
        <w:jc w:val="center"/>
        <w:rPr>
          <w:rFonts w:ascii="仿宋_GB2312" w:hAnsi="Calibri" w:eastAsia="仿宋_GB2312"/>
          <w:b/>
          <w:sz w:val="48"/>
          <w:szCs w:val="48"/>
        </w:rPr>
      </w:pPr>
      <w:r>
        <w:rPr>
          <w:rFonts w:hint="eastAsia" w:ascii="仿宋_GB2312" w:hAnsi="Calibri" w:eastAsia="仿宋_GB2312"/>
          <w:b/>
          <w:sz w:val="48"/>
          <w:szCs w:val="48"/>
        </w:rPr>
        <w:t>部门整体支出绩效评价报告</w:t>
      </w:r>
    </w:p>
    <w:p>
      <w:pPr>
        <w:spacing w:after="200" w:line="360" w:lineRule="auto"/>
        <w:ind w:firstLine="600" w:firstLineChars="200"/>
        <w:jc w:val="left"/>
        <w:rPr>
          <w:rFonts w:ascii="仿宋_GB2312" w:hAnsi="Calibri" w:eastAsia="仿宋_GB2312"/>
          <w:sz w:val="30"/>
          <w:szCs w:val="30"/>
        </w:rPr>
      </w:pP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根据《南县财政局关于做好2020年度预算绩效自评工作的通知》我单位认真负责、客观公正地展开2020年度部门整体支出绩效自评工作，现将相关情况报告如下：</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一、基本情况</w:t>
      </w:r>
    </w:p>
    <w:p>
      <w:pPr>
        <w:overflowPunct w:val="0"/>
        <w:topLinePunct/>
        <w:spacing w:after="200" w:line="360" w:lineRule="auto"/>
        <w:ind w:firstLine="600" w:firstLineChars="200"/>
        <w:jc w:val="left"/>
        <w:textAlignment w:val="baseline"/>
        <w:rPr>
          <w:rFonts w:ascii="仿宋_GB2312" w:eastAsia="仿宋_GB2312"/>
          <w:kern w:val="21"/>
          <w:sz w:val="30"/>
          <w:szCs w:val="30"/>
        </w:rPr>
      </w:pPr>
      <w:r>
        <w:rPr>
          <w:rFonts w:hint="eastAsia" w:ascii="仿宋_GB2312" w:eastAsia="仿宋_GB2312"/>
          <w:kern w:val="21"/>
          <w:sz w:val="30"/>
          <w:szCs w:val="30"/>
        </w:rPr>
        <w:t>南县南洲镇人民政府是南县县委、县人民政府领导下的镇一级政权机构。主要职能包括：（一）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二）制定并组织实施村镇建设规划，部署重点工程建设，地方道路建设及公共设施，水利设施的管理，负责土地、林木、水等自然资源和生态环境的保护，做好护林防火工作。（三）负责本行政区域内的精准扶贫、民政、计划生育、文化教育、卫生、体育等社会公益事业的综合性工作，维护一切经济单位和个人的正当经济权益，取缔非法经济活动，调解和处理民事纠纷，打击刑事犯罪维护社会稳定。（四）按计划组织本级财政收入，管好财政资金，增强财政实力。（五）抓好精神文明建设，丰富群众文化生活，提倡移风易俗，反对封建迷信，破除陈规陋习，树立社会主义新风尚。（六）完成上级政府交办的其它事项。</w:t>
      </w:r>
    </w:p>
    <w:p>
      <w:pPr>
        <w:overflowPunct w:val="0"/>
        <w:topLinePunct/>
        <w:spacing w:after="200" w:line="360" w:lineRule="auto"/>
        <w:ind w:firstLine="600" w:firstLineChars="200"/>
        <w:jc w:val="left"/>
        <w:textAlignment w:val="baseline"/>
        <w:rPr>
          <w:rFonts w:ascii="仿宋_GB2312" w:eastAsia="仿宋_GB2312"/>
          <w:kern w:val="21"/>
          <w:sz w:val="30"/>
          <w:szCs w:val="30"/>
        </w:rPr>
      </w:pPr>
      <w:r>
        <w:rPr>
          <w:rFonts w:hint="eastAsia" w:ascii="仿宋_GB2312" w:eastAsia="仿宋_GB2312"/>
          <w:kern w:val="21"/>
          <w:sz w:val="30"/>
          <w:szCs w:val="30"/>
        </w:rPr>
        <w:t>南县南洲镇人民政府现有在职人员153人，退休人员176人，离岗退养人员18人，分流人员93人。</w:t>
      </w:r>
    </w:p>
    <w:p>
      <w:pPr>
        <w:overflowPunct w:val="0"/>
        <w:topLinePunct/>
        <w:spacing w:after="200" w:line="360" w:lineRule="auto"/>
        <w:ind w:firstLine="600" w:firstLineChars="200"/>
        <w:jc w:val="left"/>
        <w:textAlignment w:val="baseline"/>
        <w:rPr>
          <w:rFonts w:ascii="仿宋_GB2312" w:eastAsia="仿宋_GB2312"/>
          <w:kern w:val="21"/>
          <w:sz w:val="30"/>
          <w:szCs w:val="30"/>
        </w:rPr>
      </w:pPr>
      <w:r>
        <w:rPr>
          <w:rFonts w:hint="eastAsia" w:ascii="仿宋_GB2312" w:eastAsia="仿宋_GB2312"/>
          <w:kern w:val="21"/>
          <w:sz w:val="30"/>
          <w:szCs w:val="30"/>
        </w:rPr>
        <w:t>镇本级内设职能办公室7个：党政办公室、党建办公室、经济发展办公室、社会事务办公室、自然资源和生态环境办公室、社会治安和应急管理办公室、财政所。镇属事业单位5个：南洲镇社会事务综合服务中心、南洲镇农业综合服务中心、南洲镇党群和政务服务中心、南洲镇退役军人事务站、南洲镇综合行政执法大队。</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（一）部门整体支出概况</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2020年部门决算部门总支出2725.03万元，其中按支出性质和经济分类：一般公共服务支出1341.43万元、国防支出9万元、公共安全支出19.66万元、科学技术支出283.90万元、文化旅游体育与传媒支出46.30万元、社会保障和就业支出597.55万元、卫生健康支出40.51万元、节能环保支出3万元、城乡社区支出90万元、农林水支出206.38万元、自然资源海洋气象等支出56.00万元、粮油物资储备支出2万元、灾害防治及应急管理支出29.30万元。整个2020年收支基本平衡，可持续发展，财政无结余。</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（二）部门整体支出绩效目标</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 xml:space="preserve">根据上级要求，2020年度预决算我单位已在南县公众信息网上公开公示。资产管理安全性和准确性逐步提高，统一在行政事业单位资产管理平台上录入信息，编制了固定资产台账。2020年三公经费35.56万元（为公务接待费用，无境外公务费用），与上年度基本持平，主要原因是坚持中央八项规定，厉行节约；内部管理制度得到了进一步完善，建立并严格执行预决算管理制度、预决算公开公示制度及机关财务制度、村账乡代理制度，基础信息管理力度不断加强。有关重点项目的实施进展顺利，达到了预期效果，群众满意，社会效益明显。  </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（三）部门整体支出或项目实施情况</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建立健全镇、村级财务制度，规范报账流程。坚持保正常运转，保重点支出，保民生支出，保镇村干部基本待遇稳步增长的工作原则，按月按季及时落实，全力确保社会大局稳定。财政支出继续向广大人民群众关心的民生问题和基层村级部门倾斜，较大幅度提高了财政支出用于水利建设、公路建设养护、社会保障、教育卫生事业。村账镇代理工作有条不紊，及时完成村级财务清理和互联网公开工作，增强村级财务的透明度。</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二、绩效评价工作情况</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（一）绩效评价目的</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严格落实《预算法》及省、市、区绩效管理工作的有关规定，进一步规范财政资金的管理，强化财政支出绩效理念，提升部门责任意识，提高资金使用效益。</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（二）绩效评价工作过程</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 xml:space="preserve"> 根据县财政局关于开展整体指出绩效自评工作的通知精神，南洲镇人民政府成立了绩效评价工作领导小组，负责绩效评价工作的组织领导和具体实施。领导小组由党委书记龙治国任组长，镇长覃湘桂、纪检书记章兰清任副组长、各站办所长担任组员。领导小组采取座谈等方式听取情况，检查基本支出、项目支出有关账目，收集整理支出方面相关资料，形成评价结论。</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三、主要绩效及评价结果</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 xml:space="preserve"> 在县委、县政府的坚强领导下，本单位2020年所有支出严格按照国家财经法规、预算资金管理办法、财务管理制度及专项资金管理办法的规定，遵循先预算、再审批、后支出的原则，保证资金的合理使用。对资金实行全程监管，做到专款专用，确保项目的顺利开展，取得了如下绩效：</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1、保障机关有效运转。干部待遇严格按政策发放，严格按照厉行节约的要求，量入为出，规范机关事务管理工作，提高服务质量，降低运行成本，合理配置，提高保障能力。</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2、保障民生项目落实到位。文化旅游体育与传媒支出29.4万元，丰富了群众文化生活；农林水利建设支出</w:t>
      </w:r>
      <w:r>
        <w:rPr>
          <w:rFonts w:ascii="仿宋_GB2312" w:hAnsi="Calibri" w:eastAsia="仿宋_GB2312"/>
          <w:sz w:val="30"/>
          <w:szCs w:val="30"/>
        </w:rPr>
        <w:t>206.38</w:t>
      </w:r>
      <w:r>
        <w:rPr>
          <w:rFonts w:hint="eastAsia" w:ascii="仿宋_GB2312" w:hAnsi="Calibri" w:eastAsia="仿宋_GB2312"/>
          <w:sz w:val="30"/>
          <w:szCs w:val="30"/>
        </w:rPr>
        <w:t>万元，推动农业现代化；节能环保支出3万元，建设美丽乡村等。</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四、存在的问题</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一、工作机制有待进一步完善，由于在平时工作中未加强绩效监控工作的重视，绩效监控工作容易滞后，未形成对绩效目标进行监控的习惯。</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二、单位各部门衔接不及时，无法及时监控预算绩效目标实施情况。</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三、政府和财务部门在部门整体支出的资金安排和使用上仍有不可预见性，在实际工作中有资金延迟到位的情况。</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五、有关建议</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一、建议政府在平时工作中进一步加强对绩效目标监控的重视，定期对预算执行情况进行监督，使绩效目标监控与政府工作、财务工作挂钩，做到及时监控，及时控制，避免疏忽。</w:t>
      </w:r>
    </w:p>
    <w:p>
      <w:pPr>
        <w:spacing w:after="200" w:line="360" w:lineRule="auto"/>
        <w:ind w:firstLine="600" w:firstLineChars="200"/>
        <w:jc w:val="left"/>
        <w:rPr>
          <w:rFonts w:ascii="仿宋_GB2312" w:hAnsi="Calibri" w:eastAsia="仿宋_GB2312"/>
          <w:sz w:val="30"/>
          <w:szCs w:val="30"/>
        </w:rPr>
      </w:pPr>
      <w:r>
        <w:rPr>
          <w:rFonts w:hint="eastAsia" w:ascii="仿宋_GB2312" w:hAnsi="Calibri" w:eastAsia="仿宋_GB2312"/>
          <w:sz w:val="30"/>
          <w:szCs w:val="30"/>
        </w:rPr>
        <w:t>二、加强各部门衔接，使预算绩效目标实施进度得到及时反馈，便于及时汇总监控。</w:t>
      </w:r>
    </w:p>
    <w:p>
      <w:pPr>
        <w:spacing w:after="200" w:line="360" w:lineRule="auto"/>
        <w:ind w:firstLine="600" w:firstLineChars="200"/>
        <w:jc w:val="left"/>
        <w:rPr>
          <w:rFonts w:hint="eastAsia" w:ascii="仿宋_GB2312" w:hAnsi="Calibri" w:eastAsia="仿宋_GB2312"/>
          <w:sz w:val="30"/>
          <w:szCs w:val="30"/>
        </w:rPr>
      </w:pPr>
      <w:r>
        <w:rPr>
          <w:rFonts w:hint="eastAsia" w:ascii="仿宋_GB2312" w:hAnsi="Calibri" w:eastAsia="仿宋_GB2312"/>
          <w:sz w:val="30"/>
          <w:szCs w:val="30"/>
        </w:rPr>
        <w:t>三、设置合理有效的绩效目标监控机制，科学设置预算绩效指标，合理安排经费和各项资金，使其物尽其用，更加贴合乡镇财务工作的实际情况，能够合理运用现有资源，及时协调上级争取资金保证各预算绩效指标的顺利实施。使绩效评价更客观全面，更能为发展政府经济，保障民生起到积极有效的作用。</w:t>
      </w: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ascii="黑体" w:hAnsi="黑体" w:eastAsia="黑体"/>
          <w:color w:val="000000"/>
        </w:rPr>
      </w:pPr>
    </w:p>
    <w:tbl>
      <w:tblPr>
        <w:tblStyle w:val="6"/>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9</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rPr>
          <w:rFonts w:hint="eastAsia" w:ascii="黑体" w:hAnsi="黑体" w:eastAsia="黑体"/>
          <w:color w:val="000000"/>
          <w:sz w:val="28"/>
          <w:szCs w:val="28"/>
        </w:rPr>
      </w:pPr>
    </w:p>
    <w:p>
      <w:pPr>
        <w:spacing w:line="560" w:lineRule="exact"/>
        <w:rPr>
          <w:rFonts w:hint="eastAsia" w:ascii="黑体" w:hAnsi="黑体" w:eastAsia="黑体"/>
          <w:color w:val="000000"/>
          <w:sz w:val="28"/>
          <w:szCs w:val="28"/>
        </w:rPr>
      </w:pPr>
    </w:p>
    <w:p>
      <w:pPr>
        <w:spacing w:line="560" w:lineRule="exact"/>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880"/>
        <w:jc w:val="center"/>
        <w:rPr>
          <w:rFonts w:ascii="方正小标宋_GBK" w:eastAsia="方正小标宋_GBK"/>
          <w:color w:val="000000"/>
          <w:sz w:val="44"/>
          <w:szCs w:val="44"/>
        </w:rPr>
      </w:pPr>
      <w:r>
        <w:rPr>
          <w:rFonts w:hint="eastAsia" w:ascii="方正小标宋_GBK" w:eastAsia="方正小标宋_GBK"/>
          <w:color w:val="000000"/>
          <w:sz w:val="44"/>
          <w:szCs w:val="44"/>
        </w:rPr>
        <w:t>南洲镇人民政府2020年</w:t>
      </w:r>
    </w:p>
    <w:p>
      <w:pPr>
        <w:spacing w:line="560" w:lineRule="exact"/>
        <w:ind w:firstLine="880"/>
        <w:jc w:val="center"/>
        <w:rPr>
          <w:rFonts w:ascii="方正小标宋_GBK" w:eastAsia="方正小标宋_GBK"/>
          <w:color w:val="000000"/>
          <w:sz w:val="44"/>
          <w:szCs w:val="44"/>
        </w:rPr>
      </w:pPr>
      <w:r>
        <w:rPr>
          <w:rFonts w:hint="eastAsia" w:ascii="方正小标宋_GBK" w:eastAsia="方正小标宋_GBK"/>
          <w:color w:val="000000"/>
          <w:sz w:val="44"/>
          <w:szCs w:val="44"/>
        </w:rPr>
        <w:t>项目支出绩效评价报告</w:t>
      </w:r>
    </w:p>
    <w:p>
      <w:pPr>
        <w:spacing w:line="560" w:lineRule="exact"/>
        <w:ind w:firstLine="422" w:firstLineChars="200"/>
        <w:rPr>
          <w:rFonts w:ascii="仿宋_GB2312" w:hAnsi="宋体"/>
          <w:b/>
          <w:bCs/>
          <w:color w:val="000000"/>
        </w:rPr>
      </w:pP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一、项目基本情况</w:t>
      </w:r>
    </w:p>
    <w:p>
      <w:pPr>
        <w:topLinePunct/>
        <w:autoSpaceDE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（一）项目基本情况简介。</w:t>
      </w:r>
      <w:r>
        <w:rPr>
          <w:rFonts w:hint="eastAsia" w:ascii="仿宋_GB2312" w:eastAsia="仿宋_GB2312"/>
          <w:color w:val="000000"/>
          <w:sz w:val="32"/>
          <w:szCs w:val="32"/>
        </w:rPr>
        <w:t>南洲镇2020年共有7个项目，其中：散居五保户供养经费是五保供养资金是五保对象的主要生来源，应该严格实行专款专用，专人专账管理。由乡镇人民政府集中登记造册，公示后，报县民政部门审核，由县财政部门通过财政涉农资金“一卡式”发放到户；村级运转经费是重点保障项目，在任的村“两委”班子成员给予的补贴。村干部基本报酬、村级组织办公经费；禁毒专项经费是促进禁毒宣传教育“六进”工作，积极落实各项管控措施，减少失控人员，减小人员脱失风险；消防巡逻专项经费是保障消防工作正常开展，减少消防安全事故的发生；体制转移支付是具有福利支出的性质，如社会保险福利津贴、抚恤金、养老金、失业补助、救济金以及各种补助费等；社区经费是解决社区问题，促进社区政治、经济、文化、环境协调和健康发展，不断提高社区成员的生活水平和生活质量；分流人员经费是保障乡镇分流人员生活水平。</w:t>
      </w:r>
    </w:p>
    <w:p>
      <w:pPr>
        <w:topLinePunct/>
        <w:autoSpaceDE w:val="0"/>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（二）绩效目标设定及指标完成情况。</w:t>
      </w:r>
      <w:r>
        <w:rPr>
          <w:rFonts w:hint="eastAsia" w:ascii="仿宋_GB2312" w:eastAsia="仿宋_GB2312"/>
          <w:color w:val="000000"/>
          <w:sz w:val="32"/>
          <w:szCs w:val="32"/>
        </w:rPr>
        <w:tab/>
      </w:r>
      <w:r>
        <w:rPr>
          <w:rFonts w:hint="eastAsia" w:ascii="仿宋_GB2312" w:eastAsia="仿宋_GB2312"/>
          <w:color w:val="000000"/>
          <w:sz w:val="32"/>
          <w:szCs w:val="32"/>
        </w:rPr>
        <w:tab/>
      </w:r>
    </w:p>
    <w:p>
      <w:pPr>
        <w:numPr>
          <w:ilvl w:val="0"/>
          <w:numId w:val="1"/>
        </w:numPr>
        <w:topLinePunct/>
        <w:autoSpaceDE w:val="0"/>
        <w:spacing w:line="560" w:lineRule="exact"/>
        <w:rPr>
          <w:rFonts w:ascii="仿宋_GB2312" w:eastAsia="仿宋_GB2312"/>
          <w:color w:val="000000"/>
          <w:sz w:val="32"/>
          <w:szCs w:val="32"/>
        </w:rPr>
      </w:pPr>
      <w:r>
        <w:rPr>
          <w:rFonts w:hint="eastAsia" w:ascii="仿宋_GB2312" w:eastAsia="仿宋_GB2312"/>
          <w:color w:val="000000"/>
          <w:sz w:val="32"/>
          <w:szCs w:val="32"/>
        </w:rPr>
        <w:t>绩效目标设定。散居五保户供养经费达到县级要求，每一分钱切实用到实处，用到好处；村级运转经费切实确保村内财政运转及完善村级基础设施建设；禁毒专项经费确保禁毒工作顺利开展，扩大禁毒宣传力度，提升戒毒效率减少吸毒人员复吸率，确保2020年度降低吸毒率；消防巡逻专项经费是保障了消防工作正常开展，减少了消防安全事故的发生；体制转移支付稳民生、促发展，保持稳中有进的态势，逐步提高惠民补贴；社区经费努力建成管理有序、服务完善、环境优美、治安良好、生活便利、人际关系和谐的新型社区；分流人员经费</w:t>
      </w:r>
    </w:p>
    <w:p>
      <w:pPr>
        <w:numPr>
          <w:ilvl w:val="0"/>
          <w:numId w:val="1"/>
        </w:numPr>
        <w:topLinePunct/>
        <w:autoSpaceDE w:val="0"/>
        <w:spacing w:line="560" w:lineRule="exact"/>
        <w:rPr>
          <w:rFonts w:ascii="仿宋_GB2312" w:eastAsia="仿宋_GB2312"/>
          <w:color w:val="000000"/>
          <w:sz w:val="32"/>
          <w:szCs w:val="32"/>
        </w:rPr>
      </w:pPr>
      <w:r>
        <w:rPr>
          <w:rFonts w:hint="eastAsia" w:ascii="仿宋_GB2312" w:eastAsia="仿宋_GB2312"/>
          <w:color w:val="000000"/>
          <w:sz w:val="32"/>
          <w:szCs w:val="32"/>
        </w:rPr>
        <w:t>指标完成情况。以上资金均已及时拨付到位，各项任务圆满完成。资金使用和管理均符合县级要求的财务管理制度规范，财政纪律严明，资金使用合理有效。</w:t>
      </w:r>
    </w:p>
    <w:p>
      <w:pPr>
        <w:topLinePunct/>
        <w:autoSpaceDE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二、绩效评价工作情况</w:t>
      </w:r>
    </w:p>
    <w:p>
      <w:pPr>
        <w:topLinePunct/>
        <w:autoSpaceDE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（一）绩效评价目的。</w:t>
      </w:r>
    </w:p>
    <w:p>
      <w:pPr>
        <w:topLinePunct/>
        <w:autoSpaceDE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切实提高一般公共预算资金使用效益，为进一步加强乡镇财政建设，提高财政资金规范化、科学化、精细化管理水平，牢固树立预算绩效理念，强化部门支出责任。现根据《中共中央国务院关于全面实施预算绩效管理的意见》(中发〔2018〕34号)、《中共湖南省委办公厅湖南省人民政府办公厅关于全面实施预算绩效管理的实施意见》（湘办发〔20193]10号）等文件精神，对南洲镇人民政府资金使用效益进行自评监督。</w:t>
      </w:r>
    </w:p>
    <w:p>
      <w:pPr>
        <w:numPr>
          <w:ilvl w:val="0"/>
          <w:numId w:val="2"/>
        </w:numPr>
        <w:topLinePunct/>
        <w:autoSpaceDE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项目资金</w:t>
      </w:r>
    </w:p>
    <w:p>
      <w:pPr>
        <w:topLinePunct/>
        <w:autoSpaceDE w:val="0"/>
        <w:spacing w:line="560" w:lineRule="exact"/>
        <w:ind w:firstLine="640" w:firstLineChars="200"/>
        <w:rPr>
          <w:rFonts w:ascii="楷体_GB2312" w:eastAsia="楷体_GB2312"/>
          <w:color w:val="000000"/>
          <w:sz w:val="32"/>
          <w:szCs w:val="32"/>
        </w:rPr>
      </w:pPr>
      <w:r>
        <w:rPr>
          <w:rFonts w:hint="eastAsia" w:ascii="仿宋_GB2312" w:eastAsia="仿宋_GB2312"/>
          <w:color w:val="000000"/>
          <w:sz w:val="32"/>
          <w:szCs w:val="32"/>
        </w:rPr>
        <w:t>南洲镇人民政府2020年项目支出主要涉及以下单位：主要是专项商品服务支出19万和对附属单位的补助支出1065.63万元，主要用于村级、社区、敬老院等的运转支出，包括：五保敬老院经费161.35万元、社区运转及民生经费303万元、村级运转经费220万元、乡镇分流经费89.28万、体制转移支付292万、禁毒经费6万、消防安全经费13万等。</w:t>
      </w:r>
    </w:p>
    <w:p>
      <w:pPr>
        <w:numPr>
          <w:ilvl w:val="0"/>
          <w:numId w:val="2"/>
        </w:numPr>
        <w:topLinePunct/>
        <w:autoSpaceDE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项目组织情况分析。</w:t>
      </w:r>
    </w:p>
    <w:p>
      <w:pPr>
        <w:topLinePunct/>
        <w:autoSpaceDE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项目前期严格按照实际制定预算情况，设立专门监督小组，由各部门分管领导任负责人，负责项目的日常监督管理，全程跟进项目资金的拨付进程和使用情况。实现了责任细分，责任到人。</w:t>
      </w:r>
    </w:p>
    <w:p>
      <w:pPr>
        <w:numPr>
          <w:ilvl w:val="0"/>
          <w:numId w:val="2"/>
        </w:numPr>
        <w:topLinePunct/>
        <w:autoSpaceDE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项目管理情况分析</w:t>
      </w:r>
      <w:r>
        <w:rPr>
          <w:rFonts w:hint="eastAsia" w:ascii="仿宋_GB2312" w:eastAsia="仿宋_GB2312"/>
          <w:color w:val="000000"/>
          <w:sz w:val="32"/>
          <w:szCs w:val="32"/>
        </w:rPr>
        <w:t>。</w:t>
      </w:r>
    </w:p>
    <w:p>
      <w:pPr>
        <w:topLinePunct/>
        <w:autoSpaceDE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高效完成项目任务，确保乡镇各项工作顺利开展，浪拔湖人民政府组织会议制定了《项目资金管理办法》来监督管理项目资金的按时拨付，保证资金使用的合理合规，同时做到了一切按制度为准则，严格按照指定的管理办法实施项目管理。</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三、项目绩效情况</w:t>
      </w:r>
    </w:p>
    <w:p>
      <w:pPr>
        <w:numPr>
          <w:ilvl w:val="0"/>
          <w:numId w:val="3"/>
        </w:num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项目经济性分析</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我镇全年收到县财政部门预算批复，项目资金</w:t>
      </w:r>
      <w:r>
        <w:rPr>
          <w:rFonts w:ascii="仿宋_GB2312" w:eastAsia="仿宋_GB2312"/>
          <w:color w:val="000000"/>
          <w:sz w:val="32"/>
          <w:szCs w:val="32"/>
        </w:rPr>
        <w:t>1084.63</w:t>
      </w:r>
      <w:r>
        <w:rPr>
          <w:rFonts w:hint="eastAsia" w:ascii="仿宋_GB2312" w:eastAsia="仿宋_GB2312"/>
          <w:color w:val="000000"/>
          <w:sz w:val="32"/>
          <w:szCs w:val="32"/>
        </w:rPr>
        <w:t>万元，实际到位</w:t>
      </w:r>
      <w:r>
        <w:rPr>
          <w:rFonts w:ascii="仿宋_GB2312" w:eastAsia="仿宋_GB2312"/>
          <w:color w:val="000000"/>
          <w:sz w:val="32"/>
          <w:szCs w:val="32"/>
        </w:rPr>
        <w:t>1084.63</w:t>
      </w:r>
      <w:r>
        <w:rPr>
          <w:rFonts w:hint="eastAsia" w:ascii="仿宋_GB2312" w:eastAsia="仿宋_GB2312"/>
          <w:color w:val="000000"/>
          <w:sz w:val="32"/>
          <w:szCs w:val="32"/>
        </w:rPr>
        <w:t>万元，实际使用</w:t>
      </w:r>
      <w:r>
        <w:rPr>
          <w:rFonts w:ascii="仿宋_GB2312" w:eastAsia="仿宋_GB2312"/>
          <w:color w:val="000000"/>
          <w:sz w:val="32"/>
          <w:szCs w:val="32"/>
        </w:rPr>
        <w:t>1084.63</w:t>
      </w:r>
      <w:r>
        <w:rPr>
          <w:rFonts w:hint="eastAsia" w:ascii="仿宋_GB2312" w:eastAsia="仿宋_GB2312"/>
          <w:color w:val="000000"/>
          <w:sz w:val="32"/>
          <w:szCs w:val="32"/>
        </w:rPr>
        <w:t>万元。所有资金均按照工作计划完成了既定目标，切成本控制和成本节约方面没有超出预算，资金使用率为100%。</w:t>
      </w:r>
    </w:p>
    <w:p>
      <w:pPr>
        <w:numPr>
          <w:ilvl w:val="0"/>
          <w:numId w:val="3"/>
        </w:num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项目效率性分析</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我镇全年五个项目类别均达到预定的目标，实现了资金的有效使用。项目从2020年1月1日起至2020年12月31日结束，项目工作全部圆满完成，且资金管理实现了专户管理、独立核算，保证了项目资金的使用质量。</w:t>
      </w:r>
    </w:p>
    <w:p>
      <w:pPr>
        <w:numPr>
          <w:ilvl w:val="0"/>
          <w:numId w:val="3"/>
        </w:num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项目有效性分析</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五保户供养经费项目全年资金顺利按时拨付，成果显著。</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村级运转经费项目全力支持村镇建设，基础设施更加完善，村民生活水平明显提高。</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禁毒专项经费项目扩大了对毒品危害性的宣传，落实了各项管控措施，有力减小了毒品对我镇的侵害。</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消防巡逻专项经费是保障了消防工作正常开展，减少了消防安全事故的发生。</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体制转移支付项目有效保障了各项福利性支出，和对农业生产的补贴，使第一产业稳定健康发展运行。</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社区经费项目保障了社区的正常运转，促进了社区经济、政治、文化发展，有力提升了社区居民的生活水平和生活质量。</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分流人员经费项目保障了乡镇分流人员生活。</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四、存在的问题</w:t>
      </w:r>
    </w:p>
    <w:p>
      <w:pPr>
        <w:topLinePunct/>
        <w:spacing w:line="560" w:lineRule="exact"/>
        <w:ind w:firstLine="640" w:firstLineChars="200"/>
        <w:rPr>
          <w:rFonts w:ascii="楷体_GB2312" w:eastAsia="楷体_GB2312"/>
          <w:color w:val="000000"/>
          <w:sz w:val="32"/>
          <w:szCs w:val="32"/>
        </w:rPr>
      </w:pPr>
      <w:r>
        <w:rPr>
          <w:rFonts w:hint="eastAsia" w:ascii="仿宋_GB2312" w:eastAsia="仿宋_GB2312"/>
          <w:color w:val="000000"/>
          <w:sz w:val="32"/>
          <w:szCs w:val="32"/>
        </w:rPr>
        <w:t>我镇基本实现了项目资金的良好使用，但在使用过程中依然存在一些问题：</w:t>
      </w:r>
    </w:p>
    <w:p>
      <w:pPr>
        <w:topLinePunct/>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（一）专项管理方面的问题。</w:t>
      </w:r>
    </w:p>
    <w:p>
      <w:pPr>
        <w:topLinePunct/>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专项管理办法仍待完善，资金使用过程中遇到的某些细节方面的问题没有考虑到。</w:t>
      </w:r>
    </w:p>
    <w:p>
      <w:pPr>
        <w:topLinePunct/>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（二）资金拨付方面的问题。</w:t>
      </w:r>
      <w:r>
        <w:rPr>
          <w:rFonts w:hint="eastAsia" w:ascii="仿宋_GB2312" w:eastAsia="仿宋_GB2312"/>
          <w:color w:val="000000"/>
          <w:sz w:val="32"/>
          <w:szCs w:val="32"/>
        </w:rPr>
        <w:t>专项资金指标下达时间和资金应该拨付时间存在时间差，有时需要动用基本支出资金才能保证项目资金按时按量拨付。</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五、其他需要说明的问题</w:t>
      </w:r>
    </w:p>
    <w:p>
      <w:pPr>
        <w:topLinePunct/>
        <w:spacing w:line="560" w:lineRule="exact"/>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无</w:t>
      </w:r>
    </w:p>
    <w:p>
      <w:pPr>
        <w:topLinePunct/>
        <w:spacing w:line="560" w:lineRule="exact"/>
        <w:ind w:firstLine="640" w:firstLineChars="200"/>
        <w:rPr>
          <w:rFonts w:hint="eastAsia" w:ascii="楷体_GB2312" w:eastAsia="楷体_GB2312"/>
          <w:color w:val="000000"/>
          <w:sz w:val="32"/>
          <w:szCs w:val="32"/>
        </w:rPr>
      </w:pP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附件2</w:t>
      </w:r>
    </w:p>
    <w:p>
      <w:pPr>
        <w:spacing w:line="600" w:lineRule="exact"/>
        <w:ind w:firstLine="880"/>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2020年项目支出绩效自评指标计分表</w:t>
      </w:r>
    </w:p>
    <w:p>
      <w:pPr>
        <w:spacing w:line="400" w:lineRule="exact"/>
        <w:ind w:firstLine="880"/>
        <w:jc w:val="center"/>
        <w:rPr>
          <w:rFonts w:ascii="方正小标宋_GBK" w:hAnsi="黑体" w:eastAsia="方正小标宋_GBK"/>
          <w:color w:val="000000"/>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一级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三级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目标</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目标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内容</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过程</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依据</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程序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办法</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结果</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到位率</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使用</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财务</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组织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组织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机构</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制度</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绩效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数量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质量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成本</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效果</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经济</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根据项目实际，标识所产生的直接或间接的经济效益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对照绩效目标，按经济效益实现程度计算得分（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社会</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根据项目实际，标识所产生的社会效益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对照绩效目标，按社会效益实现程度计算得分（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环境</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根据项目实际，标识对环境所产生的积极或消极影响</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对照绩效目标，按对环境所产生的实际影响程度计算得分（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可持续影响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项目产出能持续运用；项目运行所依赖的政策制度能持续执行</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所依赖的政策制度能持续执行（</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服务</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对象满意度</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项目预期服务对象对项目实施的满意程度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按收集到的项目服务对象的满意率计算得分（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90</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r>
    </w:tbl>
    <w:p>
      <w:pPr>
        <w:spacing w:after="200" w:line="360" w:lineRule="auto"/>
        <w:ind w:firstLine="600" w:firstLineChars="200"/>
        <w:jc w:val="left"/>
        <w:rPr>
          <w:rFonts w:hint="eastAsia" w:ascii="仿宋_GB2312" w:hAnsi="Calibri" w:eastAsia="仿宋_GB2312"/>
          <w:sz w:val="30"/>
          <w:szCs w:val="30"/>
        </w:rPr>
      </w:pPr>
    </w:p>
    <w:p>
      <w:pPr>
        <w:topLinePunct/>
        <w:spacing w:line="560" w:lineRule="exact"/>
        <w:ind w:firstLine="640" w:firstLineChars="200"/>
        <w:rPr>
          <w:rFonts w:hint="eastAsia" w:ascii="楷体_GB2312" w:eastAsia="楷体_GB2312"/>
          <w:color w:val="000000"/>
          <w:sz w:val="32"/>
          <w:szCs w:val="32"/>
        </w:rPr>
      </w:pPr>
      <w:bookmarkStart w:id="0" w:name="_GoBack"/>
      <w:bookmarkEnd w:id="0"/>
    </w:p>
    <w:p>
      <w:pPr>
        <w:topLinePunct/>
        <w:spacing w:line="560" w:lineRule="exact"/>
        <w:ind w:firstLine="640" w:firstLineChars="200"/>
        <w:rPr>
          <w:rFonts w:ascii="仿宋_GB2312" w:hAnsi="黑体" w:eastAsia="仿宋_GB2312"/>
          <w:color w:val="000000"/>
          <w:sz w:val="32"/>
          <w:szCs w:val="32"/>
        </w:rPr>
      </w:pPr>
    </w:p>
    <w:p>
      <w:pPr>
        <w:ind w:firstLine="640"/>
      </w:pPr>
    </w:p>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684D7"/>
    <w:multiLevelType w:val="singleLevel"/>
    <w:tmpl w:val="821684D7"/>
    <w:lvl w:ilvl="0" w:tentative="0">
      <w:start w:val="1"/>
      <w:numFmt w:val="decimal"/>
      <w:lvlText w:val="%1."/>
      <w:lvlJc w:val="left"/>
      <w:pPr>
        <w:tabs>
          <w:tab w:val="left" w:pos="312"/>
        </w:tabs>
      </w:pPr>
    </w:lvl>
  </w:abstractNum>
  <w:abstractNum w:abstractNumId="1">
    <w:nsid w:val="F5F04ED2"/>
    <w:multiLevelType w:val="singleLevel"/>
    <w:tmpl w:val="F5F04ED2"/>
    <w:lvl w:ilvl="0" w:tentative="0">
      <w:start w:val="1"/>
      <w:numFmt w:val="chineseCounting"/>
      <w:suff w:val="nothing"/>
      <w:lvlText w:val="（%1）"/>
      <w:lvlJc w:val="left"/>
      <w:rPr>
        <w:rFonts w:hint="eastAsia"/>
      </w:rPr>
    </w:lvl>
  </w:abstractNum>
  <w:abstractNum w:abstractNumId="2">
    <w:nsid w:val="69ADA32B"/>
    <w:multiLevelType w:val="singleLevel"/>
    <w:tmpl w:val="69ADA32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CB31FE"/>
    <w:rsid w:val="000A6853"/>
    <w:rsid w:val="004908DA"/>
    <w:rsid w:val="005129AC"/>
    <w:rsid w:val="00633F56"/>
    <w:rsid w:val="00670E51"/>
    <w:rsid w:val="00900BA0"/>
    <w:rsid w:val="00B5459C"/>
    <w:rsid w:val="00BE467A"/>
    <w:rsid w:val="00CB31FE"/>
    <w:rsid w:val="060F1BAA"/>
    <w:rsid w:val="1746109C"/>
    <w:rsid w:val="24510188"/>
    <w:rsid w:val="35B7016D"/>
    <w:rsid w:val="388855D3"/>
    <w:rsid w:val="3AE27AA6"/>
    <w:rsid w:val="43DE5B24"/>
    <w:rsid w:val="46205D4F"/>
    <w:rsid w:val="670372ED"/>
    <w:rsid w:val="74FA0804"/>
    <w:rsid w:val="7E756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9"/>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rFonts w:ascii="Calibri" w:hAnsi="Calibri" w:eastAsia="方正小标宋_GBK" w:cs="Calibri"/>
      <w:bCs/>
      <w:kern w:val="44"/>
      <w:sz w:val="44"/>
      <w:szCs w:val="44"/>
    </w:rPr>
  </w:style>
  <w:style w:type="character" w:customStyle="1" w:styleId="9">
    <w:name w:val="标题 3 Char"/>
    <w:basedOn w:val="7"/>
    <w:link w:val="3"/>
    <w:qFormat/>
    <w:uiPriority w:val="9"/>
    <w:rPr>
      <w:rFonts w:ascii="Calibri" w:hAnsi="Calibri" w:eastAsia="楷体" w:cs="Calibri"/>
      <w:bCs/>
      <w:sz w:val="32"/>
      <w:szCs w:val="32"/>
    </w:rPr>
  </w:style>
  <w:style w:type="character" w:customStyle="1" w:styleId="10">
    <w:name w:val="页眉 Char"/>
    <w:basedOn w:val="7"/>
    <w:link w:val="5"/>
    <w:semiHidden/>
    <w:uiPriority w:val="99"/>
    <w:rPr>
      <w:rFonts w:ascii="Times New Roman" w:hAnsi="Times New Roman" w:eastAsia="宋体" w:cs="Times New Roman"/>
      <w:kern w:val="2"/>
      <w:sz w:val="18"/>
      <w:szCs w:val="18"/>
    </w:rPr>
  </w:style>
  <w:style w:type="character" w:customStyle="1" w:styleId="11">
    <w:name w:val="页脚 Char"/>
    <w:basedOn w:val="7"/>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1519</Words>
  <Characters>8661</Characters>
  <Lines>72</Lines>
  <Paragraphs>20</Paragraphs>
  <TotalTime>0</TotalTime>
  <ScaleCrop>false</ScaleCrop>
  <LinksUpToDate>false</LinksUpToDate>
  <CharactersWithSpaces>10160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2021-07-15T08:46:00Z</dcterms:created>
  <dc:creator>Administrator</dc:creator>
  <cp:lastModifiedBy>巷有千家月</cp:lastModifiedBy>
  <cp:lastPrinted>2021-07-15T08:44:00Z</cp:lastPrinted>
  <dcterms:modified xsi:type="dcterms:W3CDTF">2022-08-26T01:53:21Z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2052-11.1.0.12313</vt:lpwstr>
  </property>
  <property fmtid="{D5CDD505-2E9C-101B-9397-08002B2CF9AE}" pid="4" name="ICV">
    <vt:lpwstr>1F2A37E59D7E40B49CDB2588CAC48178</vt:lpwstr>
  </property>
</Properties>
</file>