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964" w:firstLineChars="200"/>
        <w:jc w:val="left"/>
        <w:textAlignment w:val="auto"/>
        <w:rPr>
          <w:rFonts w:hint="eastAsia" w:ascii="方正小标宋简体" w:hAnsi="方正小标宋简体" w:eastAsia="方正小标宋简体" w:cs="方正小标宋简体"/>
          <w:b/>
          <w:sz w:val="48"/>
          <w:szCs w:val="4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b/>
          <w:sz w:val="56"/>
          <w:szCs w:val="56"/>
        </w:rPr>
        <w:t>2020年度南县</w:t>
      </w:r>
      <w:r>
        <w:rPr>
          <w:rFonts w:hint="eastAsia" w:ascii="方正小标宋简体" w:hAnsi="方正小标宋简体" w:eastAsia="方正小标宋简体" w:cs="方正小标宋简体"/>
          <w:b/>
          <w:sz w:val="56"/>
          <w:szCs w:val="56"/>
          <w:lang w:eastAsia="zh-CN"/>
        </w:rPr>
        <w:t>政府</w:t>
      </w:r>
      <w:r>
        <w:rPr>
          <w:rFonts w:hint="eastAsia" w:ascii="方正小标宋简体" w:hAnsi="方正小标宋简体" w:eastAsia="方正小标宋简体" w:cs="方正小标宋简体"/>
          <w:b/>
          <w:sz w:val="56"/>
          <w:szCs w:val="56"/>
        </w:rPr>
        <w:t>决算相关说明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目    录</w:t>
      </w:r>
    </w:p>
    <w:p>
      <w:pPr>
        <w:keepNext w:val="0"/>
        <w:keepLines w:val="0"/>
        <w:pageBreakBefore w:val="0"/>
        <w:kinsoku/>
        <w:wordWrap/>
        <w:overflowPunct/>
        <w:topLinePunct w:val="0"/>
        <w:autoSpaceDE/>
        <w:autoSpaceDN/>
        <w:bidi w:val="0"/>
        <w:adjustRightInd/>
        <w:spacing w:line="240" w:lineRule="auto"/>
        <w:ind w:firstLine="883" w:firstLineChars="200"/>
        <w:jc w:val="left"/>
        <w:textAlignment w:val="auto"/>
        <w:rPr>
          <w:rFonts w:hint="eastAsia" w:ascii="方正小标宋简体" w:hAnsi="方正小标宋简体" w:eastAsia="方正小标宋简体" w:cs="方正小标宋简体"/>
          <w:b/>
          <w:sz w:val="44"/>
          <w:szCs w:val="44"/>
        </w:rPr>
      </w:pPr>
    </w:p>
    <w:p>
      <w:pPr>
        <w:keepNext w:val="0"/>
        <w:keepLines w:val="0"/>
        <w:pageBreakBefore w:val="0"/>
        <w:kinsoku/>
        <w:wordWrap/>
        <w:overflowPunct/>
        <w:topLinePunct w:val="0"/>
        <w:autoSpaceDE/>
        <w:autoSpaceDN/>
        <w:bidi w:val="0"/>
        <w:adjustRightInd/>
        <w:spacing w:line="240" w:lineRule="auto"/>
        <w:ind w:firstLine="883" w:firstLineChars="200"/>
        <w:jc w:val="left"/>
        <w:textAlignment w:val="auto"/>
        <w:rPr>
          <w:rFonts w:hint="eastAsia" w:ascii="方正小标宋简体" w:hAnsi="方正小标宋简体" w:eastAsia="方正小标宋简体" w:cs="方正小标宋简体"/>
          <w:b/>
          <w:bCs w:val="0"/>
          <w:sz w:val="44"/>
          <w:szCs w:val="44"/>
        </w:rPr>
      </w:pPr>
    </w:p>
    <w:p>
      <w:pPr>
        <w:keepNext w:val="0"/>
        <w:keepLines w:val="0"/>
        <w:pageBreakBefore w:val="0"/>
        <w:numPr>
          <w:ilvl w:val="0"/>
          <w:numId w:val="1"/>
        </w:numPr>
        <w:kinsoku/>
        <w:wordWrap/>
        <w:overflowPunct/>
        <w:topLinePunct w:val="0"/>
        <w:autoSpaceDE/>
        <w:autoSpaceDN/>
        <w:bidi w:val="0"/>
        <w:adjustRightInd/>
        <w:spacing w:line="240" w:lineRule="auto"/>
        <w:ind w:firstLine="643" w:firstLineChars="200"/>
        <w:jc w:val="left"/>
        <w:textAlignment w:val="auto"/>
        <w:rPr>
          <w:rFonts w:hint="eastAsia" w:ascii="方正小标宋简体" w:hAnsi="方正小标宋简体" w:eastAsia="方正小标宋简体" w:cs="方正小标宋简体"/>
          <w:b/>
          <w:bCs w:val="0"/>
          <w:sz w:val="32"/>
          <w:szCs w:val="32"/>
          <w:lang w:val="en-US" w:eastAsia="zh-CN"/>
        </w:rPr>
      </w:pPr>
      <w:r>
        <w:rPr>
          <w:rFonts w:hint="eastAsia" w:ascii="方正小标宋简体" w:hAnsi="方正小标宋简体" w:eastAsia="方正小标宋简体" w:cs="方正小标宋简体"/>
          <w:b/>
          <w:bCs w:val="0"/>
          <w:sz w:val="32"/>
          <w:szCs w:val="32"/>
          <w:lang w:val="en-US" w:eastAsia="zh-CN"/>
        </w:rPr>
        <w:t>关于2020年南县转移支付情况说明</w:t>
      </w:r>
    </w:p>
    <w:p>
      <w:pPr>
        <w:pStyle w:val="2"/>
        <w:keepNext w:val="0"/>
        <w:keepLines w:val="0"/>
        <w:pageBreakBefore w:val="0"/>
        <w:kinsoku/>
        <w:wordWrap/>
        <w:overflowPunct/>
        <w:topLinePunct w:val="0"/>
        <w:autoSpaceDE/>
        <w:autoSpaceDN/>
        <w:bidi w:val="0"/>
        <w:adjustRightInd/>
        <w:spacing w:line="240" w:lineRule="auto"/>
        <w:ind w:firstLine="360" w:firstLineChars="200"/>
        <w:jc w:val="left"/>
        <w:textAlignment w:val="auto"/>
        <w:rPr>
          <w:rFonts w:hint="eastAsia" w:ascii="方正小标宋简体" w:hAnsi="方正小标宋简体" w:eastAsia="方正小标宋简体" w:cs="方正小标宋简体"/>
          <w:lang w:val="en-US" w:eastAsia="zh-CN"/>
        </w:rPr>
      </w:pPr>
    </w:p>
    <w:p>
      <w:pPr>
        <w:pStyle w:val="2"/>
        <w:keepNext w:val="0"/>
        <w:keepLines w:val="0"/>
        <w:pageBreakBefore w:val="0"/>
        <w:numPr>
          <w:ilvl w:val="0"/>
          <w:numId w:val="0"/>
        </w:numPr>
        <w:kinsoku/>
        <w:wordWrap/>
        <w:overflowPunct/>
        <w:topLinePunct w:val="0"/>
        <w:autoSpaceDE/>
        <w:autoSpaceDN/>
        <w:bidi w:val="0"/>
        <w:adjustRightInd/>
        <w:spacing w:line="240" w:lineRule="auto"/>
        <w:ind w:firstLine="360" w:firstLineChars="200"/>
        <w:jc w:val="left"/>
        <w:textAlignment w:val="auto"/>
        <w:rPr>
          <w:rFonts w:hint="eastAsia" w:ascii="方正小标宋简体" w:hAnsi="方正小标宋简体" w:eastAsia="方正小标宋简体" w:cs="方正小标宋简体"/>
          <w:lang w:eastAsia="zh-CN"/>
        </w:rPr>
      </w:pPr>
    </w:p>
    <w:p>
      <w:pPr>
        <w:keepNext w:val="0"/>
        <w:keepLines w:val="0"/>
        <w:pageBreakBefore w:val="0"/>
        <w:numPr>
          <w:ilvl w:val="0"/>
          <w:numId w:val="0"/>
        </w:numPr>
        <w:kinsoku/>
        <w:wordWrap/>
        <w:overflowPunct/>
        <w:topLinePunct w:val="0"/>
        <w:autoSpaceDE/>
        <w:autoSpaceDN/>
        <w:bidi w:val="0"/>
        <w:adjustRightInd/>
        <w:spacing w:line="240" w:lineRule="auto"/>
        <w:ind w:firstLine="643" w:firstLineChars="200"/>
        <w:jc w:val="left"/>
        <w:textAlignment w:val="auto"/>
        <w:rPr>
          <w:rFonts w:hint="eastAsia" w:ascii="方正小标宋简体" w:hAnsi="方正小标宋简体" w:eastAsia="方正小标宋简体" w:cs="方正小标宋简体"/>
          <w:b/>
          <w:bCs w:val="0"/>
          <w:sz w:val="32"/>
          <w:szCs w:val="32"/>
        </w:rPr>
      </w:pPr>
      <w:r>
        <w:rPr>
          <w:rFonts w:hint="eastAsia" w:ascii="方正小标宋简体" w:hAnsi="方正小标宋简体" w:eastAsia="方正小标宋简体" w:cs="方正小标宋简体"/>
          <w:b/>
          <w:bCs w:val="0"/>
          <w:sz w:val="32"/>
          <w:szCs w:val="32"/>
          <w:lang w:eastAsia="zh-CN"/>
        </w:rPr>
        <w:t>二、</w:t>
      </w:r>
      <w:r>
        <w:rPr>
          <w:rFonts w:hint="eastAsia" w:ascii="方正小标宋简体" w:hAnsi="方正小标宋简体" w:eastAsia="方正小标宋简体" w:cs="方正小标宋简体"/>
          <w:b/>
          <w:bCs w:val="0"/>
          <w:sz w:val="32"/>
          <w:szCs w:val="32"/>
        </w:rPr>
        <w:t>关于2020年南县“三公”经费支出情况说明</w:t>
      </w:r>
    </w:p>
    <w:p>
      <w:pPr>
        <w:keepNext w:val="0"/>
        <w:keepLines w:val="0"/>
        <w:pageBreakBefore w:val="0"/>
        <w:numPr>
          <w:ilvl w:val="0"/>
          <w:numId w:val="0"/>
        </w:numPr>
        <w:kinsoku/>
        <w:wordWrap/>
        <w:overflowPunct/>
        <w:topLinePunct w:val="0"/>
        <w:autoSpaceDE/>
        <w:autoSpaceDN/>
        <w:bidi w:val="0"/>
        <w:adjustRightInd/>
        <w:spacing w:line="240" w:lineRule="auto"/>
        <w:ind w:firstLine="643" w:firstLineChars="200"/>
        <w:jc w:val="left"/>
        <w:textAlignment w:val="auto"/>
        <w:rPr>
          <w:rFonts w:hint="eastAsia" w:ascii="方正小标宋简体" w:hAnsi="方正小标宋简体" w:eastAsia="方正小标宋简体" w:cs="方正小标宋简体"/>
          <w:b/>
          <w:bCs w:val="0"/>
          <w:sz w:val="32"/>
          <w:szCs w:val="32"/>
        </w:rPr>
      </w:pPr>
    </w:p>
    <w:p>
      <w:pPr>
        <w:keepNext w:val="0"/>
        <w:keepLines w:val="0"/>
        <w:pageBreakBefore w:val="0"/>
        <w:numPr>
          <w:ilvl w:val="0"/>
          <w:numId w:val="0"/>
        </w:numPr>
        <w:kinsoku/>
        <w:wordWrap/>
        <w:overflowPunct/>
        <w:topLinePunct w:val="0"/>
        <w:autoSpaceDE/>
        <w:autoSpaceDN/>
        <w:bidi w:val="0"/>
        <w:adjustRightInd/>
        <w:spacing w:line="240" w:lineRule="auto"/>
        <w:ind w:firstLine="643" w:firstLineChars="200"/>
        <w:jc w:val="left"/>
        <w:textAlignment w:val="auto"/>
        <w:rPr>
          <w:rFonts w:hint="eastAsia" w:ascii="方正小标宋简体" w:hAnsi="方正小标宋简体" w:eastAsia="方正小标宋简体" w:cs="方正小标宋简体"/>
          <w:b/>
          <w:bCs w:val="0"/>
          <w:sz w:val="32"/>
          <w:szCs w:val="32"/>
        </w:rPr>
      </w:pPr>
      <w:r>
        <w:rPr>
          <w:rFonts w:hint="eastAsia" w:ascii="方正小标宋简体" w:hAnsi="方正小标宋简体" w:eastAsia="方正小标宋简体" w:cs="方正小标宋简体"/>
          <w:b/>
          <w:bCs w:val="0"/>
          <w:sz w:val="32"/>
          <w:szCs w:val="32"/>
          <w:lang w:eastAsia="zh-CN"/>
        </w:rPr>
        <w:t>三、</w:t>
      </w:r>
      <w:r>
        <w:rPr>
          <w:rFonts w:hint="eastAsia" w:ascii="方正小标宋简体" w:hAnsi="方正小标宋简体" w:eastAsia="方正小标宋简体" w:cs="方正小标宋简体"/>
          <w:b/>
          <w:bCs w:val="0"/>
          <w:sz w:val="32"/>
          <w:szCs w:val="32"/>
        </w:rPr>
        <w:t>关于2020年南县政府债务情况说明</w:t>
      </w:r>
    </w:p>
    <w:p>
      <w:pPr>
        <w:keepNext w:val="0"/>
        <w:keepLines w:val="0"/>
        <w:pageBreakBefore w:val="0"/>
        <w:numPr>
          <w:ilvl w:val="0"/>
          <w:numId w:val="0"/>
        </w:numPr>
        <w:kinsoku/>
        <w:wordWrap/>
        <w:overflowPunct/>
        <w:topLinePunct w:val="0"/>
        <w:autoSpaceDE/>
        <w:autoSpaceDN/>
        <w:bidi w:val="0"/>
        <w:adjustRightInd/>
        <w:spacing w:line="240" w:lineRule="auto"/>
        <w:ind w:firstLine="643" w:firstLineChars="200"/>
        <w:jc w:val="left"/>
        <w:textAlignment w:val="auto"/>
        <w:rPr>
          <w:rFonts w:hint="eastAsia" w:ascii="方正小标宋简体" w:hAnsi="方正小标宋简体" w:eastAsia="方正小标宋简体" w:cs="方正小标宋简体"/>
          <w:b/>
          <w:bCs w:val="0"/>
          <w:sz w:val="32"/>
          <w:szCs w:val="32"/>
        </w:rPr>
      </w:pPr>
    </w:p>
    <w:p>
      <w:pPr>
        <w:keepNext w:val="0"/>
        <w:keepLines w:val="0"/>
        <w:pageBreakBefore w:val="0"/>
        <w:kinsoku/>
        <w:wordWrap/>
        <w:overflowPunct/>
        <w:topLinePunct w:val="0"/>
        <w:autoSpaceDE/>
        <w:autoSpaceDN/>
        <w:bidi w:val="0"/>
        <w:adjustRightInd/>
        <w:spacing w:line="240" w:lineRule="auto"/>
        <w:ind w:firstLine="643" w:firstLineChars="200"/>
        <w:jc w:val="left"/>
        <w:textAlignment w:val="auto"/>
        <w:rPr>
          <w:rFonts w:hint="eastAsia" w:ascii="方正小标宋简体" w:hAnsi="方正小标宋简体" w:eastAsia="方正小标宋简体" w:cs="方正小标宋简体"/>
          <w:b/>
          <w:bCs w:val="0"/>
          <w:sz w:val="32"/>
          <w:szCs w:val="32"/>
        </w:rPr>
      </w:pPr>
      <w:r>
        <w:rPr>
          <w:rFonts w:hint="eastAsia" w:ascii="方正小标宋简体" w:hAnsi="方正小标宋简体" w:eastAsia="方正小标宋简体" w:cs="方正小标宋简体"/>
          <w:b/>
          <w:bCs w:val="0"/>
          <w:sz w:val="32"/>
          <w:szCs w:val="32"/>
        </w:rPr>
        <w:t>四、关于2020年南县预算绩效管理工作情况说明</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bCs/>
          <w:sz w:val="32"/>
          <w:szCs w:val="32"/>
        </w:rPr>
      </w:pP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bCs/>
          <w:sz w:val="32"/>
          <w:szCs w:val="32"/>
        </w:rPr>
      </w:pP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bCs/>
          <w:sz w:val="32"/>
          <w:szCs w:val="32"/>
        </w:rPr>
      </w:pP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bCs/>
          <w:sz w:val="32"/>
          <w:szCs w:val="32"/>
        </w:rPr>
      </w:pP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bCs/>
          <w:sz w:val="32"/>
          <w:szCs w:val="32"/>
        </w:rPr>
      </w:pP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bCs/>
          <w:sz w:val="32"/>
          <w:szCs w:val="32"/>
        </w:rPr>
      </w:pP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bCs/>
          <w:sz w:val="32"/>
          <w:szCs w:val="32"/>
        </w:rPr>
      </w:pP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rPr>
      </w:pPr>
    </w:p>
    <w:p>
      <w:pPr>
        <w:keepNext w:val="0"/>
        <w:keepLines w:val="0"/>
        <w:pageBreakBefore w:val="0"/>
        <w:numPr>
          <w:ilvl w:val="0"/>
          <w:numId w:val="0"/>
        </w:numPr>
        <w:shd w:val="clear" w:fill="00B0F0"/>
        <w:kinsoku/>
        <w:wordWrap/>
        <w:overflowPunct/>
        <w:topLinePunct w:val="0"/>
        <w:autoSpaceDE/>
        <w:autoSpaceDN/>
        <w:bidi w:val="0"/>
        <w:adjustRightInd/>
        <w:spacing w:line="240" w:lineRule="auto"/>
        <w:ind w:firstLine="883" w:firstLineChars="200"/>
        <w:jc w:val="center"/>
        <w:textAlignment w:val="auto"/>
        <w:rPr>
          <w:rFonts w:hint="eastAsia" w:ascii="方正小标宋简体" w:hAnsi="方正小标宋简体" w:eastAsia="方正小标宋简体" w:cs="方正小标宋简体"/>
          <w:b/>
          <w:bCs w:val="0"/>
          <w:sz w:val="44"/>
          <w:szCs w:val="44"/>
          <w:lang w:val="en-US" w:eastAsia="zh-CN"/>
        </w:rPr>
      </w:pPr>
      <w:r>
        <w:rPr>
          <w:rFonts w:hint="eastAsia" w:ascii="方正小标宋简体" w:hAnsi="方正小标宋简体" w:eastAsia="方正小标宋简体" w:cs="方正小标宋简体"/>
          <w:b/>
          <w:bCs w:val="0"/>
          <w:sz w:val="44"/>
          <w:szCs w:val="44"/>
          <w:lang w:val="en-US" w:eastAsia="zh-CN"/>
        </w:rPr>
        <w:t>一、关于2020年南县转移支付情况说明</w:t>
      </w:r>
    </w:p>
    <w:p>
      <w:pPr>
        <w:pStyle w:val="2"/>
        <w:keepNext w:val="0"/>
        <w:keepLines w:val="0"/>
        <w:pageBreakBefore w:val="0"/>
        <w:kinsoku/>
        <w:wordWrap/>
        <w:overflowPunct/>
        <w:topLinePunct w:val="0"/>
        <w:autoSpaceDE/>
        <w:autoSpaceDN/>
        <w:bidi w:val="0"/>
        <w:adjustRightInd/>
        <w:spacing w:line="240" w:lineRule="auto"/>
        <w:ind w:firstLine="360" w:firstLineChars="200"/>
        <w:jc w:val="left"/>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rPr>
      </w:pPr>
    </w:p>
    <w:p>
      <w:pPr>
        <w:pStyle w:val="3"/>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2020年，我县共收到上级下拨的转移支付383909万元，其中：一般公共预算转移支付372787万元，政府性基金预算转移支付11122万元。</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与上年相比增加292万元，增长0.08%，主要是因为政府性基金预算转移支付中新增了抗疫特别国债的转移支付收入7700万元而导致。</w:t>
      </w:r>
    </w:p>
    <w:p>
      <w:pPr>
        <w:pStyle w:val="2"/>
        <w:keepNext w:val="0"/>
        <w:keepLines w:val="0"/>
        <w:pageBreakBefore w:val="0"/>
        <w:kinsoku/>
        <w:wordWrap/>
        <w:overflowPunct/>
        <w:topLinePunct w:val="0"/>
        <w:autoSpaceDE/>
        <w:autoSpaceDN/>
        <w:bidi w:val="0"/>
        <w:adjustRightInd/>
        <w:spacing w:line="240" w:lineRule="auto"/>
        <w:ind w:firstLine="360" w:firstLineChars="200"/>
        <w:jc w:val="left"/>
        <w:textAlignment w:val="auto"/>
        <w:rPr>
          <w:rFonts w:hint="eastAsia" w:ascii="宋体" w:hAnsi="宋体" w:eastAsia="宋体" w:cs="宋体"/>
          <w:lang w:val="en-US" w:eastAsia="zh-CN"/>
        </w:rPr>
      </w:pPr>
    </w:p>
    <w:p>
      <w:pPr>
        <w:keepNext w:val="0"/>
        <w:keepLines w:val="0"/>
        <w:pageBreakBefore w:val="0"/>
        <w:kinsoku/>
        <w:wordWrap/>
        <w:overflowPunct/>
        <w:topLinePunct w:val="0"/>
        <w:autoSpaceDE/>
        <w:autoSpaceDN/>
        <w:bidi w:val="0"/>
        <w:adjustRightInd/>
        <w:spacing w:line="240" w:lineRule="auto"/>
        <w:ind w:firstLine="643" w:firstLineChars="200"/>
        <w:jc w:val="left"/>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（一）</w:t>
      </w:r>
      <w:r>
        <w:rPr>
          <w:rFonts w:hint="eastAsia" w:ascii="宋体" w:hAnsi="宋体" w:eastAsia="宋体" w:cs="宋体"/>
          <w:b/>
          <w:bCs/>
          <w:sz w:val="32"/>
          <w:szCs w:val="32"/>
        </w:rPr>
        <w:t>一般公共预算转移支付</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2020年，上级下达我县一般公共预算转移支付37</w:t>
      </w:r>
      <w:r>
        <w:rPr>
          <w:rFonts w:hint="eastAsia" w:ascii="宋体" w:hAnsi="宋体" w:eastAsia="宋体" w:cs="宋体"/>
          <w:sz w:val="32"/>
          <w:szCs w:val="32"/>
          <w:lang w:val="en-US" w:eastAsia="zh-CN"/>
        </w:rPr>
        <w:t>2787</w:t>
      </w:r>
      <w:r>
        <w:rPr>
          <w:rFonts w:hint="eastAsia" w:ascii="宋体" w:hAnsi="宋体" w:eastAsia="宋体" w:cs="宋体"/>
          <w:sz w:val="32"/>
          <w:szCs w:val="32"/>
        </w:rPr>
        <w:t>万元，比上年减少7693万元，下降</w:t>
      </w:r>
      <w:r>
        <w:rPr>
          <w:rFonts w:hint="eastAsia" w:ascii="宋体" w:hAnsi="宋体" w:eastAsia="宋体" w:cs="宋体"/>
          <w:sz w:val="32"/>
          <w:szCs w:val="32"/>
          <w:lang w:val="en-US" w:eastAsia="zh-CN"/>
        </w:rPr>
        <w:t>2.02</w:t>
      </w:r>
      <w:r>
        <w:rPr>
          <w:rFonts w:hint="eastAsia" w:ascii="宋体" w:hAnsi="宋体" w:eastAsia="宋体" w:cs="宋体"/>
          <w:sz w:val="32"/>
          <w:szCs w:val="32"/>
        </w:rPr>
        <w:t>%，其中：一般性转移支付294552万元</w:t>
      </w:r>
      <w:r>
        <w:rPr>
          <w:rFonts w:hint="eastAsia" w:ascii="宋体" w:hAnsi="宋体" w:eastAsia="宋体" w:cs="宋体"/>
          <w:sz w:val="32"/>
          <w:szCs w:val="32"/>
          <w:lang w:eastAsia="zh-CN"/>
        </w:rPr>
        <w:t>，占</w:t>
      </w:r>
      <w:r>
        <w:rPr>
          <w:rFonts w:hint="eastAsia" w:ascii="宋体" w:hAnsi="宋体" w:eastAsia="宋体" w:cs="宋体"/>
          <w:sz w:val="32"/>
          <w:szCs w:val="32"/>
          <w:lang w:val="en-US" w:eastAsia="zh-CN"/>
        </w:rPr>
        <w:t>79.01%</w:t>
      </w:r>
      <w:r>
        <w:rPr>
          <w:rFonts w:hint="eastAsia" w:ascii="宋体" w:hAnsi="宋体" w:eastAsia="宋体" w:cs="宋体"/>
          <w:sz w:val="32"/>
          <w:szCs w:val="32"/>
          <w:lang w:eastAsia="zh-CN"/>
        </w:rPr>
        <w:t>；</w:t>
      </w:r>
      <w:r>
        <w:rPr>
          <w:rFonts w:hint="eastAsia" w:ascii="宋体" w:hAnsi="宋体" w:eastAsia="宋体" w:cs="宋体"/>
          <w:sz w:val="32"/>
          <w:szCs w:val="32"/>
        </w:rPr>
        <w:t>专项转移支付78235万元</w:t>
      </w:r>
      <w:r>
        <w:rPr>
          <w:rFonts w:hint="eastAsia" w:ascii="宋体" w:hAnsi="宋体" w:eastAsia="宋体" w:cs="宋体"/>
          <w:sz w:val="32"/>
          <w:szCs w:val="32"/>
          <w:lang w:eastAsia="zh-CN"/>
        </w:rPr>
        <w:t>，占</w:t>
      </w:r>
      <w:r>
        <w:rPr>
          <w:rFonts w:hint="eastAsia" w:ascii="宋体" w:hAnsi="宋体" w:eastAsia="宋体" w:cs="宋体"/>
          <w:sz w:val="32"/>
          <w:szCs w:val="32"/>
          <w:lang w:val="en-US" w:eastAsia="zh-CN"/>
        </w:rPr>
        <w:t>20.99%</w:t>
      </w:r>
      <w:r>
        <w:rPr>
          <w:rFonts w:hint="eastAsia" w:ascii="宋体" w:hAnsi="宋体" w:eastAsia="宋体" w:cs="宋体"/>
          <w:sz w:val="32"/>
          <w:szCs w:val="32"/>
        </w:rPr>
        <w:t>。</w:t>
      </w:r>
    </w:p>
    <w:p>
      <w:pPr>
        <w:pStyle w:val="2"/>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pacing w:line="240" w:lineRule="auto"/>
        <w:ind w:left="-210" w:leftChars="-100" w:right="0" w:rightChars="0" w:firstLine="360" w:firstLineChars="200"/>
        <w:jc w:val="left"/>
        <w:textAlignment w:val="auto"/>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pacing w:line="240" w:lineRule="auto"/>
        <w:ind w:left="-210" w:leftChars="-100" w:right="0" w:rightChars="0" w:firstLine="360" w:firstLineChars="200"/>
        <w:jc w:val="left"/>
        <w:textAlignment w:val="auto"/>
        <w:rPr>
          <w:rFonts w:hint="eastAsia" w:ascii="宋体" w:hAnsi="宋体" w:eastAsia="宋体" w:cs="宋体"/>
        </w:rPr>
      </w:pPr>
    </w:p>
    <w:p>
      <w:pPr>
        <w:pStyle w:val="3"/>
        <w:keepNext w:val="0"/>
        <w:keepLines w:val="0"/>
        <w:pageBreakBefore w:val="0"/>
        <w:widowControl w:val="0"/>
        <w:kinsoku/>
        <w:wordWrap/>
        <w:overflowPunct/>
        <w:topLinePunct w:val="0"/>
        <w:autoSpaceDE/>
        <w:autoSpaceDN/>
        <w:bidi w:val="0"/>
        <w:adjustRightInd/>
        <w:snapToGrid/>
        <w:spacing w:line="240" w:lineRule="auto"/>
        <w:ind w:left="-210" w:leftChars="-100" w:right="0" w:rightChars="0" w:firstLine="420" w:firstLineChars="200"/>
        <w:jc w:val="center"/>
        <w:textAlignment w:val="auto"/>
        <w:rPr>
          <w:rFonts w:hint="eastAsia" w:ascii="宋体" w:hAnsi="宋体" w:eastAsia="宋体" w:cs="宋体"/>
          <w:sz w:val="32"/>
          <w:szCs w:val="32"/>
        </w:rPr>
      </w:pPr>
      <w:r>
        <w:rPr>
          <w:rFonts w:hint="eastAsia" w:ascii="宋体" w:hAnsi="宋体" w:eastAsia="宋体" w:cs="宋体"/>
        </w:rPr>
        <w:drawing>
          <wp:inline distT="0" distB="0" distL="114300" distR="114300">
            <wp:extent cx="5799455" cy="2883535"/>
            <wp:effectExtent l="4445" t="4445" r="6350" b="762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rPr>
      </w:pPr>
    </w:p>
    <w:p>
      <w:pPr>
        <w:keepNext w:val="0"/>
        <w:keepLines w:val="0"/>
        <w:pageBreakBefore w:val="0"/>
        <w:numPr>
          <w:ilvl w:val="0"/>
          <w:numId w:val="0"/>
        </w:numPr>
        <w:kinsoku/>
        <w:wordWrap/>
        <w:overflowPunct/>
        <w:topLinePunct w:val="0"/>
        <w:autoSpaceDE/>
        <w:autoSpaceDN/>
        <w:bidi w:val="0"/>
        <w:adjustRightInd/>
        <w:spacing w:line="240" w:lineRule="auto"/>
        <w:ind w:firstLine="643"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1、</w:t>
      </w:r>
      <w:r>
        <w:rPr>
          <w:rFonts w:hint="eastAsia" w:ascii="宋体" w:hAnsi="宋体" w:eastAsia="宋体" w:cs="宋体"/>
          <w:b/>
          <w:bCs/>
          <w:sz w:val="32"/>
          <w:szCs w:val="32"/>
        </w:rPr>
        <w:t>一般性转移支付情况</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2020年</w:t>
      </w:r>
      <w:r>
        <w:rPr>
          <w:rFonts w:hint="eastAsia" w:ascii="宋体" w:hAnsi="宋体" w:eastAsia="宋体" w:cs="宋体"/>
          <w:b w:val="0"/>
          <w:bCs w:val="0"/>
          <w:sz w:val="32"/>
          <w:szCs w:val="32"/>
        </w:rPr>
        <w:t>一般性转移支付</w:t>
      </w:r>
      <w:r>
        <w:rPr>
          <w:rFonts w:hint="eastAsia" w:ascii="宋体" w:hAnsi="宋体" w:eastAsia="宋体" w:cs="宋体"/>
          <w:sz w:val="32"/>
          <w:szCs w:val="32"/>
        </w:rPr>
        <w:t>294552万元</w:t>
      </w:r>
      <w:r>
        <w:rPr>
          <w:rFonts w:hint="eastAsia" w:ascii="宋体" w:hAnsi="宋体" w:eastAsia="宋体" w:cs="宋体"/>
          <w:sz w:val="32"/>
          <w:szCs w:val="32"/>
          <w:lang w:eastAsia="zh-CN"/>
        </w:rPr>
        <w:t>，比上年增加</w:t>
      </w:r>
      <w:r>
        <w:rPr>
          <w:rFonts w:hint="eastAsia" w:ascii="宋体" w:hAnsi="宋体" w:eastAsia="宋体" w:cs="宋体"/>
          <w:sz w:val="32"/>
          <w:szCs w:val="32"/>
          <w:lang w:val="en-US" w:eastAsia="zh-CN"/>
        </w:rPr>
        <w:t>10205万元，增长3.59%，主要是因为：一是县级基本财力保障机制奖补资金收入、教育共同财政事权转移支付收入 、</w:t>
      </w:r>
      <w:r>
        <w:rPr>
          <w:rFonts w:hint="eastAsia" w:ascii="宋体" w:hAnsi="宋体" w:eastAsia="宋体" w:cs="宋体"/>
          <w:sz w:val="32"/>
          <w:szCs w:val="32"/>
        </w:rPr>
        <w:t>文化旅游体育与传媒共同财政事权转移支付收入</w:t>
      </w:r>
      <w:r>
        <w:rPr>
          <w:rFonts w:hint="eastAsia" w:ascii="宋体" w:hAnsi="宋体" w:eastAsia="宋体" w:cs="宋体"/>
          <w:sz w:val="32"/>
          <w:szCs w:val="32"/>
          <w:lang w:eastAsia="zh-CN"/>
        </w:rPr>
        <w:t>、</w:t>
      </w:r>
      <w:r>
        <w:rPr>
          <w:rFonts w:hint="eastAsia" w:ascii="宋体" w:hAnsi="宋体" w:eastAsia="宋体" w:cs="宋体"/>
          <w:sz w:val="32"/>
          <w:szCs w:val="32"/>
        </w:rPr>
        <w:t>社会保障和就业共同财政事权转移支付收入</w:t>
      </w:r>
      <w:r>
        <w:rPr>
          <w:rFonts w:hint="eastAsia" w:ascii="宋体" w:hAnsi="宋体" w:eastAsia="宋体" w:cs="宋体"/>
          <w:sz w:val="32"/>
          <w:szCs w:val="32"/>
          <w:lang w:eastAsia="zh-CN"/>
        </w:rPr>
        <w:t>、</w:t>
      </w:r>
      <w:r>
        <w:rPr>
          <w:rFonts w:hint="eastAsia" w:ascii="宋体" w:hAnsi="宋体" w:eastAsia="宋体" w:cs="宋体"/>
          <w:sz w:val="32"/>
          <w:szCs w:val="32"/>
        </w:rPr>
        <w:t>节能环保共同财政事权转移支付收入</w:t>
      </w:r>
      <w:r>
        <w:rPr>
          <w:rFonts w:hint="eastAsia" w:ascii="宋体" w:hAnsi="宋体" w:eastAsia="宋体" w:cs="宋体"/>
          <w:sz w:val="32"/>
          <w:szCs w:val="32"/>
          <w:lang w:eastAsia="zh-CN"/>
        </w:rPr>
        <w:t>、</w:t>
      </w:r>
      <w:r>
        <w:rPr>
          <w:rFonts w:hint="eastAsia" w:ascii="宋体" w:hAnsi="宋体" w:eastAsia="宋体" w:cs="宋体"/>
          <w:sz w:val="32"/>
          <w:szCs w:val="32"/>
        </w:rPr>
        <w:t>住房保障共同财政事权转移支付收入</w:t>
      </w:r>
      <w:r>
        <w:rPr>
          <w:rFonts w:hint="eastAsia" w:ascii="宋体" w:hAnsi="宋体" w:eastAsia="宋体" w:cs="宋体"/>
          <w:sz w:val="32"/>
          <w:szCs w:val="32"/>
          <w:lang w:eastAsia="zh-CN"/>
        </w:rPr>
        <w:t>增长幅度较大；二是本年新增了</w:t>
      </w:r>
      <w:r>
        <w:rPr>
          <w:rFonts w:hint="eastAsia" w:ascii="宋体" w:hAnsi="宋体" w:eastAsia="宋体" w:cs="宋体"/>
          <w:sz w:val="32"/>
          <w:szCs w:val="32"/>
        </w:rPr>
        <w:t>灾害防治及应急管理共同财政事权转移支付收入</w:t>
      </w:r>
      <w:r>
        <w:rPr>
          <w:rFonts w:hint="eastAsia" w:ascii="宋体" w:hAnsi="宋体" w:eastAsia="宋体" w:cs="宋体"/>
          <w:sz w:val="32"/>
          <w:szCs w:val="32"/>
          <w:lang w:eastAsia="zh-CN"/>
        </w:rPr>
        <w:t>。具体明细情况如下：</w:t>
      </w:r>
    </w:p>
    <w:p>
      <w:pPr>
        <w:pStyle w:val="3"/>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lang w:val="en-US" w:eastAsia="zh-CN"/>
        </w:rPr>
      </w:pP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均衡性转移支付65215万元，下降1.87%。</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）县级基本财力保障机制奖补资金47531万元，增长 120.48%。</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3</w:t>
      </w:r>
      <w:r>
        <w:rPr>
          <w:rFonts w:hint="eastAsia" w:ascii="宋体" w:hAnsi="宋体" w:eastAsia="宋体" w:cs="宋体"/>
          <w:sz w:val="32"/>
          <w:szCs w:val="32"/>
          <w:lang w:eastAsia="zh-CN"/>
        </w:rPr>
        <w:t>）结算补助收入4428万元，增长 18.62%。</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4</w:t>
      </w:r>
      <w:r>
        <w:rPr>
          <w:rFonts w:hint="eastAsia" w:ascii="宋体" w:hAnsi="宋体" w:eastAsia="宋体" w:cs="宋体"/>
          <w:sz w:val="32"/>
          <w:szCs w:val="32"/>
          <w:lang w:eastAsia="zh-CN"/>
        </w:rPr>
        <w:t>）企业事业单位划转补助收入89万元，与上年持平。</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）产粮(油)大县奖励资金4250万元，下降13.23%。</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6</w:t>
      </w:r>
      <w:r>
        <w:rPr>
          <w:rFonts w:hint="eastAsia" w:ascii="宋体" w:hAnsi="宋体" w:eastAsia="宋体" w:cs="宋体"/>
          <w:sz w:val="32"/>
          <w:szCs w:val="32"/>
          <w:lang w:eastAsia="zh-CN"/>
        </w:rPr>
        <w:t>）重点生态功能区转移支付3360万元，下降33.39%。</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7</w:t>
      </w:r>
      <w:r>
        <w:rPr>
          <w:rFonts w:hint="eastAsia" w:ascii="宋体" w:hAnsi="宋体" w:eastAsia="宋体" w:cs="宋体"/>
          <w:sz w:val="32"/>
          <w:szCs w:val="32"/>
          <w:lang w:eastAsia="zh-CN"/>
        </w:rPr>
        <w:t>）固定数额补助21353万元，持平。</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8</w:t>
      </w:r>
      <w:r>
        <w:rPr>
          <w:rFonts w:hint="eastAsia" w:ascii="宋体" w:hAnsi="宋体" w:eastAsia="宋体" w:cs="宋体"/>
          <w:sz w:val="32"/>
          <w:szCs w:val="32"/>
          <w:lang w:eastAsia="zh-CN"/>
        </w:rPr>
        <w:t>）革命老区转移支付收入1509万元，增长19.57%。</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（9）贫困地区转移支付收入4522万元，增长5.63%。</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（10）公共安全共同财政事权转移支付收入902万元，增长16.24%。</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（11）教育共同财政事权转移支付收入13302万元，增长10.01%。</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12</w:t>
      </w:r>
      <w:r>
        <w:rPr>
          <w:rFonts w:hint="eastAsia" w:ascii="宋体" w:hAnsi="宋体" w:eastAsia="宋体" w:cs="宋体"/>
          <w:sz w:val="32"/>
          <w:szCs w:val="32"/>
          <w:lang w:eastAsia="zh-CN"/>
        </w:rPr>
        <w:t>）文化旅游体育与传媒共同财政事权转移支付收入 1241万元，增长277.2%。</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13）</w:t>
      </w:r>
      <w:r>
        <w:rPr>
          <w:rFonts w:hint="eastAsia" w:ascii="宋体" w:hAnsi="宋体" w:eastAsia="宋体" w:cs="宋体"/>
          <w:sz w:val="32"/>
          <w:szCs w:val="32"/>
          <w:lang w:eastAsia="zh-CN"/>
        </w:rPr>
        <w:t xml:space="preserve"> 社会保障和就业共同财政事权转移支付收入30594万元，增长76.23%。</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14）</w:t>
      </w:r>
      <w:r>
        <w:rPr>
          <w:rFonts w:hint="eastAsia" w:ascii="宋体" w:hAnsi="宋体" w:eastAsia="宋体" w:cs="宋体"/>
          <w:sz w:val="32"/>
          <w:szCs w:val="32"/>
          <w:lang w:eastAsia="zh-CN"/>
        </w:rPr>
        <w:t>医疗卫生共同财政事权转移支付收入 38410万元，下降15.85%。</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15）</w:t>
      </w:r>
      <w:r>
        <w:rPr>
          <w:rFonts w:hint="eastAsia" w:ascii="宋体" w:hAnsi="宋体" w:eastAsia="宋体" w:cs="宋体"/>
          <w:sz w:val="32"/>
          <w:szCs w:val="32"/>
          <w:lang w:eastAsia="zh-CN"/>
        </w:rPr>
        <w:t xml:space="preserve">节能环保共同财政事权转移支付收入 626万元，增长479.63%。 </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16）</w:t>
      </w:r>
      <w:r>
        <w:rPr>
          <w:rFonts w:hint="eastAsia" w:ascii="宋体" w:hAnsi="宋体" w:eastAsia="宋体" w:cs="宋体"/>
          <w:sz w:val="32"/>
          <w:szCs w:val="32"/>
          <w:lang w:eastAsia="zh-CN"/>
        </w:rPr>
        <w:t>农林水共同财政事权转移支付收入38518万元，增长5.48%。</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17）</w:t>
      </w:r>
      <w:r>
        <w:rPr>
          <w:rFonts w:hint="eastAsia" w:ascii="宋体" w:hAnsi="宋体" w:eastAsia="宋体" w:cs="宋体"/>
          <w:sz w:val="32"/>
          <w:szCs w:val="32"/>
          <w:lang w:eastAsia="zh-CN"/>
        </w:rPr>
        <w:t xml:space="preserve">交通运输共同财政事权转移支付收入2792万元，增长15.95%。  </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（18）</w:t>
      </w:r>
      <w:r>
        <w:rPr>
          <w:rFonts w:hint="eastAsia" w:ascii="宋体" w:hAnsi="宋体" w:eastAsia="宋体" w:cs="宋体"/>
          <w:sz w:val="32"/>
          <w:szCs w:val="32"/>
          <w:lang w:eastAsia="zh-CN"/>
        </w:rPr>
        <w:t>住房保障共同财政事权转移支付收入6003万元，增长113.02%。</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19）</w:t>
      </w:r>
      <w:r>
        <w:rPr>
          <w:rFonts w:hint="eastAsia" w:ascii="宋体" w:hAnsi="宋体" w:eastAsia="宋体" w:cs="宋体"/>
          <w:sz w:val="32"/>
          <w:szCs w:val="32"/>
          <w:lang w:eastAsia="zh-CN"/>
        </w:rPr>
        <w:t xml:space="preserve">粮油物资储备共同财政事权转移支付收入141万元，下降24.19%。  </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20）</w:t>
      </w:r>
      <w:r>
        <w:rPr>
          <w:rFonts w:hint="eastAsia" w:ascii="宋体" w:hAnsi="宋体" w:eastAsia="宋体" w:cs="宋体"/>
          <w:sz w:val="32"/>
          <w:szCs w:val="32"/>
          <w:lang w:eastAsia="zh-CN"/>
        </w:rPr>
        <w:t>灾害防治及应急管理共同财政事权转移支付收入750万元，是新增项目。</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21）</w:t>
      </w:r>
      <w:r>
        <w:rPr>
          <w:rFonts w:hint="eastAsia" w:ascii="宋体" w:hAnsi="宋体" w:eastAsia="宋体" w:cs="宋体"/>
          <w:sz w:val="32"/>
          <w:szCs w:val="32"/>
          <w:lang w:eastAsia="zh-CN"/>
        </w:rPr>
        <w:t xml:space="preserve">其他共同财政事权转移支付收入 </w:t>
      </w:r>
      <w:r>
        <w:rPr>
          <w:rFonts w:hint="eastAsia" w:ascii="宋体" w:hAnsi="宋体" w:eastAsia="宋体" w:cs="宋体"/>
          <w:sz w:val="32"/>
          <w:szCs w:val="32"/>
          <w:lang w:val="en-US" w:eastAsia="zh-CN"/>
        </w:rPr>
        <w:t>0万元，下降100%。</w:t>
      </w:r>
      <w:r>
        <w:rPr>
          <w:rFonts w:hint="eastAsia" w:ascii="宋体" w:hAnsi="宋体" w:eastAsia="宋体" w:cs="宋体"/>
          <w:sz w:val="32"/>
          <w:szCs w:val="32"/>
          <w:lang w:eastAsia="zh-CN"/>
        </w:rPr>
        <w:t xml:space="preserve"> </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22）</w:t>
      </w:r>
      <w:r>
        <w:rPr>
          <w:rFonts w:hint="eastAsia" w:ascii="宋体" w:hAnsi="宋体" w:eastAsia="宋体" w:cs="宋体"/>
          <w:sz w:val="32"/>
          <w:szCs w:val="32"/>
          <w:lang w:eastAsia="zh-CN"/>
        </w:rPr>
        <w:t>其他一般性转移支付9016万元，下降75.39%。</w:t>
      </w:r>
    </w:p>
    <w:p>
      <w:pPr>
        <w:pStyle w:val="2"/>
        <w:keepNext w:val="0"/>
        <w:keepLines w:val="0"/>
        <w:pageBreakBefore w:val="0"/>
        <w:kinsoku/>
        <w:wordWrap/>
        <w:overflowPunct/>
        <w:topLinePunct w:val="0"/>
        <w:autoSpaceDE/>
        <w:autoSpaceDN/>
        <w:bidi w:val="0"/>
        <w:adjustRightInd/>
        <w:spacing w:line="240" w:lineRule="auto"/>
        <w:ind w:firstLine="360" w:firstLineChars="200"/>
        <w:jc w:val="left"/>
        <w:textAlignment w:val="auto"/>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1260" w:leftChars="-600" w:right="-630" w:rightChars="-300" w:firstLine="420" w:firstLineChars="200"/>
        <w:jc w:val="center"/>
        <w:textAlignment w:val="auto"/>
        <w:rPr>
          <w:rFonts w:hint="eastAsia" w:ascii="宋体" w:hAnsi="宋体" w:eastAsia="宋体" w:cs="宋体"/>
          <w:sz w:val="32"/>
          <w:szCs w:val="32"/>
        </w:rPr>
      </w:pPr>
      <w:r>
        <w:rPr>
          <w:rFonts w:hint="eastAsia" w:ascii="宋体" w:hAnsi="宋体" w:eastAsia="宋体" w:cs="宋体"/>
        </w:rPr>
        <w:drawing>
          <wp:inline distT="0" distB="0" distL="114300" distR="114300">
            <wp:extent cx="6727825" cy="3465830"/>
            <wp:effectExtent l="4445" t="5080" r="11430" b="15240"/>
            <wp:docPr id="5"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rPr>
      </w:pPr>
    </w:p>
    <w:p>
      <w:pPr>
        <w:pStyle w:val="3"/>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pacing w:line="240" w:lineRule="auto"/>
        <w:ind w:firstLine="643"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专项转移支付情况</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2020年，上级下达我县专项转移支付78235万元，比上年减少17898万元，下降18.62%。</w:t>
      </w:r>
      <w:r>
        <w:rPr>
          <w:rFonts w:hint="eastAsia" w:ascii="宋体" w:hAnsi="宋体" w:eastAsia="宋体" w:cs="宋体"/>
          <w:sz w:val="32"/>
          <w:szCs w:val="32"/>
          <w:lang w:eastAsia="zh-CN"/>
        </w:rPr>
        <w:t>主要是因为</w:t>
      </w:r>
      <w:r>
        <w:rPr>
          <w:rFonts w:hint="eastAsia" w:ascii="宋体" w:hAnsi="宋体" w:eastAsia="宋体" w:cs="宋体"/>
          <w:sz w:val="32"/>
          <w:szCs w:val="32"/>
        </w:rPr>
        <w:t>一般公共服务、文化旅游体育与传媒、资源勘探信息等、商业服务业等、金融、自然资源海洋气象等、住房保障、其他收入增长幅度较大，公共安全、科学技术、社会保障和就业、卫生健康、节能环保、城乡社区、交通运输、粮油物资储备下降幅度较大</w:t>
      </w:r>
      <w:r>
        <w:rPr>
          <w:rFonts w:hint="eastAsia" w:ascii="宋体" w:hAnsi="宋体" w:eastAsia="宋体" w:cs="宋体"/>
          <w:sz w:val="32"/>
          <w:szCs w:val="32"/>
          <w:lang w:eastAsia="zh-CN"/>
        </w:rPr>
        <w:t>。</w:t>
      </w:r>
      <w:r>
        <w:rPr>
          <w:rFonts w:hint="eastAsia" w:ascii="宋体" w:hAnsi="宋体" w:eastAsia="宋体" w:cs="宋体"/>
          <w:sz w:val="32"/>
          <w:szCs w:val="32"/>
        </w:rPr>
        <w:t>具体</w:t>
      </w:r>
      <w:r>
        <w:rPr>
          <w:rFonts w:hint="eastAsia" w:ascii="宋体" w:hAnsi="宋体" w:eastAsia="宋体" w:cs="宋体"/>
          <w:sz w:val="32"/>
          <w:szCs w:val="32"/>
          <w:lang w:eastAsia="zh-CN"/>
        </w:rPr>
        <w:t>明细情况</w:t>
      </w:r>
      <w:r>
        <w:rPr>
          <w:rFonts w:hint="eastAsia" w:ascii="宋体" w:hAnsi="宋体" w:eastAsia="宋体" w:cs="宋体"/>
          <w:sz w:val="32"/>
          <w:szCs w:val="32"/>
        </w:rPr>
        <w:t>如下：</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rPr>
        <w:t>一般公共服务2873万元，增长357.48%。</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rPr>
        <w:t>公共安全128万元，下降78.41%。</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3）</w:t>
      </w:r>
      <w:r>
        <w:rPr>
          <w:rFonts w:hint="eastAsia" w:ascii="宋体" w:hAnsi="宋体" w:eastAsia="宋体" w:cs="宋体"/>
          <w:sz w:val="32"/>
          <w:szCs w:val="32"/>
        </w:rPr>
        <w:t>教育1751万元，下降6.31%。</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4）</w:t>
      </w:r>
      <w:r>
        <w:rPr>
          <w:rFonts w:hint="eastAsia" w:ascii="宋体" w:hAnsi="宋体" w:eastAsia="宋体" w:cs="宋体"/>
          <w:sz w:val="32"/>
          <w:szCs w:val="32"/>
        </w:rPr>
        <w:t>科学技术1013万元，下降29.06%。</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5）</w:t>
      </w:r>
      <w:r>
        <w:rPr>
          <w:rFonts w:hint="eastAsia" w:ascii="宋体" w:hAnsi="宋体" w:eastAsia="宋体" w:cs="宋体"/>
          <w:sz w:val="32"/>
          <w:szCs w:val="32"/>
        </w:rPr>
        <w:t>文化旅游体育与传媒1295万元，增长146.2%。</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6)</w:t>
      </w:r>
      <w:r>
        <w:rPr>
          <w:rFonts w:hint="eastAsia" w:ascii="宋体" w:hAnsi="宋体" w:eastAsia="宋体" w:cs="宋体"/>
          <w:sz w:val="32"/>
          <w:szCs w:val="32"/>
        </w:rPr>
        <w:t>社会保障和就业579万元，下降74.59%。</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7）</w:t>
      </w:r>
      <w:r>
        <w:rPr>
          <w:rFonts w:hint="eastAsia" w:ascii="宋体" w:hAnsi="宋体" w:eastAsia="宋体" w:cs="宋体"/>
          <w:sz w:val="32"/>
          <w:szCs w:val="32"/>
        </w:rPr>
        <w:t>卫生健康2643万元，下降22.72%。</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8）</w:t>
      </w:r>
      <w:r>
        <w:rPr>
          <w:rFonts w:hint="eastAsia" w:ascii="宋体" w:hAnsi="宋体" w:eastAsia="宋体" w:cs="宋体"/>
          <w:sz w:val="32"/>
          <w:szCs w:val="32"/>
        </w:rPr>
        <w:t>节能环保9031万元，下降33.89%。</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9）</w:t>
      </w:r>
      <w:r>
        <w:rPr>
          <w:rFonts w:hint="eastAsia" w:ascii="宋体" w:hAnsi="宋体" w:eastAsia="宋体" w:cs="宋体"/>
          <w:sz w:val="32"/>
          <w:szCs w:val="32"/>
        </w:rPr>
        <w:t>城乡社区286万元，下降78.62%。</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10）</w:t>
      </w:r>
      <w:r>
        <w:rPr>
          <w:rFonts w:hint="eastAsia" w:ascii="宋体" w:hAnsi="宋体" w:eastAsia="宋体" w:cs="宋体"/>
          <w:sz w:val="32"/>
          <w:szCs w:val="32"/>
        </w:rPr>
        <w:t xml:space="preserve">农林水41150万元，下降5.05%。 </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11）</w:t>
      </w:r>
      <w:r>
        <w:rPr>
          <w:rFonts w:hint="eastAsia" w:ascii="宋体" w:hAnsi="宋体" w:eastAsia="宋体" w:cs="宋体"/>
          <w:sz w:val="32"/>
          <w:szCs w:val="32"/>
        </w:rPr>
        <w:t>交通运输4380万元，下降78.59%。</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12）</w:t>
      </w:r>
      <w:r>
        <w:rPr>
          <w:rFonts w:hint="eastAsia" w:ascii="宋体" w:hAnsi="宋体" w:eastAsia="宋体" w:cs="宋体"/>
          <w:sz w:val="32"/>
          <w:szCs w:val="32"/>
        </w:rPr>
        <w:t>资源勘探信息等1535万元，增长5016.67%。</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13）</w:t>
      </w:r>
      <w:r>
        <w:rPr>
          <w:rFonts w:hint="eastAsia" w:ascii="宋体" w:hAnsi="宋体" w:eastAsia="宋体" w:cs="宋体"/>
          <w:sz w:val="32"/>
          <w:szCs w:val="32"/>
        </w:rPr>
        <w:t>商业服务业等1872万元，增长891.8%。</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14）</w:t>
      </w:r>
      <w:r>
        <w:rPr>
          <w:rFonts w:hint="eastAsia" w:ascii="宋体" w:hAnsi="宋体" w:eastAsia="宋体" w:cs="宋体"/>
          <w:sz w:val="32"/>
          <w:szCs w:val="32"/>
        </w:rPr>
        <w:t>金融794万元，增长2953.85%。</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15）</w:t>
      </w:r>
      <w:r>
        <w:rPr>
          <w:rFonts w:hint="eastAsia" w:ascii="宋体" w:hAnsi="宋体" w:eastAsia="宋体" w:cs="宋体"/>
          <w:sz w:val="32"/>
          <w:szCs w:val="32"/>
        </w:rPr>
        <w:t>自然资源海洋气象等728万元，增长246.67%。</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16）</w:t>
      </w:r>
      <w:r>
        <w:rPr>
          <w:rFonts w:hint="eastAsia" w:ascii="宋体" w:hAnsi="宋体" w:eastAsia="宋体" w:cs="宋体"/>
          <w:sz w:val="32"/>
          <w:szCs w:val="32"/>
        </w:rPr>
        <w:t>住房保障5931万元，增长52.08%。</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17）</w:t>
      </w:r>
      <w:r>
        <w:rPr>
          <w:rFonts w:hint="eastAsia" w:ascii="宋体" w:hAnsi="宋体" w:eastAsia="宋体" w:cs="宋体"/>
          <w:sz w:val="32"/>
          <w:szCs w:val="32"/>
        </w:rPr>
        <w:t xml:space="preserve">粮油物资储备303万元，下降76.69%。 </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18）</w:t>
      </w:r>
      <w:r>
        <w:rPr>
          <w:rFonts w:hint="eastAsia" w:ascii="宋体" w:hAnsi="宋体" w:eastAsia="宋体" w:cs="宋体"/>
          <w:sz w:val="32"/>
          <w:szCs w:val="32"/>
        </w:rPr>
        <w:t>灾害防治及应急管理582万元，新增项目。</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19）</w:t>
      </w:r>
      <w:r>
        <w:rPr>
          <w:rFonts w:hint="eastAsia" w:ascii="宋体" w:hAnsi="宋体" w:eastAsia="宋体" w:cs="宋体"/>
          <w:sz w:val="32"/>
          <w:szCs w:val="32"/>
        </w:rPr>
        <w:t>其他收入1361万元，增长783.77%。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60" w:leftChars="-600" w:right="-630" w:rightChars="-300" w:firstLine="640" w:firstLineChars="200"/>
        <w:jc w:val="left"/>
        <w:textAlignment w:val="auto"/>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60" w:leftChars="-600" w:right="-630" w:rightChars="-300" w:firstLine="420" w:firstLineChars="200"/>
        <w:jc w:val="center"/>
        <w:textAlignment w:val="auto"/>
        <w:rPr>
          <w:rFonts w:hint="eastAsia" w:ascii="宋体" w:hAnsi="宋体" w:eastAsia="宋体" w:cs="宋体"/>
          <w:sz w:val="32"/>
          <w:szCs w:val="32"/>
        </w:rPr>
      </w:pPr>
      <w:r>
        <w:rPr>
          <w:rFonts w:hint="eastAsia" w:ascii="宋体" w:hAnsi="宋体" w:eastAsia="宋体" w:cs="宋体"/>
        </w:rPr>
        <w:drawing>
          <wp:inline distT="0" distB="0" distL="114300" distR="114300">
            <wp:extent cx="6571615" cy="3528060"/>
            <wp:effectExtent l="4445" t="4445" r="15240" b="10795"/>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60" w:leftChars="-600" w:right="-630" w:rightChars="-300" w:firstLine="643" w:firstLineChars="200"/>
        <w:jc w:val="left"/>
        <w:textAlignment w:val="auto"/>
        <w:rPr>
          <w:rFonts w:hint="eastAsia" w:ascii="宋体" w:hAnsi="宋体" w:eastAsia="宋体" w:cs="宋体"/>
          <w:b/>
          <w:bCs/>
          <w:sz w:val="32"/>
          <w:szCs w:val="32"/>
        </w:rPr>
      </w:pPr>
    </w:p>
    <w:p>
      <w:pPr>
        <w:keepNext w:val="0"/>
        <w:keepLines w:val="0"/>
        <w:pageBreakBefore w:val="0"/>
        <w:numPr>
          <w:ilvl w:val="0"/>
          <w:numId w:val="2"/>
        </w:numPr>
        <w:kinsoku/>
        <w:wordWrap/>
        <w:overflowPunct/>
        <w:topLinePunct w:val="0"/>
        <w:autoSpaceDE/>
        <w:autoSpaceDN/>
        <w:bidi w:val="0"/>
        <w:adjustRightInd/>
        <w:spacing w:line="240" w:lineRule="auto"/>
        <w:ind w:firstLine="643" w:firstLineChars="200"/>
        <w:jc w:val="left"/>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政府性基金预算转移支付</w:t>
      </w:r>
    </w:p>
    <w:p>
      <w:pPr>
        <w:pStyle w:val="2"/>
        <w:keepNext w:val="0"/>
        <w:keepLines w:val="0"/>
        <w:pageBreakBefore w:val="0"/>
        <w:numPr>
          <w:ilvl w:val="0"/>
          <w:numId w:val="0"/>
        </w:numPr>
        <w:kinsoku/>
        <w:wordWrap/>
        <w:overflowPunct/>
        <w:topLinePunct w:val="0"/>
        <w:autoSpaceDE/>
        <w:autoSpaceDN/>
        <w:bidi w:val="0"/>
        <w:adjustRightInd/>
        <w:spacing w:line="240" w:lineRule="auto"/>
        <w:ind w:firstLine="360" w:firstLineChars="200"/>
        <w:jc w:val="left"/>
        <w:textAlignment w:val="auto"/>
        <w:rPr>
          <w:rFonts w:hint="eastAsia" w:ascii="宋体" w:hAnsi="宋体" w:eastAsia="宋体" w:cs="宋体"/>
          <w:lang w:eastAsia="zh-CN"/>
        </w:rPr>
      </w:pP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sz w:val="32"/>
          <w:szCs w:val="32"/>
          <w:lang w:val="en-US" w:eastAsia="zh-CN"/>
        </w:rPr>
        <w:t>2020年，我县收到上级下达的政府性基金预算转移支付共11122万元，比上年增加7985万元，增长254.54%，主要是因为：一是因疫情影响，上级新增了</w:t>
      </w:r>
      <w:r>
        <w:rPr>
          <w:rFonts w:hint="eastAsia" w:ascii="宋体" w:hAnsi="宋体" w:eastAsia="宋体" w:cs="宋体"/>
          <w:kern w:val="2"/>
          <w:sz w:val="32"/>
          <w:szCs w:val="32"/>
          <w:lang w:val="en-US" w:eastAsia="zh-CN" w:bidi="ar-SA"/>
        </w:rPr>
        <w:t>抗疫特别国债的转移支付7700万元用于抗疫；二是本年</w:t>
      </w:r>
      <w:r>
        <w:rPr>
          <w:rFonts w:hint="eastAsia" w:ascii="宋体" w:hAnsi="宋体" w:eastAsia="宋体" w:cs="宋体"/>
          <w:sz w:val="32"/>
          <w:szCs w:val="32"/>
          <w:lang w:val="en-US" w:eastAsia="zh-CN"/>
        </w:rPr>
        <w:t>国家重大水利工程建设基金转移支付增加很大</w:t>
      </w:r>
      <w:r>
        <w:rPr>
          <w:rFonts w:hint="eastAsia" w:ascii="宋体" w:hAnsi="宋体" w:eastAsia="宋体" w:cs="宋体"/>
          <w:kern w:val="2"/>
          <w:sz w:val="32"/>
          <w:szCs w:val="32"/>
          <w:lang w:val="en-US" w:eastAsia="zh-CN" w:bidi="ar-SA"/>
        </w:rPr>
        <w:t>。具体明细情况如下：</w:t>
      </w:r>
    </w:p>
    <w:p>
      <w:pPr>
        <w:pStyle w:val="2"/>
        <w:keepNext w:val="0"/>
        <w:keepLines w:val="0"/>
        <w:pageBreakBefore w:val="0"/>
        <w:kinsoku/>
        <w:wordWrap/>
        <w:overflowPunct/>
        <w:topLinePunct w:val="0"/>
        <w:autoSpaceDE/>
        <w:autoSpaceDN/>
        <w:bidi w:val="0"/>
        <w:adjustRightInd/>
        <w:spacing w:line="240" w:lineRule="auto"/>
        <w:ind w:firstLine="360" w:firstLineChars="200"/>
        <w:jc w:val="left"/>
        <w:textAlignment w:val="auto"/>
        <w:rPr>
          <w:rFonts w:hint="eastAsia" w:ascii="宋体" w:hAnsi="宋体" w:eastAsia="宋体" w:cs="宋体"/>
          <w:lang w:val="en-US" w:eastAsia="zh-CN"/>
        </w:rPr>
      </w:pPr>
    </w:p>
    <w:p>
      <w:pPr>
        <w:pStyle w:val="2"/>
        <w:keepNext w:val="0"/>
        <w:keepLines w:val="0"/>
        <w:pageBreakBefore w:val="0"/>
        <w:widowControl w:val="0"/>
        <w:numPr>
          <w:ilvl w:val="0"/>
          <w:numId w:val="3"/>
        </w:numPr>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国家电影事业发展专项资金相关收入10万元，下降      70.59%。</w:t>
      </w:r>
    </w:p>
    <w:p>
      <w:pPr>
        <w:pStyle w:val="3"/>
        <w:keepNext w:val="0"/>
        <w:keepLines w:val="0"/>
        <w:pageBreakBefore w:val="0"/>
        <w:widowControl w:val="0"/>
        <w:numPr>
          <w:ilvl w:val="0"/>
          <w:numId w:val="3"/>
        </w:numPr>
        <w:kinsoku/>
        <w:wordWrap/>
        <w:overflowPunct/>
        <w:topLinePunct w:val="0"/>
        <w:autoSpaceDE/>
        <w:autoSpaceDN/>
        <w:bidi w:val="0"/>
        <w:adjustRightInd/>
        <w:spacing w:line="240" w:lineRule="auto"/>
        <w:ind w:left="0" w:leftChars="0"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大中型水库移民后期扶持基金收入219万元，增长 53.15%。</w:t>
      </w:r>
    </w:p>
    <w:p>
      <w:pPr>
        <w:pStyle w:val="3"/>
        <w:keepNext w:val="0"/>
        <w:keepLines w:val="0"/>
        <w:pageBreakBefore w:val="0"/>
        <w:widowControl w:val="0"/>
        <w:numPr>
          <w:ilvl w:val="0"/>
          <w:numId w:val="3"/>
        </w:numPr>
        <w:kinsoku/>
        <w:wordWrap/>
        <w:overflowPunct/>
        <w:topLinePunct w:val="0"/>
        <w:autoSpaceDE/>
        <w:autoSpaceDN/>
        <w:bidi w:val="0"/>
        <w:adjustRightInd/>
        <w:spacing w:line="240" w:lineRule="auto"/>
        <w:ind w:left="0" w:leftChars="0"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大中型水库库区基金相关收入0万元，下降100%。</w:t>
      </w:r>
    </w:p>
    <w:p>
      <w:pPr>
        <w:pStyle w:val="3"/>
        <w:keepNext w:val="0"/>
        <w:keepLines w:val="0"/>
        <w:pageBreakBefore w:val="0"/>
        <w:widowControl w:val="0"/>
        <w:numPr>
          <w:ilvl w:val="0"/>
          <w:numId w:val="3"/>
        </w:numPr>
        <w:kinsoku/>
        <w:wordWrap/>
        <w:overflowPunct/>
        <w:topLinePunct w:val="0"/>
        <w:autoSpaceDE/>
        <w:autoSpaceDN/>
        <w:bidi w:val="0"/>
        <w:adjustRightInd/>
        <w:spacing w:line="240" w:lineRule="auto"/>
        <w:ind w:left="0" w:leftChars="0"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国家重大水利工程建设基金相关收入2313万元，增长164.21%。</w:t>
      </w:r>
    </w:p>
    <w:p>
      <w:pPr>
        <w:pStyle w:val="3"/>
        <w:keepNext w:val="0"/>
        <w:keepLines w:val="0"/>
        <w:pageBreakBefore w:val="0"/>
        <w:widowControl w:val="0"/>
        <w:numPr>
          <w:ilvl w:val="0"/>
          <w:numId w:val="3"/>
        </w:numPr>
        <w:kinsoku/>
        <w:wordWrap/>
        <w:overflowPunct/>
        <w:topLinePunct w:val="0"/>
        <w:autoSpaceDE/>
        <w:autoSpaceDN/>
        <w:bidi w:val="0"/>
        <w:adjustRightInd/>
        <w:spacing w:line="240" w:lineRule="auto"/>
        <w:ind w:left="0" w:leftChars="0"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彩票发行机构和彩票销售机构的业务费用17万元，与上年持平。</w:t>
      </w:r>
    </w:p>
    <w:p>
      <w:pPr>
        <w:pStyle w:val="3"/>
        <w:keepNext w:val="0"/>
        <w:keepLines w:val="0"/>
        <w:pageBreakBefore w:val="0"/>
        <w:widowControl w:val="0"/>
        <w:numPr>
          <w:ilvl w:val="0"/>
          <w:numId w:val="3"/>
        </w:numPr>
        <w:kinsoku/>
        <w:wordWrap/>
        <w:overflowPunct/>
        <w:topLinePunct w:val="0"/>
        <w:autoSpaceDE/>
        <w:autoSpaceDN/>
        <w:bidi w:val="0"/>
        <w:adjustRightInd/>
        <w:spacing w:line="240" w:lineRule="auto"/>
        <w:ind w:left="0" w:leftChars="0"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彩票公益金收入863万元，减少2056万元，下降70.44%。</w:t>
      </w:r>
    </w:p>
    <w:p>
      <w:pPr>
        <w:pStyle w:val="3"/>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（7）抗疫特别国债收入7700万元，本年新增项目。</w:t>
      </w:r>
    </w:p>
    <w:p>
      <w:pPr>
        <w:pStyle w:val="2"/>
        <w:keepNext w:val="0"/>
        <w:keepLines w:val="0"/>
        <w:pageBreakBefore w:val="0"/>
        <w:widowControl w:val="0"/>
        <w:kinsoku/>
        <w:wordWrap/>
        <w:overflowPunct/>
        <w:topLinePunct w:val="0"/>
        <w:autoSpaceDE/>
        <w:autoSpaceDN/>
        <w:bidi w:val="0"/>
        <w:adjustRightInd/>
        <w:spacing w:line="240" w:lineRule="auto"/>
        <w:ind w:left="-630" w:leftChars="-300" w:firstLine="640" w:firstLineChars="200"/>
        <w:jc w:val="left"/>
        <w:textAlignment w:val="auto"/>
        <w:rPr>
          <w:rFonts w:hint="eastAsia" w:ascii="宋体" w:hAnsi="宋体" w:eastAsia="宋体" w:cs="宋体"/>
          <w:sz w:val="32"/>
          <w:szCs w:val="32"/>
        </w:rPr>
      </w:pPr>
    </w:p>
    <w:p>
      <w:pPr>
        <w:pStyle w:val="3"/>
        <w:keepNext w:val="0"/>
        <w:keepLines w:val="0"/>
        <w:pageBreakBefore w:val="0"/>
        <w:widowControl w:val="0"/>
        <w:kinsoku/>
        <w:wordWrap/>
        <w:overflowPunct/>
        <w:topLinePunct w:val="0"/>
        <w:autoSpaceDE/>
        <w:autoSpaceDN/>
        <w:bidi w:val="0"/>
        <w:adjustRightInd/>
        <w:spacing w:line="240" w:lineRule="auto"/>
        <w:ind w:left="-630" w:leftChars="-300" w:firstLine="420" w:firstLineChars="200"/>
        <w:jc w:val="center"/>
        <w:textAlignment w:val="auto"/>
        <w:rPr>
          <w:rFonts w:hint="eastAsia" w:ascii="宋体" w:hAnsi="宋体" w:eastAsia="宋体" w:cs="宋体"/>
        </w:rPr>
      </w:pPr>
      <w:r>
        <w:rPr>
          <w:rFonts w:hint="eastAsia" w:ascii="宋体" w:hAnsi="宋体" w:eastAsia="宋体" w:cs="宋体"/>
        </w:rPr>
        <w:drawing>
          <wp:inline distT="0" distB="0" distL="114300" distR="114300">
            <wp:extent cx="6207125" cy="3126105"/>
            <wp:effectExtent l="4445" t="4445" r="17780" b="1270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rPr>
          <w:rFonts w:hint="eastAsia" w:ascii="宋体" w:hAnsi="宋体" w:eastAsia="宋体" w:cs="宋体"/>
        </w:rPr>
      </w:pPr>
    </w:p>
    <w:p>
      <w:pPr>
        <w:pStyle w:val="2"/>
        <w:rPr>
          <w:rFonts w:hint="eastAsia" w:ascii="宋体" w:hAnsi="宋体" w:eastAsia="宋体" w:cs="宋体"/>
        </w:rPr>
      </w:pPr>
    </w:p>
    <w:p>
      <w:pPr>
        <w:pStyle w:val="3"/>
        <w:rPr>
          <w:rFonts w:hint="eastAsia" w:ascii="宋体" w:hAnsi="宋体" w:eastAsia="宋体" w:cs="宋体"/>
        </w:rPr>
      </w:pPr>
    </w:p>
    <w:p>
      <w:pPr>
        <w:pStyle w:val="2"/>
        <w:rPr>
          <w:rFonts w:hint="eastAsia" w:ascii="宋体" w:hAnsi="宋体" w:eastAsia="宋体" w:cs="宋体"/>
        </w:rPr>
      </w:pPr>
    </w:p>
    <w:p>
      <w:pPr>
        <w:pStyle w:val="3"/>
        <w:rPr>
          <w:rFonts w:hint="eastAsia" w:ascii="宋体" w:hAnsi="宋体" w:eastAsia="宋体" w:cs="宋体"/>
        </w:rPr>
      </w:pPr>
    </w:p>
    <w:p>
      <w:pPr>
        <w:rPr>
          <w:rFonts w:hint="eastAsia"/>
        </w:rPr>
      </w:pPr>
    </w:p>
    <w:p>
      <w:pPr>
        <w:rPr>
          <w:rFonts w:hint="eastAsia" w:ascii="宋体" w:hAnsi="宋体" w:eastAsia="宋体" w:cs="宋体"/>
        </w:rPr>
      </w:pPr>
    </w:p>
    <w:p>
      <w:pPr>
        <w:pStyle w:val="2"/>
        <w:rPr>
          <w:rFonts w:hint="eastAsia" w:ascii="宋体" w:hAnsi="宋体" w:eastAsia="宋体" w:cs="宋体"/>
        </w:rPr>
      </w:pPr>
    </w:p>
    <w:p>
      <w:pPr>
        <w:pStyle w:val="3"/>
        <w:rPr>
          <w:rFonts w:hint="eastAsia"/>
        </w:rPr>
      </w:pPr>
    </w:p>
    <w:p>
      <w:pPr>
        <w:keepNext w:val="0"/>
        <w:keepLines w:val="0"/>
        <w:pageBreakBefore w:val="0"/>
        <w:widowControl w:val="0"/>
        <w:numPr>
          <w:ilvl w:val="0"/>
          <w:numId w:val="0"/>
        </w:numPr>
        <w:shd w:val="clear" w:fill="00B0F0"/>
        <w:kinsoku/>
        <w:wordWrap/>
        <w:overflowPunct/>
        <w:topLinePunct w:val="0"/>
        <w:autoSpaceDE/>
        <w:autoSpaceDN/>
        <w:bidi w:val="0"/>
        <w:adjustRightInd/>
        <w:snapToGrid/>
        <w:spacing w:line="240" w:lineRule="auto"/>
        <w:ind w:firstLine="883" w:firstLineChars="200"/>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二、关于2020年南县“三公”经费支出情况说明</w:t>
      </w:r>
    </w:p>
    <w:p>
      <w:pPr>
        <w:keepNext w:val="0"/>
        <w:keepLines w:val="0"/>
        <w:pageBreakBefore w:val="0"/>
        <w:kinsoku/>
        <w:wordWrap/>
        <w:overflowPunct/>
        <w:topLinePunct w:val="0"/>
        <w:autoSpaceDE/>
        <w:autoSpaceDN/>
        <w:bidi w:val="0"/>
        <w:adjustRightInd/>
        <w:spacing w:line="240" w:lineRule="auto"/>
        <w:ind w:left="420" w:leftChars="200" w:firstLine="560" w:firstLineChars="200"/>
        <w:jc w:val="left"/>
        <w:textAlignment w:val="auto"/>
        <w:rPr>
          <w:rFonts w:hint="eastAsia" w:ascii="宋体" w:hAnsi="宋体" w:eastAsia="宋体" w:cs="宋体"/>
        </w:rPr>
      </w:pPr>
      <w:r>
        <w:rPr>
          <w:rFonts w:hint="eastAsia" w:ascii="宋体" w:hAnsi="宋体" w:eastAsia="宋体" w:cs="宋体"/>
          <w:sz w:val="28"/>
          <w:szCs w:val="28"/>
        </w:rPr>
        <w:t xml:space="preserve">  </w:t>
      </w:r>
      <w:r>
        <w:rPr>
          <w:rFonts w:hint="eastAsia" w:ascii="宋体" w:hAnsi="宋体" w:eastAsia="宋体" w:cs="宋体"/>
          <w:sz w:val="30"/>
          <w:szCs w:val="30"/>
        </w:rPr>
        <w:t xml:space="preserve"> </w:t>
      </w: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pacing w:line="240" w:lineRule="auto"/>
        <w:ind w:left="300" w:firstLine="602" w:firstLineChars="200"/>
        <w:jc w:val="left"/>
        <w:textAlignment w:val="auto"/>
        <w:rPr>
          <w:rFonts w:hint="eastAsia" w:ascii="宋体" w:hAnsi="宋体" w:eastAsia="宋体" w:cs="宋体"/>
          <w:b/>
          <w:sz w:val="30"/>
          <w:szCs w:val="30"/>
        </w:rPr>
      </w:pPr>
      <w:r>
        <w:rPr>
          <w:rFonts w:hint="eastAsia" w:ascii="宋体" w:hAnsi="宋体" w:eastAsia="宋体" w:cs="宋体"/>
          <w:b/>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2020年，县本级一般公共预算“三公经费”决算数为973万元，为预算数986万元的98.68%。其中：</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lang w:val="en-US" w:eastAsia="zh-CN"/>
        </w:rPr>
        <w:t>1、</w:t>
      </w:r>
      <w:r>
        <w:rPr>
          <w:rFonts w:hint="eastAsia" w:ascii="宋体" w:hAnsi="宋体" w:eastAsia="宋体" w:cs="宋体"/>
          <w:color w:val="000000" w:themeColor="text1"/>
          <w:kern w:val="0"/>
          <w:sz w:val="32"/>
          <w:szCs w:val="32"/>
        </w:rPr>
        <w:t>公务接待费410万元，</w:t>
      </w:r>
      <w:r>
        <w:rPr>
          <w:rFonts w:hint="eastAsia" w:ascii="宋体" w:hAnsi="宋体" w:eastAsia="宋体" w:cs="宋体"/>
          <w:color w:val="000000" w:themeColor="text1"/>
          <w:kern w:val="0"/>
          <w:sz w:val="32"/>
          <w:szCs w:val="32"/>
          <w:lang w:eastAsia="zh-CN"/>
        </w:rPr>
        <w:t>完成</w:t>
      </w:r>
      <w:r>
        <w:rPr>
          <w:rFonts w:hint="eastAsia" w:ascii="宋体" w:hAnsi="宋体" w:eastAsia="宋体" w:cs="宋体"/>
          <w:color w:val="000000" w:themeColor="text1"/>
          <w:kern w:val="0"/>
          <w:sz w:val="32"/>
          <w:szCs w:val="32"/>
        </w:rPr>
        <w:t>预算数420万元的97.62%。</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lang w:val="en-US" w:eastAsia="zh-CN"/>
        </w:rPr>
        <w:t>2、</w:t>
      </w:r>
      <w:r>
        <w:rPr>
          <w:rFonts w:hint="eastAsia" w:ascii="宋体" w:hAnsi="宋体" w:eastAsia="宋体" w:cs="宋体"/>
          <w:color w:val="000000" w:themeColor="text1"/>
          <w:kern w:val="0"/>
          <w:sz w:val="32"/>
          <w:szCs w:val="32"/>
        </w:rPr>
        <w:t>因公出国（境）费0万元，</w:t>
      </w:r>
      <w:r>
        <w:rPr>
          <w:rFonts w:hint="eastAsia" w:ascii="宋体" w:hAnsi="宋体" w:eastAsia="宋体" w:cs="宋体"/>
          <w:color w:val="000000" w:themeColor="text1"/>
          <w:kern w:val="0"/>
          <w:sz w:val="32"/>
          <w:szCs w:val="32"/>
          <w:lang w:eastAsia="zh-CN"/>
        </w:rPr>
        <w:t>完成</w:t>
      </w:r>
      <w:r>
        <w:rPr>
          <w:rFonts w:hint="eastAsia" w:ascii="宋体" w:hAnsi="宋体" w:eastAsia="宋体" w:cs="宋体"/>
          <w:color w:val="000000" w:themeColor="text1"/>
          <w:kern w:val="0"/>
          <w:sz w:val="32"/>
          <w:szCs w:val="32"/>
        </w:rPr>
        <w:t>预算数0万元的0%。</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lang w:val="en-US" w:eastAsia="zh-CN"/>
        </w:rPr>
        <w:t>3、</w:t>
      </w:r>
      <w:r>
        <w:rPr>
          <w:rFonts w:hint="eastAsia" w:ascii="宋体" w:hAnsi="宋体" w:eastAsia="宋体" w:cs="宋体"/>
          <w:color w:val="000000" w:themeColor="text1"/>
          <w:kern w:val="0"/>
          <w:sz w:val="32"/>
          <w:szCs w:val="32"/>
        </w:rPr>
        <w:t>公务用车购置及运行维护费563万元，</w:t>
      </w:r>
      <w:r>
        <w:rPr>
          <w:rFonts w:hint="eastAsia" w:ascii="宋体" w:hAnsi="宋体" w:eastAsia="宋体" w:cs="宋体"/>
          <w:color w:val="000000" w:themeColor="text1"/>
          <w:kern w:val="0"/>
          <w:sz w:val="32"/>
          <w:szCs w:val="32"/>
          <w:lang w:eastAsia="zh-CN"/>
        </w:rPr>
        <w:t>完成</w:t>
      </w:r>
      <w:r>
        <w:rPr>
          <w:rFonts w:hint="eastAsia" w:ascii="宋体" w:hAnsi="宋体" w:eastAsia="宋体" w:cs="宋体"/>
          <w:color w:val="000000" w:themeColor="text1"/>
          <w:kern w:val="0"/>
          <w:sz w:val="32"/>
          <w:szCs w:val="32"/>
        </w:rPr>
        <w:t>预算数566万元的99.47%。</w:t>
      </w:r>
    </w:p>
    <w:p>
      <w:pPr>
        <w:pStyle w:val="2"/>
        <w:ind w:firstLine="1280" w:firstLineChars="400"/>
        <w:rPr>
          <w:rFonts w:hint="default" w:eastAsia="宋体"/>
          <w:lang w:val="en-US" w:eastAsia="zh-CN"/>
        </w:rPr>
      </w:pPr>
      <w:r>
        <w:rPr>
          <w:rFonts w:hint="eastAsia" w:ascii="宋体" w:hAnsi="宋体" w:eastAsia="宋体" w:cs="宋体"/>
          <w:color w:val="000000" w:themeColor="text1"/>
          <w:kern w:val="0"/>
          <w:sz w:val="32"/>
          <w:szCs w:val="32"/>
          <w:lang w:eastAsia="zh-CN"/>
        </w:rPr>
        <w:t>其中：</w:t>
      </w:r>
      <w:r>
        <w:rPr>
          <w:rFonts w:hint="eastAsia" w:ascii="宋体" w:hAnsi="宋体" w:eastAsia="宋体" w:cs="宋体"/>
          <w:color w:val="000000" w:themeColor="text1"/>
          <w:kern w:val="0"/>
          <w:sz w:val="32"/>
          <w:szCs w:val="32"/>
          <w:lang w:val="en-US" w:eastAsia="zh-CN"/>
        </w:rPr>
        <w:t>(1)</w:t>
      </w:r>
      <w:r>
        <w:rPr>
          <w:rFonts w:hint="eastAsia" w:ascii="宋体" w:hAnsi="宋体" w:eastAsia="宋体" w:cs="宋体"/>
          <w:color w:val="000000" w:themeColor="text1"/>
          <w:kern w:val="0"/>
          <w:sz w:val="32"/>
          <w:szCs w:val="32"/>
          <w:lang w:eastAsia="zh-CN"/>
        </w:rPr>
        <w:t>公务用车购置费</w:t>
      </w:r>
      <w:r>
        <w:rPr>
          <w:rFonts w:hint="eastAsia" w:ascii="宋体" w:hAnsi="宋体" w:eastAsia="宋体" w:cs="宋体"/>
          <w:color w:val="000000" w:themeColor="text1"/>
          <w:kern w:val="0"/>
          <w:sz w:val="32"/>
          <w:szCs w:val="32"/>
          <w:lang w:val="en-US" w:eastAsia="zh-CN"/>
        </w:rPr>
        <w:t>0万元，占比0%；(2)公务用车运行费563万元，占比100%。</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我县“三公”经费下降主要是各预算单位严格按照中央八项规定和厉行节约要求，从严编列预算，从紧安排开支，确保了只减不增。</w:t>
      </w:r>
    </w:p>
    <w:p>
      <w:pPr>
        <w:keepNext w:val="0"/>
        <w:keepLines w:val="0"/>
        <w:pageBreakBefore w:val="0"/>
        <w:kinsoku/>
        <w:wordWrap/>
        <w:overflowPunct/>
        <w:topLinePunct w:val="0"/>
        <w:autoSpaceDE/>
        <w:autoSpaceDN/>
        <w:bidi w:val="0"/>
        <w:adjustRightInd/>
        <w:spacing w:line="240" w:lineRule="auto"/>
        <w:ind w:firstLine="723" w:firstLineChars="200"/>
        <w:jc w:val="left"/>
        <w:textAlignment w:val="auto"/>
        <w:rPr>
          <w:rFonts w:hint="eastAsia" w:ascii="宋体" w:hAnsi="宋体" w:eastAsia="宋体" w:cs="宋体"/>
          <w:b/>
          <w:sz w:val="36"/>
          <w:szCs w:val="36"/>
        </w:rPr>
      </w:pPr>
    </w:p>
    <w:p>
      <w:pPr>
        <w:pStyle w:val="2"/>
        <w:rPr>
          <w:rFonts w:hint="eastAsia" w:ascii="宋体" w:hAnsi="宋体" w:eastAsia="宋体" w:cs="宋体"/>
          <w:b w:val="0"/>
          <w:bCs/>
          <w:sz w:val="30"/>
          <w:szCs w:val="30"/>
          <w:lang w:eastAsia="zh-CN"/>
        </w:rPr>
      </w:pPr>
      <w:r>
        <w:rPr>
          <w:rFonts w:hint="eastAsia" w:ascii="宋体" w:hAnsi="宋体" w:eastAsia="宋体" w:cs="宋体"/>
          <w:b w:val="0"/>
          <w:bCs/>
          <w:sz w:val="30"/>
          <w:szCs w:val="30"/>
          <w:lang w:eastAsia="zh-CN"/>
        </w:rPr>
        <w:t>附表：</w:t>
      </w:r>
    </w:p>
    <w:p>
      <w:pPr>
        <w:pStyle w:val="3"/>
        <w:rPr>
          <w:rFonts w:hint="eastAsia"/>
        </w:rPr>
      </w:pPr>
    </w:p>
    <w:p>
      <w:pPr>
        <w:pStyle w:val="2"/>
        <w:keepNext w:val="0"/>
        <w:keepLines w:val="0"/>
        <w:pageBreakBefore w:val="0"/>
        <w:kinsoku/>
        <w:wordWrap/>
        <w:overflowPunct/>
        <w:topLinePunct w:val="0"/>
        <w:autoSpaceDE/>
        <w:autoSpaceDN/>
        <w:bidi w:val="0"/>
        <w:adjustRightInd/>
        <w:spacing w:line="240" w:lineRule="auto"/>
        <w:ind w:firstLine="723" w:firstLineChars="200"/>
        <w:jc w:val="left"/>
        <w:textAlignment w:val="auto"/>
        <w:rPr>
          <w:rFonts w:hint="eastAsia" w:ascii="宋体" w:hAnsi="宋体" w:eastAsia="宋体" w:cs="宋体"/>
          <w:b/>
          <w:sz w:val="36"/>
          <w:szCs w:val="36"/>
        </w:rPr>
        <w:sectPr>
          <w:headerReference r:id="rId3" w:type="default"/>
          <w:footerReference r:id="rId4" w:type="default"/>
          <w:pgSz w:w="16838" w:h="11906" w:orient="landscape"/>
          <w:pgMar w:top="1800" w:right="1440" w:bottom="1800" w:left="1440" w:header="851" w:footer="992" w:gutter="0"/>
          <w:pgNumType w:fmt="decimal"/>
          <w:cols w:space="425" w:num="1"/>
          <w:docGrid w:type="lines" w:linePitch="312" w:charSpace="0"/>
        </w:sectPr>
      </w:pPr>
    </w:p>
    <w:tbl>
      <w:tblPr>
        <w:tblStyle w:val="5"/>
        <w:tblW w:w="11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840"/>
        <w:gridCol w:w="840"/>
        <w:gridCol w:w="915"/>
        <w:gridCol w:w="1005"/>
        <w:gridCol w:w="1020"/>
        <w:gridCol w:w="885"/>
        <w:gridCol w:w="915"/>
        <w:gridCol w:w="1020"/>
        <w:gridCol w:w="855"/>
        <w:gridCol w:w="960"/>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9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2020年“三公”经费决算表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auto"/>
            <w:noWrap/>
            <w:vAlign w:val="top"/>
          </w:tcPr>
          <w:p>
            <w:pPr>
              <w:jc w:val="left"/>
              <w:rPr>
                <w:rFonts w:hint="default" w:ascii="Times New Roman" w:hAnsi="Times New Roman" w:cs="Times New Roman"/>
                <w:i w:val="0"/>
                <w:iCs w:val="0"/>
                <w:color w:val="000000"/>
                <w:sz w:val="22"/>
                <w:szCs w:val="22"/>
                <w:u w:val="none"/>
              </w:rPr>
            </w:pPr>
          </w:p>
        </w:tc>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7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2025"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56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w:t>
            </w:r>
            <w:r>
              <w:rPr>
                <w:rFonts w:hint="eastAsia" w:ascii="宋体" w:hAnsi="宋体" w:eastAsia="宋体" w:cs="宋体"/>
                <w:color w:val="000000" w:themeColor="text1"/>
                <w:kern w:val="0"/>
                <w:sz w:val="18"/>
                <w:szCs w:val="18"/>
              </w:rPr>
              <w:t>维护</w:t>
            </w:r>
            <w:r>
              <w:rPr>
                <w:rFonts w:hint="eastAsia" w:ascii="宋体" w:hAnsi="宋体" w:eastAsia="宋体" w:cs="宋体"/>
                <w:i w:val="0"/>
                <w:iCs w:val="0"/>
                <w:color w:val="000000"/>
                <w:kern w:val="0"/>
                <w:sz w:val="18"/>
                <w:szCs w:val="18"/>
                <w:u w:val="none"/>
                <w:lang w:val="en-US" w:eastAsia="zh-CN" w:bidi="ar"/>
              </w:rPr>
              <w:t>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5"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w:t>
            </w:r>
            <w:r>
              <w:rPr>
                <w:rFonts w:hint="eastAsia" w:ascii="宋体" w:hAnsi="宋体" w:eastAsia="宋体" w:cs="宋体"/>
                <w:color w:val="000000" w:themeColor="text1"/>
                <w:kern w:val="0"/>
                <w:sz w:val="18"/>
                <w:szCs w:val="18"/>
              </w:rPr>
              <w:t>维护</w:t>
            </w:r>
            <w:r>
              <w:rPr>
                <w:rFonts w:hint="eastAsia" w:ascii="宋体" w:hAnsi="宋体" w:eastAsia="宋体" w:cs="宋体"/>
                <w:i w:val="0"/>
                <w:iCs w:val="0"/>
                <w:color w:val="000000"/>
                <w:kern w:val="0"/>
                <w:sz w:val="18"/>
                <w:szCs w:val="18"/>
                <w:u w:val="none"/>
                <w:lang w:val="en-US" w:eastAsia="zh-CN" w:bidi="ar"/>
              </w:rPr>
              <w:t>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8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10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986.00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973.00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420.00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410.00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566.00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563.00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566.00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563.00 </w:t>
            </w:r>
          </w:p>
        </w:tc>
      </w:tr>
    </w:tbl>
    <w:p>
      <w:pPr>
        <w:pStyle w:val="3"/>
        <w:rPr>
          <w:rFonts w:hint="eastAsia"/>
        </w:rPr>
      </w:pPr>
    </w:p>
    <w:p>
      <w:pPr>
        <w:pStyle w:val="3"/>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3"/>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3"/>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3"/>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3"/>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2"/>
        <w:keepNext w:val="0"/>
        <w:keepLines w:val="0"/>
        <w:pageBreakBefore w:val="0"/>
        <w:kinsoku/>
        <w:wordWrap/>
        <w:overflowPunct/>
        <w:topLinePunct w:val="0"/>
        <w:autoSpaceDE/>
        <w:autoSpaceDN/>
        <w:bidi w:val="0"/>
        <w:adjustRightInd/>
        <w:spacing w:line="240" w:lineRule="auto"/>
        <w:ind w:firstLine="360" w:firstLineChars="200"/>
        <w:jc w:val="left"/>
        <w:textAlignment w:val="auto"/>
        <w:rPr>
          <w:rFonts w:hint="eastAsia" w:ascii="宋体" w:hAnsi="宋体" w:eastAsia="宋体" w:cs="宋体"/>
        </w:rPr>
      </w:pPr>
    </w:p>
    <w:p>
      <w:pPr>
        <w:keepNext w:val="0"/>
        <w:keepLines w:val="0"/>
        <w:pageBreakBefore w:val="0"/>
        <w:widowControl w:val="0"/>
        <w:numPr>
          <w:ilvl w:val="0"/>
          <w:numId w:val="1"/>
        </w:numPr>
        <w:shd w:val="clear" w:fill="00B0F0"/>
        <w:kinsoku/>
        <w:wordWrap/>
        <w:overflowPunct/>
        <w:topLinePunct w:val="0"/>
        <w:autoSpaceDE/>
        <w:autoSpaceDN/>
        <w:bidi w:val="0"/>
        <w:adjustRightInd/>
        <w:snapToGrid/>
        <w:spacing w:line="240" w:lineRule="auto"/>
        <w:ind w:left="0" w:leftChars="0" w:firstLine="883" w:firstLineChars="200"/>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关于2020年南县政府债务情况说明</w:t>
      </w:r>
    </w:p>
    <w:p>
      <w:pPr>
        <w:pStyle w:val="2"/>
        <w:keepNext w:val="0"/>
        <w:keepLines w:val="0"/>
        <w:pageBreakBefore w:val="0"/>
        <w:shd w:val="clear" w:fill="00B0F0"/>
        <w:kinsoku/>
        <w:wordWrap/>
        <w:overflowPunct/>
        <w:topLinePunct w:val="0"/>
        <w:autoSpaceDE/>
        <w:autoSpaceDN/>
        <w:bidi w:val="0"/>
        <w:adjustRightInd/>
        <w:spacing w:line="240" w:lineRule="auto"/>
        <w:ind w:firstLine="360" w:firstLineChars="200"/>
        <w:jc w:val="left"/>
        <w:textAlignment w:val="auto"/>
        <w:rPr>
          <w:rFonts w:hint="eastAsia"/>
        </w:rPr>
      </w:pPr>
    </w:p>
    <w:p>
      <w:pPr>
        <w:pStyle w:val="2"/>
        <w:keepNext w:val="0"/>
        <w:keepLines w:val="0"/>
        <w:pageBreakBefore w:val="0"/>
        <w:numPr>
          <w:ilvl w:val="0"/>
          <w:numId w:val="0"/>
        </w:numPr>
        <w:kinsoku/>
        <w:wordWrap/>
        <w:overflowPunct/>
        <w:topLinePunct w:val="0"/>
        <w:autoSpaceDE/>
        <w:autoSpaceDN/>
        <w:bidi w:val="0"/>
        <w:adjustRightInd/>
        <w:spacing w:line="240" w:lineRule="auto"/>
        <w:ind w:leftChars="0" w:firstLine="360" w:firstLineChars="200"/>
        <w:jc w:val="left"/>
        <w:textAlignment w:val="auto"/>
        <w:rPr>
          <w:rFonts w:hint="eastAsia"/>
        </w:rPr>
      </w:pPr>
    </w:p>
    <w:p>
      <w:pPr>
        <w:pStyle w:val="2"/>
        <w:keepNext w:val="0"/>
        <w:keepLines w:val="0"/>
        <w:pageBreakBefore w:val="0"/>
        <w:kinsoku/>
        <w:wordWrap/>
        <w:overflowPunct/>
        <w:topLinePunct w:val="0"/>
        <w:autoSpaceDE/>
        <w:autoSpaceDN/>
        <w:bidi w:val="0"/>
        <w:adjustRightInd/>
        <w:spacing w:line="240" w:lineRule="auto"/>
        <w:ind w:firstLine="360" w:firstLineChars="200"/>
        <w:jc w:val="left"/>
        <w:textAlignment w:val="auto"/>
        <w:rPr>
          <w:rFonts w:hint="eastAsia" w:ascii="宋体" w:hAnsi="宋体" w:eastAsia="宋体" w:cs="宋体"/>
        </w:rPr>
      </w:pPr>
    </w:p>
    <w:p>
      <w:pPr>
        <w:pStyle w:val="2"/>
        <w:keepNext w:val="0"/>
        <w:keepLines w:val="0"/>
        <w:pageBreakBefore w:val="0"/>
        <w:kinsoku/>
        <w:wordWrap/>
        <w:overflowPunct/>
        <w:topLinePunct w:val="0"/>
        <w:autoSpaceDE/>
        <w:autoSpaceDN/>
        <w:bidi w:val="0"/>
        <w:adjustRightInd/>
        <w:spacing w:line="240" w:lineRule="auto"/>
        <w:ind w:firstLine="360" w:firstLineChars="200"/>
        <w:jc w:val="left"/>
        <w:textAlignment w:val="auto"/>
        <w:rPr>
          <w:rFonts w:hint="eastAsia" w:ascii="宋体" w:hAnsi="宋体" w:eastAsia="宋体" w:cs="宋体"/>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2020年，我县地方政府债务限额297051万元，即我县 2019 年政府债务限额 241398万元，加上 2020 年新增债务限额 55653万元，则2020年政府债务限额 297051万元，其中一般债务限额239020万元，专项债务限额58031万元。</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根据上述限额，2020 年我县发行新增债券55652万元，再融资债券 16120万元， 共计71772万元。</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2020年债务还本支出16122万元，其中:一般债务还本支出16122万元，专项债务还本0万元。</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2020年债务付息支出7895万元，其中：一般债务付息支出6869万元，专项债务付息支出1026万元。</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截至 2020 年底，我县地方政府债务余额 297051万元，其中：一般债务余额239020万元，专项债务余额58031万元。控制在中央核定的债务限额 297051万元以内。2020年平均利率3.57%。置换后，根据地方政府债务管理系统数据，所有政府债务均体现为债券。我县存量债务置换，大幅节约了各级政府利息支出，缓解了债务集中到期偿还风险。</w:t>
      </w: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rPr>
      </w:pPr>
    </w:p>
    <w:p>
      <w:pPr>
        <w:pStyle w:val="2"/>
        <w:keepNext w:val="0"/>
        <w:keepLines w:val="0"/>
        <w:pageBreakBefore w:val="0"/>
        <w:kinsoku/>
        <w:wordWrap/>
        <w:overflowPunct/>
        <w:topLinePunct w:val="0"/>
        <w:autoSpaceDE/>
        <w:autoSpaceDN/>
        <w:bidi w:val="0"/>
        <w:adjustRightInd/>
        <w:spacing w:line="240" w:lineRule="auto"/>
        <w:ind w:firstLine="360" w:firstLineChars="200"/>
        <w:jc w:val="center"/>
        <w:textAlignment w:val="auto"/>
        <w:rPr>
          <w:rFonts w:hint="eastAsia" w:ascii="宋体" w:hAnsi="宋体" w:eastAsia="宋体" w:cs="宋体"/>
        </w:rPr>
      </w:pPr>
      <w:r>
        <w:rPr>
          <w:rFonts w:hint="eastAsia" w:ascii="宋体" w:hAnsi="宋体" w:eastAsia="宋体" w:cs="宋体"/>
        </w:rPr>
        <w:drawing>
          <wp:inline distT="0" distB="0" distL="114300" distR="114300">
            <wp:extent cx="5906135" cy="3030220"/>
            <wp:effectExtent l="4445" t="4445" r="13970" b="13335"/>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3"/>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rPr>
      </w:pPr>
    </w:p>
    <w:p>
      <w:pPr>
        <w:pStyle w:val="2"/>
        <w:keepNext w:val="0"/>
        <w:keepLines w:val="0"/>
        <w:pageBreakBefore w:val="0"/>
        <w:kinsoku/>
        <w:wordWrap/>
        <w:overflowPunct/>
        <w:topLinePunct w:val="0"/>
        <w:autoSpaceDE/>
        <w:autoSpaceDN/>
        <w:bidi w:val="0"/>
        <w:adjustRightInd/>
        <w:spacing w:line="240" w:lineRule="auto"/>
        <w:ind w:firstLine="360" w:firstLineChars="200"/>
        <w:jc w:val="left"/>
        <w:textAlignment w:val="auto"/>
        <w:rPr>
          <w:rFonts w:hint="eastAsia" w:ascii="宋体" w:hAnsi="宋体" w:eastAsia="宋体" w:cs="宋体"/>
        </w:rPr>
      </w:pPr>
    </w:p>
    <w:p>
      <w:pPr>
        <w:pStyle w:val="3"/>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rPr>
      </w:pPr>
    </w:p>
    <w:p>
      <w:pPr>
        <w:pStyle w:val="2"/>
        <w:keepNext w:val="0"/>
        <w:keepLines w:val="0"/>
        <w:pageBreakBefore w:val="0"/>
        <w:kinsoku/>
        <w:wordWrap/>
        <w:overflowPunct/>
        <w:topLinePunct w:val="0"/>
        <w:autoSpaceDE/>
        <w:autoSpaceDN/>
        <w:bidi w:val="0"/>
        <w:adjustRightInd/>
        <w:spacing w:line="240" w:lineRule="auto"/>
        <w:ind w:firstLine="360" w:firstLineChars="200"/>
        <w:jc w:val="left"/>
        <w:textAlignment w:val="auto"/>
        <w:rPr>
          <w:rFonts w:hint="eastAsia" w:ascii="宋体" w:hAnsi="宋体" w:eastAsia="宋体" w:cs="宋体"/>
        </w:rPr>
      </w:pPr>
    </w:p>
    <w:p>
      <w:pPr>
        <w:pStyle w:val="3"/>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rPr>
      </w:pPr>
    </w:p>
    <w:p>
      <w:pPr>
        <w:pStyle w:val="2"/>
        <w:keepNext w:val="0"/>
        <w:keepLines w:val="0"/>
        <w:pageBreakBefore w:val="0"/>
        <w:kinsoku/>
        <w:wordWrap/>
        <w:overflowPunct/>
        <w:topLinePunct w:val="0"/>
        <w:autoSpaceDE/>
        <w:autoSpaceDN/>
        <w:bidi w:val="0"/>
        <w:adjustRightInd/>
        <w:spacing w:line="240" w:lineRule="auto"/>
        <w:ind w:firstLine="360" w:firstLineChars="200"/>
        <w:jc w:val="left"/>
        <w:textAlignment w:val="auto"/>
        <w:rPr>
          <w:rFonts w:hint="eastAsia" w:ascii="宋体" w:hAnsi="宋体" w:eastAsia="宋体" w:cs="宋体"/>
        </w:rPr>
      </w:pPr>
    </w:p>
    <w:p>
      <w:pPr>
        <w:keepNext w:val="0"/>
        <w:keepLines w:val="0"/>
        <w:pageBreakBefore w:val="0"/>
        <w:widowControl w:val="0"/>
        <w:shd w:val="clear" w:fill="00B0F0"/>
        <w:kinsoku/>
        <w:wordWrap/>
        <w:overflowPunct/>
        <w:topLinePunct w:val="0"/>
        <w:autoSpaceDE/>
        <w:autoSpaceDN/>
        <w:bidi w:val="0"/>
        <w:adjustRightInd/>
        <w:snapToGrid/>
        <w:spacing w:line="240" w:lineRule="auto"/>
        <w:ind w:firstLine="880" w:firstLineChars="20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四、关于</w:t>
      </w:r>
      <w:r>
        <w:rPr>
          <w:rFonts w:hint="eastAsia" w:ascii="方正小标宋简体" w:hAnsi="方正小标宋简体" w:eastAsia="方正小标宋简体" w:cs="方正小标宋简体"/>
          <w:b/>
          <w:bCs/>
          <w:sz w:val="44"/>
          <w:szCs w:val="44"/>
        </w:rPr>
        <w:t>2020年度南县预算绩效管理工作情况说明</w:t>
      </w:r>
    </w:p>
    <w:p>
      <w:pPr>
        <w:pStyle w:val="2"/>
        <w:keepNext w:val="0"/>
        <w:keepLines w:val="0"/>
        <w:pageBreakBefore w:val="0"/>
        <w:kinsoku/>
        <w:wordWrap/>
        <w:overflowPunct/>
        <w:topLinePunct w:val="0"/>
        <w:autoSpaceDE/>
        <w:autoSpaceDN/>
        <w:bidi w:val="0"/>
        <w:adjustRightInd/>
        <w:spacing w:line="240" w:lineRule="auto"/>
        <w:ind w:firstLine="360" w:firstLineChars="200"/>
        <w:jc w:val="left"/>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2020年，南县财政局预算绩效评价管理股在局党组的正确领导下，着力推进全面实施预算绩效管理。坚持以提升财政资金绩效为主线，以拓宽绩效评价覆盖面为导向，强化绩效评价结果应用，建立完善预算绩效管理体系，积极开展了财政资金预算绩效管理评价工作，取得了一定成绩。</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1、较好的完成了2020年度整体支出及县级专项资金绩效目标申报及批复工作。</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 xml:space="preserve">2020年1月下发了关于《开展2020年度一级预算单位整体支出及本级专项资金预算绩效目标申报工作》的通知，对县一级预算单位整体支出及县本级专项资金绩效目标进行了审核，批复工作已经完成。全年批复的项目支出包括公安、生态、发改、教育等 91个部门（单位）376个项目，涉及资金86279.56万元。实现了预算单位绩效目标申报与部门预算同步管理。 </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2、圆满完成2020年度扶贫项目资金绩效目标申报及审核工作。</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 xml:space="preserve"> 按照财政部及省财政厅的要求，对进入扶贫资金监控系统的2020年度32个扶贫项目,资金共计4807.24万元开展了绩效目标申报和自评填报及审核工作，填报比例及审核率达到100%。</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3、完成了2019年一般公共预算资金的自评工作。</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2020年3月下发了《关于开展2019年度一般公共预算资金绩效自评工作》的通知，对所有部门整体支出和单位项目支出开展绩效自评，提交绩效自评报告。并要求在各单位或财政局的门户网站上进行公示公开，接受公众监督。多层次推进绩效评价结果公开，提高评价工作透明度和结果公信力。</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4、项目重点评价工作情况</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2020年4月份，我们从本级预算安排项目中选择人居环境整治、南县污水治理工程PPP项目等53个重点民生项目开展重点绩效评价工作。共核查专项资金32208.51万元，涵盖预算单位或部门25个。</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5、评价结果反馈与整改</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根据重点绩效评价报告内容，整理出各单位的问题清单（包括存在的问题、涉及金额、原因分析、处理建议）反馈给各预算单位，压实主体责任，由各业务股室监督限期整改到位。</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6、评价结果公示公开</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按照“谁评价谁公开”的原则，我们将第三方绩效评价情况在政府网站上全部公开。并要求各预算单位公开部门整体和专项资金自评情况，做到“非涉密全公开”。</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640" w:firstLineChars="200"/>
        <w:jc w:val="left"/>
        <w:textAlignment w:val="auto"/>
        <w:rPr>
          <w:rFonts w:hint="eastAsia" w:ascii="宋体" w:hAnsi="宋体" w:eastAsia="宋体" w:cs="宋体"/>
          <w:color w:val="000000" w:themeColor="text1"/>
          <w:kern w:val="0"/>
          <w:sz w:val="32"/>
          <w:szCs w:val="32"/>
        </w:rPr>
      </w:pPr>
    </w:p>
    <w:sectPr>
      <w:pgSz w:w="16838" w:h="11906" w:orient="landscape"/>
      <w:pgMar w:top="1803" w:right="1440" w:bottom="1803"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dotted"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45AA2"/>
    <w:multiLevelType w:val="singleLevel"/>
    <w:tmpl w:val="A4F45AA2"/>
    <w:lvl w:ilvl="0" w:tentative="0">
      <w:start w:val="2"/>
      <w:numFmt w:val="chineseCounting"/>
      <w:suff w:val="nothing"/>
      <w:lvlText w:val="（%1）"/>
      <w:lvlJc w:val="left"/>
      <w:rPr>
        <w:rFonts w:hint="eastAsia"/>
      </w:rPr>
    </w:lvl>
  </w:abstractNum>
  <w:abstractNum w:abstractNumId="1">
    <w:nsid w:val="033E7D4E"/>
    <w:multiLevelType w:val="singleLevel"/>
    <w:tmpl w:val="033E7D4E"/>
    <w:lvl w:ilvl="0" w:tentative="0">
      <w:start w:val="1"/>
      <w:numFmt w:val="decimal"/>
      <w:suff w:val="nothing"/>
      <w:lvlText w:val="（%1）"/>
      <w:lvlJc w:val="left"/>
    </w:lvl>
  </w:abstractNum>
  <w:abstractNum w:abstractNumId="2">
    <w:nsid w:val="3605BBFC"/>
    <w:multiLevelType w:val="singleLevel"/>
    <w:tmpl w:val="3605BBFC"/>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QwNGU5ZmRmYzc1ZjFlYzZmYmQ2YzBmYzdkZTA1NGEifQ=="/>
  </w:docVars>
  <w:rsids>
    <w:rsidRoot w:val="731F1D87"/>
    <w:rsid w:val="002B32B4"/>
    <w:rsid w:val="003E7C2D"/>
    <w:rsid w:val="005877F5"/>
    <w:rsid w:val="006A7BB7"/>
    <w:rsid w:val="007E436B"/>
    <w:rsid w:val="008A2853"/>
    <w:rsid w:val="00B00F4F"/>
    <w:rsid w:val="00F26B55"/>
    <w:rsid w:val="02FE6915"/>
    <w:rsid w:val="04C46A2F"/>
    <w:rsid w:val="0A5C3FA2"/>
    <w:rsid w:val="0C7402CC"/>
    <w:rsid w:val="0C8C682A"/>
    <w:rsid w:val="149C0630"/>
    <w:rsid w:val="15E77FCB"/>
    <w:rsid w:val="171C150C"/>
    <w:rsid w:val="172F175A"/>
    <w:rsid w:val="18865FBE"/>
    <w:rsid w:val="1C1A7700"/>
    <w:rsid w:val="1D176ECA"/>
    <w:rsid w:val="2024256D"/>
    <w:rsid w:val="20F24F11"/>
    <w:rsid w:val="22324DBA"/>
    <w:rsid w:val="22F11CAA"/>
    <w:rsid w:val="28DC02B9"/>
    <w:rsid w:val="2A4F241A"/>
    <w:rsid w:val="2C3916B6"/>
    <w:rsid w:val="2E187120"/>
    <w:rsid w:val="2F43204B"/>
    <w:rsid w:val="314D322A"/>
    <w:rsid w:val="31A35EBA"/>
    <w:rsid w:val="33A04C43"/>
    <w:rsid w:val="33AC66C5"/>
    <w:rsid w:val="33F055C6"/>
    <w:rsid w:val="346B1773"/>
    <w:rsid w:val="34793538"/>
    <w:rsid w:val="34E3791E"/>
    <w:rsid w:val="37390EDC"/>
    <w:rsid w:val="37636201"/>
    <w:rsid w:val="3AA67748"/>
    <w:rsid w:val="3C166A9A"/>
    <w:rsid w:val="3D657ADC"/>
    <w:rsid w:val="3DC71406"/>
    <w:rsid w:val="3E6C798A"/>
    <w:rsid w:val="3FAF1C55"/>
    <w:rsid w:val="41D81893"/>
    <w:rsid w:val="42CA782A"/>
    <w:rsid w:val="437F331A"/>
    <w:rsid w:val="45857AEE"/>
    <w:rsid w:val="4A3E6499"/>
    <w:rsid w:val="4AE40163"/>
    <w:rsid w:val="4BD05960"/>
    <w:rsid w:val="4D0C6327"/>
    <w:rsid w:val="4DAE2DDC"/>
    <w:rsid w:val="4F4A5B78"/>
    <w:rsid w:val="50B97663"/>
    <w:rsid w:val="5275758C"/>
    <w:rsid w:val="54620362"/>
    <w:rsid w:val="56E122AF"/>
    <w:rsid w:val="574F4F4E"/>
    <w:rsid w:val="581C2A0F"/>
    <w:rsid w:val="59230ACB"/>
    <w:rsid w:val="5BB328C6"/>
    <w:rsid w:val="5CCE57E1"/>
    <w:rsid w:val="608B2E0E"/>
    <w:rsid w:val="611D1779"/>
    <w:rsid w:val="62E750E4"/>
    <w:rsid w:val="67AD0940"/>
    <w:rsid w:val="68433C5A"/>
    <w:rsid w:val="68AA2899"/>
    <w:rsid w:val="6C8C3CA0"/>
    <w:rsid w:val="6D6A7A6C"/>
    <w:rsid w:val="6DD1766D"/>
    <w:rsid w:val="702C24BB"/>
    <w:rsid w:val="72D50D77"/>
    <w:rsid w:val="731F1D87"/>
    <w:rsid w:val="7339739F"/>
    <w:rsid w:val="74FA5D9A"/>
    <w:rsid w:val="77EB7040"/>
    <w:rsid w:val="782B77FD"/>
    <w:rsid w:val="797F6FDC"/>
    <w:rsid w:val="79CC4690"/>
    <w:rsid w:val="7D11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8"/>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rPr>
      <w:szCs w:val="24"/>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2&#24180;&#39044;&#20915;&#31639;&#26816;&#26597;\&#20915;&#31639;&#20013;&#22270;&#2663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2&#24180;&#39044;&#20915;&#31639;&#26816;&#26597;\&#20915;&#31639;&#20013;&#22270;&#2663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2&#24180;&#39044;&#20915;&#31639;&#26816;&#26597;\&#20915;&#31639;&#20013;&#22270;&#2663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20&#24180;&#36130;&#25919;&#24635;&#20915;&#31639;&#26680;&#26597;\2020&#24180;&#21335;&#21439;&#25919;&#24220;&#20915;&#31639;&#20844;&#24320;4.25\2020&#24180;&#24230;&#21335;&#21439;&#25919;&#24220;&#20915;&#31639;&#20844;&#2432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22&#24180;&#39044;&#20915;&#31639;&#26816;&#26597;\&#20915;&#31639;&#20013;&#22270;&#266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[决算中图标.xlsx]政府 (2)!数据透视表16</c:name>
    <c:fmtId val="-1"/>
  </c:pivotSource>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latin typeface="楷体" panose="02010609060101010101" charset="-122"/>
                <a:ea typeface="楷体" panose="02010609060101010101" charset="-122"/>
              </a:rPr>
              <a:t>一般公共预算转移支付总体情况（单位：万元）</a:t>
            </a:r>
            <a:endParaRPr sz="1600" b="1">
              <a:latin typeface="楷体" panose="02010609060101010101" charset="-122"/>
              <a:ea typeface="楷体" panose="02010609060101010101" charset="-122"/>
            </a:endParaRPr>
          </a:p>
        </c:rich>
      </c:tx>
      <c:layout>
        <c:manualLayout>
          <c:xMode val="edge"/>
          <c:yMode val="edge"/>
          <c:x val="0.114040746481428"/>
          <c:y val="0.0392678340986269"/>
        </c:manualLayout>
      </c:layout>
      <c:overlay val="0"/>
      <c:spPr>
        <a:noFill/>
        <a:ln>
          <a:noFill/>
        </a:ln>
        <a:effectLst/>
      </c:spPr>
    </c:title>
    <c:autoTitleDeleted val="0"/>
    <c:plotArea>
      <c:layout>
        <c:manualLayout>
          <c:layoutTarget val="inner"/>
          <c:xMode val="edge"/>
          <c:yMode val="edge"/>
          <c:x val="0.0797014632230188"/>
          <c:y val="0.224849982350865"/>
          <c:w val="0.898693901600707"/>
          <c:h val="0.66456053653371"/>
        </c:manualLayout>
      </c:layout>
      <c:barChart>
        <c:barDir val="col"/>
        <c:grouping val="clustered"/>
        <c:varyColors val="0"/>
        <c:ser>
          <c:idx val="0"/>
          <c:order val="0"/>
          <c:tx>
            <c:strRef>
              <c:f>'[决算中图标.xlsx]政府 (2)'!$G$46</c:f>
              <c:strCache>
                <c:ptCount val="1"/>
                <c:pt idx="0">
                  <c:v>汇总</c:v>
                </c:pt>
              </c:strCache>
            </c:strRef>
          </c:tx>
          <c:spPr>
            <a:solidFill>
              <a:schemeClr val="accent1"/>
            </a:solidFill>
            <a:ln>
              <a:noFill/>
            </a:ln>
            <a:effectLst/>
          </c:spPr>
          <c:invertIfNegative val="0"/>
          <c:dPt>
            <c:idx val="1"/>
            <c:invertIfNegative val="0"/>
            <c:bubble3D val="0"/>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'[决算中图标.xlsx]政府 (2)'!$F$47:$F$49</c:f>
              <c:strCache>
                <c:ptCount val="2"/>
                <c:pt idx="0">
                  <c:v>2019年</c:v>
                </c:pt>
                <c:pt idx="1">
                  <c:v>2020年</c:v>
                </c:pt>
              </c:strCache>
            </c:strRef>
          </c:cat>
          <c:val>
            <c:numRef>
              <c:f>'[决算中图标.xlsx]政府 (2)'!$G$47:$G$49</c:f>
              <c:numCache>
                <c:formatCode>General</c:formatCode>
                <c:ptCount val="2"/>
                <c:pt idx="0">
                  <c:v>380480</c:v>
                </c:pt>
                <c:pt idx="1">
                  <c:v>372787</c:v>
                </c:pt>
              </c:numCache>
            </c:numRef>
          </c:val>
        </c:ser>
        <c:dLbls>
          <c:showLegendKey val="0"/>
          <c:showVal val="1"/>
          <c:showCatName val="0"/>
          <c:showSerName val="0"/>
          <c:showPercent val="0"/>
          <c:showBubbleSize val="0"/>
        </c:dLbls>
        <c:gapWidth val="219"/>
        <c:overlap val="-27"/>
        <c:axId val="899658583"/>
        <c:axId val="82322754"/>
      </c:barChart>
      <c:catAx>
        <c:axId val="8996585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322754"/>
        <c:crosses val="autoZero"/>
        <c:auto val="1"/>
        <c:lblAlgn val="ctr"/>
        <c:lblOffset val="100"/>
        <c:noMultiLvlLbl val="0"/>
      </c:catAx>
      <c:valAx>
        <c:axId val="8232275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96585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[决算中图标.xlsx]政府!数据透视表11</c:name>
    <c:fmtId val="-1"/>
  </c:pivotSource>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solidFill>
                  <a:schemeClr val="tx1">
                    <a:lumMod val="65000"/>
                    <a:lumOff val="35000"/>
                  </a:schemeClr>
                </a:solidFill>
                <a:uFillTx/>
                <a:ea typeface="楷体" panose="02010609060101010101" charset="-122"/>
              </a:rPr>
              <a:t>一般性转移支付情况（单位：万元）</a:t>
            </a:r>
            <a:endParaRPr sz="1600" b="1">
              <a:solidFill>
                <a:schemeClr val="tx1">
                  <a:lumMod val="65000"/>
                  <a:lumOff val="35000"/>
                </a:schemeClr>
              </a:solidFill>
              <a:uFillTx/>
              <a:ea typeface="楷体" panose="02010609060101010101" charset="-122"/>
            </a:endParaRPr>
          </a:p>
        </c:rich>
      </c:tx>
      <c:layout/>
      <c:overlay val="0"/>
      <c:spPr>
        <a:noFill/>
        <a:ln>
          <a:noFill/>
        </a:ln>
        <a:effectLst/>
      </c:spPr>
    </c:title>
    <c:autoTitleDeleted val="0"/>
    <c:plotArea>
      <c:layout>
        <c:manualLayout>
          <c:layoutTarget val="inner"/>
          <c:xMode val="edge"/>
          <c:yMode val="edge"/>
          <c:x val="0.115447199101444"/>
          <c:y val="0.115864717806465"/>
          <c:w val="0.780581044499615"/>
          <c:h val="0.539784487357303"/>
        </c:manualLayout>
      </c:layout>
      <c:barChart>
        <c:barDir val="col"/>
        <c:grouping val="clustered"/>
        <c:varyColors val="0"/>
        <c:ser>
          <c:idx val="0"/>
          <c:order val="0"/>
          <c:tx>
            <c:strRef>
              <c:f>[决算中图标.xlsx]政府!$I$4</c:f>
              <c:strCache>
                <c:ptCount val="1"/>
                <c:pt idx="0">
                  <c:v>2019年</c:v>
                </c:pt>
              </c:strCache>
            </c:strRef>
          </c:tx>
          <c:spPr>
            <a:solidFill>
              <a:schemeClr val="accent1"/>
            </a:solidFill>
            <a:ln>
              <a:noFill/>
            </a:ln>
            <a:effectLst/>
          </c:spPr>
          <c:invertIfNegative val="0"/>
          <c:dLbls>
            <c:delete val="1"/>
          </c:dLbls>
          <c:cat>
            <c:strRef>
              <c:f>[决算中图标.xlsx]政府!$H$5:$H$27</c:f>
              <c:strCache>
                <c:ptCount val="22"/>
                <c:pt idx="0">
                  <c:v>产粮(油)大县奖励资金</c:v>
                </c:pt>
                <c:pt idx="1">
                  <c:v>革命老区转移支付收入</c:v>
                </c:pt>
                <c:pt idx="2">
                  <c:v>公共安全共同财政事权转移支付收入</c:v>
                </c:pt>
                <c:pt idx="3">
                  <c:v>固定数额补助</c:v>
                </c:pt>
                <c:pt idx="4">
                  <c:v>交通运输共同财政事权转移支付收入</c:v>
                </c:pt>
                <c:pt idx="5">
                  <c:v>教育共同财政事权转移支付收入</c:v>
                </c:pt>
                <c:pt idx="6">
                  <c:v>节能环保共同财政事权转移支付收入 </c:v>
                </c:pt>
                <c:pt idx="7">
                  <c:v>结算补助收入</c:v>
                </c:pt>
                <c:pt idx="8">
                  <c:v>均衡性转移支付</c:v>
                </c:pt>
                <c:pt idx="9">
                  <c:v>粮油物资储备共同财政事权转移支付收入</c:v>
                </c:pt>
                <c:pt idx="10">
                  <c:v>农林水共同财政事权转移支付收入</c:v>
                </c:pt>
                <c:pt idx="11">
                  <c:v>贫困地区转移支付收入</c:v>
                </c:pt>
                <c:pt idx="12">
                  <c:v>其他共同财政事权转移支付收入  </c:v>
                </c:pt>
                <c:pt idx="13">
                  <c:v>其他一般性转移支付</c:v>
                </c:pt>
                <c:pt idx="14">
                  <c:v>企业事业单位划转补助收入</c:v>
                </c:pt>
                <c:pt idx="15">
                  <c:v>社会保障和就业共同财政事权转移支付收入</c:v>
                </c:pt>
                <c:pt idx="16">
                  <c:v>文化旅游体育与传媒共同财政事权转移支付收入</c:v>
                </c:pt>
                <c:pt idx="17">
                  <c:v>县级基本财力保障机制奖补资金</c:v>
                </c:pt>
                <c:pt idx="18">
                  <c:v>医疗卫生共同财政事权转移支付收入 </c:v>
                </c:pt>
                <c:pt idx="19">
                  <c:v>灾害防治及应急管理共同财政事权转移支付收入</c:v>
                </c:pt>
                <c:pt idx="20">
                  <c:v>重点生态功能区转移支付</c:v>
                </c:pt>
                <c:pt idx="21">
                  <c:v>住房保障共同财政事权转移支付收入</c:v>
                </c:pt>
              </c:strCache>
            </c:strRef>
          </c:cat>
          <c:val>
            <c:numRef>
              <c:f>[决算中图标.xlsx]政府!$I$5:$I$27</c:f>
              <c:numCache>
                <c:formatCode>General</c:formatCode>
                <c:ptCount val="22"/>
                <c:pt idx="0">
                  <c:v>4898</c:v>
                </c:pt>
                <c:pt idx="1">
                  <c:v>1262</c:v>
                </c:pt>
                <c:pt idx="2">
                  <c:v>776</c:v>
                </c:pt>
                <c:pt idx="3">
                  <c:v>21353</c:v>
                </c:pt>
                <c:pt idx="4">
                  <c:v>2408</c:v>
                </c:pt>
                <c:pt idx="5">
                  <c:v>12092</c:v>
                </c:pt>
                <c:pt idx="6">
                  <c:v>108</c:v>
                </c:pt>
                <c:pt idx="7">
                  <c:v>3733</c:v>
                </c:pt>
                <c:pt idx="8">
                  <c:v>66461</c:v>
                </c:pt>
                <c:pt idx="9">
                  <c:v>186</c:v>
                </c:pt>
                <c:pt idx="10">
                  <c:v>36517</c:v>
                </c:pt>
                <c:pt idx="11">
                  <c:v>4281</c:v>
                </c:pt>
                <c:pt idx="12">
                  <c:v>800</c:v>
                </c:pt>
                <c:pt idx="13">
                  <c:v>36629</c:v>
                </c:pt>
                <c:pt idx="14">
                  <c:v>89</c:v>
                </c:pt>
                <c:pt idx="15">
                  <c:v>17360</c:v>
                </c:pt>
                <c:pt idx="16">
                  <c:v>329</c:v>
                </c:pt>
                <c:pt idx="17">
                  <c:v>21558</c:v>
                </c:pt>
                <c:pt idx="18">
                  <c:v>45645</c:v>
                </c:pt>
                <c:pt idx="20">
                  <c:v>5044</c:v>
                </c:pt>
                <c:pt idx="21">
                  <c:v>2818</c:v>
                </c:pt>
              </c:numCache>
            </c:numRef>
          </c:val>
        </c:ser>
        <c:ser>
          <c:idx val="1"/>
          <c:order val="1"/>
          <c:tx>
            <c:strRef>
              <c:f>[决算中图标.xlsx]政府!$J$4</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[决算中图标.xlsx]政府!$H$5:$H$27</c:f>
              <c:strCache>
                <c:ptCount val="22"/>
                <c:pt idx="0">
                  <c:v>产粮(油)大县奖励资金</c:v>
                </c:pt>
                <c:pt idx="1">
                  <c:v>革命老区转移支付收入</c:v>
                </c:pt>
                <c:pt idx="2">
                  <c:v>公共安全共同财政事权转移支付收入</c:v>
                </c:pt>
                <c:pt idx="3">
                  <c:v>固定数额补助</c:v>
                </c:pt>
                <c:pt idx="4">
                  <c:v>交通运输共同财政事权转移支付收入</c:v>
                </c:pt>
                <c:pt idx="5">
                  <c:v>教育共同财政事权转移支付收入</c:v>
                </c:pt>
                <c:pt idx="6">
                  <c:v>节能环保共同财政事权转移支付收入 </c:v>
                </c:pt>
                <c:pt idx="7">
                  <c:v>结算补助收入</c:v>
                </c:pt>
                <c:pt idx="8">
                  <c:v>均衡性转移支付</c:v>
                </c:pt>
                <c:pt idx="9">
                  <c:v>粮油物资储备共同财政事权转移支付收入</c:v>
                </c:pt>
                <c:pt idx="10">
                  <c:v>农林水共同财政事权转移支付收入</c:v>
                </c:pt>
                <c:pt idx="11">
                  <c:v>贫困地区转移支付收入</c:v>
                </c:pt>
                <c:pt idx="12">
                  <c:v>其他共同财政事权转移支付收入  </c:v>
                </c:pt>
                <c:pt idx="13">
                  <c:v>其他一般性转移支付</c:v>
                </c:pt>
                <c:pt idx="14">
                  <c:v>企业事业单位划转补助收入</c:v>
                </c:pt>
                <c:pt idx="15">
                  <c:v>社会保障和就业共同财政事权转移支付收入</c:v>
                </c:pt>
                <c:pt idx="16">
                  <c:v>文化旅游体育与传媒共同财政事权转移支付收入</c:v>
                </c:pt>
                <c:pt idx="17">
                  <c:v>县级基本财力保障机制奖补资金</c:v>
                </c:pt>
                <c:pt idx="18">
                  <c:v>医疗卫生共同财政事权转移支付收入 </c:v>
                </c:pt>
                <c:pt idx="19">
                  <c:v>灾害防治及应急管理共同财政事权转移支付收入</c:v>
                </c:pt>
                <c:pt idx="20">
                  <c:v>重点生态功能区转移支付</c:v>
                </c:pt>
                <c:pt idx="21">
                  <c:v>住房保障共同财政事权转移支付收入</c:v>
                </c:pt>
              </c:strCache>
            </c:strRef>
          </c:cat>
          <c:val>
            <c:numRef>
              <c:f>[决算中图标.xlsx]政府!$J$5:$J$27</c:f>
              <c:numCache>
                <c:formatCode>General</c:formatCode>
                <c:ptCount val="22"/>
                <c:pt idx="0">
                  <c:v>4250</c:v>
                </c:pt>
                <c:pt idx="1">
                  <c:v>1509</c:v>
                </c:pt>
                <c:pt idx="2">
                  <c:v>902</c:v>
                </c:pt>
                <c:pt idx="3">
                  <c:v>21353</c:v>
                </c:pt>
                <c:pt idx="4">
                  <c:v>2792</c:v>
                </c:pt>
                <c:pt idx="5">
                  <c:v>13302</c:v>
                </c:pt>
                <c:pt idx="6">
                  <c:v>626</c:v>
                </c:pt>
                <c:pt idx="7">
                  <c:v>4428</c:v>
                </c:pt>
                <c:pt idx="8">
                  <c:v>65215</c:v>
                </c:pt>
                <c:pt idx="9">
                  <c:v>141</c:v>
                </c:pt>
                <c:pt idx="10">
                  <c:v>38518</c:v>
                </c:pt>
                <c:pt idx="11">
                  <c:v>4522</c:v>
                </c:pt>
                <c:pt idx="12">
                  <c:v>0</c:v>
                </c:pt>
                <c:pt idx="13">
                  <c:v>9016</c:v>
                </c:pt>
                <c:pt idx="14">
                  <c:v>89</c:v>
                </c:pt>
                <c:pt idx="15">
                  <c:v>30594</c:v>
                </c:pt>
                <c:pt idx="16">
                  <c:v>1241</c:v>
                </c:pt>
                <c:pt idx="17">
                  <c:v>47531</c:v>
                </c:pt>
                <c:pt idx="18">
                  <c:v>38410</c:v>
                </c:pt>
                <c:pt idx="19">
                  <c:v>750</c:v>
                </c:pt>
                <c:pt idx="20">
                  <c:v>3360</c:v>
                </c:pt>
                <c:pt idx="21">
                  <c:v>6003</c:v>
                </c:pt>
              </c:numCache>
            </c:numRef>
          </c:val>
        </c:ser>
        <c:dLbls>
          <c:showLegendKey val="0"/>
          <c:showVal val="1"/>
          <c:showCatName val="0"/>
          <c:showSerName val="0"/>
          <c:showPercent val="0"/>
          <c:showBubbleSize val="0"/>
        </c:dLbls>
        <c:gapWidth val="219"/>
        <c:overlap val="-27"/>
        <c:axId val="368481115"/>
        <c:axId val="104271632"/>
      </c:barChart>
      <c:catAx>
        <c:axId val="3684811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crossAx val="104271632"/>
        <c:crosses val="autoZero"/>
        <c:auto val="1"/>
        <c:lblAlgn val="ctr"/>
        <c:lblOffset val="100"/>
        <c:noMultiLvlLbl val="0"/>
      </c:catAx>
      <c:valAx>
        <c:axId val="10427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8481115"/>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[决算中图标.xlsx]政府 (2)!数据透视表14</c:name>
    <c:fmtId val="-1"/>
  </c:pivotSource>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solidFill>
                  <a:schemeClr val="tx1">
                    <a:lumMod val="65000"/>
                    <a:lumOff val="35000"/>
                  </a:schemeClr>
                </a:solidFill>
                <a:uFillTx/>
                <a:ea typeface="楷体" panose="02010609060101010101" charset="-122"/>
              </a:rPr>
              <a:t>专项转移支付明细情况（单位：万元）</a:t>
            </a:r>
            <a:endParaRPr sz="1600" b="1">
              <a:solidFill>
                <a:schemeClr val="tx1">
                  <a:lumMod val="65000"/>
                  <a:lumOff val="35000"/>
                </a:schemeClr>
              </a:solidFill>
              <a:uFillTx/>
              <a:ea typeface="楷体" panose="02010609060101010101" charset="-122"/>
            </a:endParaRPr>
          </a:p>
        </c:rich>
      </c:tx>
      <c:layout/>
      <c:overlay val="0"/>
      <c:spPr>
        <a:noFill/>
        <a:ln>
          <a:noFill/>
        </a:ln>
        <a:effectLst/>
      </c:spPr>
    </c:title>
    <c:autoTitleDeleted val="0"/>
    <c:plotArea>
      <c:layout>
        <c:manualLayout>
          <c:layoutTarget val="inner"/>
          <c:xMode val="edge"/>
          <c:yMode val="edge"/>
          <c:x val="0.0561214953271028"/>
          <c:y val="0.161780243000528"/>
          <c:w val="0.820358255451713"/>
          <c:h val="0.56067089276281"/>
        </c:manualLayout>
      </c:layout>
      <c:barChart>
        <c:barDir val="col"/>
        <c:grouping val="clustered"/>
        <c:varyColors val="0"/>
        <c:ser>
          <c:idx val="0"/>
          <c:order val="0"/>
          <c:tx>
            <c:strRef>
              <c:f>'[决算中图标.xlsx]政府 (2)'!$L$3</c:f>
              <c:strCache>
                <c:ptCount val="1"/>
                <c:pt idx="0">
                  <c:v>2019年</c:v>
                </c:pt>
              </c:strCache>
            </c:strRef>
          </c:tx>
          <c:spPr>
            <a:solidFill>
              <a:schemeClr val="accent1"/>
            </a:solidFill>
            <a:ln>
              <a:noFill/>
            </a:ln>
            <a:effectLst/>
          </c:spPr>
          <c:invertIfNegative val="0"/>
          <c:dLbls>
            <c:delete val="1"/>
          </c:dLbls>
          <c:cat>
            <c:strRef>
              <c:f>'[决算中图标.xlsx]政府 (2)'!$K$4:$K$23</c:f>
              <c:strCache>
                <c:ptCount val="19"/>
                <c:pt idx="0">
                  <c:v>    卫生健康</c:v>
                </c:pt>
                <c:pt idx="1">
                  <c:v>    文化旅游体育与传媒</c:v>
                </c:pt>
                <c:pt idx="2">
                  <c:v>    灾害防治及应急管理</c:v>
                </c:pt>
                <c:pt idx="3">
                  <c:v>    自然资源海洋气象等</c:v>
                </c:pt>
                <c:pt idx="4">
                  <c:v>　　城乡社区</c:v>
                </c:pt>
                <c:pt idx="5">
                  <c:v>　　公共安全</c:v>
                </c:pt>
                <c:pt idx="6">
                  <c:v>　　交通运输</c:v>
                </c:pt>
                <c:pt idx="7">
                  <c:v>　　教育</c:v>
                </c:pt>
                <c:pt idx="8">
                  <c:v>　　节能环保</c:v>
                </c:pt>
                <c:pt idx="9">
                  <c:v>　　金融</c:v>
                </c:pt>
                <c:pt idx="10">
                  <c:v>　　科学技术</c:v>
                </c:pt>
                <c:pt idx="11">
                  <c:v>　　粮油物资储备</c:v>
                </c:pt>
                <c:pt idx="12">
                  <c:v>　　农林水</c:v>
                </c:pt>
                <c:pt idx="13">
                  <c:v>　　其他收入</c:v>
                </c:pt>
                <c:pt idx="14">
                  <c:v>　　商业服务业等</c:v>
                </c:pt>
                <c:pt idx="15">
                  <c:v>　　社会保障和就业</c:v>
                </c:pt>
                <c:pt idx="16">
                  <c:v>　　一般公共服务</c:v>
                </c:pt>
                <c:pt idx="17">
                  <c:v>　　住房保障</c:v>
                </c:pt>
                <c:pt idx="18">
                  <c:v>　　资源勘探信息等</c:v>
                </c:pt>
              </c:strCache>
            </c:strRef>
          </c:cat>
          <c:val>
            <c:numRef>
              <c:f>'[决算中图标.xlsx]政府 (2)'!$L$4:$L$23</c:f>
              <c:numCache>
                <c:formatCode>General</c:formatCode>
                <c:ptCount val="19"/>
                <c:pt idx="0">
                  <c:v>3420</c:v>
                </c:pt>
                <c:pt idx="1">
                  <c:v>526</c:v>
                </c:pt>
                <c:pt idx="3">
                  <c:v>210</c:v>
                </c:pt>
                <c:pt idx="4">
                  <c:v>1338</c:v>
                </c:pt>
                <c:pt idx="5">
                  <c:v>593</c:v>
                </c:pt>
                <c:pt idx="6">
                  <c:v>20456</c:v>
                </c:pt>
                <c:pt idx="7">
                  <c:v>1869</c:v>
                </c:pt>
                <c:pt idx="8">
                  <c:v>13660</c:v>
                </c:pt>
                <c:pt idx="9">
                  <c:v>26</c:v>
                </c:pt>
                <c:pt idx="10">
                  <c:v>1428</c:v>
                </c:pt>
                <c:pt idx="11">
                  <c:v>1300</c:v>
                </c:pt>
                <c:pt idx="12">
                  <c:v>43340</c:v>
                </c:pt>
                <c:pt idx="13">
                  <c:v>154</c:v>
                </c:pt>
                <c:pt idx="14">
                  <c:v>976</c:v>
                </c:pt>
                <c:pt idx="15">
                  <c:v>2279</c:v>
                </c:pt>
                <c:pt idx="16">
                  <c:v>628</c:v>
                </c:pt>
                <c:pt idx="17">
                  <c:v>3900</c:v>
                </c:pt>
                <c:pt idx="18">
                  <c:v>30</c:v>
                </c:pt>
              </c:numCache>
            </c:numRef>
          </c:val>
        </c:ser>
        <c:ser>
          <c:idx val="1"/>
          <c:order val="1"/>
          <c:tx>
            <c:strRef>
              <c:f>'[决算中图标.xlsx]政府 (2)'!$M$3</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'[决算中图标.xlsx]政府 (2)'!$K$4:$K$23</c:f>
              <c:strCache>
                <c:ptCount val="19"/>
                <c:pt idx="0">
                  <c:v>    卫生健康</c:v>
                </c:pt>
                <c:pt idx="1">
                  <c:v>    文化旅游体育与传媒</c:v>
                </c:pt>
                <c:pt idx="2">
                  <c:v>    灾害防治及应急管理</c:v>
                </c:pt>
                <c:pt idx="3">
                  <c:v>    自然资源海洋气象等</c:v>
                </c:pt>
                <c:pt idx="4">
                  <c:v>　　城乡社区</c:v>
                </c:pt>
                <c:pt idx="5">
                  <c:v>　　公共安全</c:v>
                </c:pt>
                <c:pt idx="6">
                  <c:v>　　交通运输</c:v>
                </c:pt>
                <c:pt idx="7">
                  <c:v>　　教育</c:v>
                </c:pt>
                <c:pt idx="8">
                  <c:v>　　节能环保</c:v>
                </c:pt>
                <c:pt idx="9">
                  <c:v>　　金融</c:v>
                </c:pt>
                <c:pt idx="10">
                  <c:v>　　科学技术</c:v>
                </c:pt>
                <c:pt idx="11">
                  <c:v>　　粮油物资储备</c:v>
                </c:pt>
                <c:pt idx="12">
                  <c:v>　　农林水</c:v>
                </c:pt>
                <c:pt idx="13">
                  <c:v>　　其他收入</c:v>
                </c:pt>
                <c:pt idx="14">
                  <c:v>　　商业服务业等</c:v>
                </c:pt>
                <c:pt idx="15">
                  <c:v>　　社会保障和就业</c:v>
                </c:pt>
                <c:pt idx="16">
                  <c:v>　　一般公共服务</c:v>
                </c:pt>
                <c:pt idx="17">
                  <c:v>　　住房保障</c:v>
                </c:pt>
                <c:pt idx="18">
                  <c:v>　　资源勘探信息等</c:v>
                </c:pt>
              </c:strCache>
            </c:strRef>
          </c:cat>
          <c:val>
            <c:numRef>
              <c:f>'[决算中图标.xlsx]政府 (2)'!$M$4:$M$23</c:f>
              <c:numCache>
                <c:formatCode>General</c:formatCode>
                <c:ptCount val="19"/>
                <c:pt idx="0">
                  <c:v>2643</c:v>
                </c:pt>
                <c:pt idx="1">
                  <c:v>1295</c:v>
                </c:pt>
                <c:pt idx="2">
                  <c:v>582</c:v>
                </c:pt>
                <c:pt idx="3">
                  <c:v>728</c:v>
                </c:pt>
                <c:pt idx="4">
                  <c:v>286</c:v>
                </c:pt>
                <c:pt idx="5">
                  <c:v>128</c:v>
                </c:pt>
                <c:pt idx="6">
                  <c:v>4380</c:v>
                </c:pt>
                <c:pt idx="7">
                  <c:v>1751</c:v>
                </c:pt>
                <c:pt idx="8">
                  <c:v>9031</c:v>
                </c:pt>
                <c:pt idx="9">
                  <c:v>794</c:v>
                </c:pt>
                <c:pt idx="10">
                  <c:v>1013</c:v>
                </c:pt>
                <c:pt idx="11">
                  <c:v>303</c:v>
                </c:pt>
                <c:pt idx="12">
                  <c:v>41150</c:v>
                </c:pt>
                <c:pt idx="13">
                  <c:v>1361</c:v>
                </c:pt>
                <c:pt idx="14">
                  <c:v>1872</c:v>
                </c:pt>
                <c:pt idx="15">
                  <c:v>579</c:v>
                </c:pt>
                <c:pt idx="16">
                  <c:v>2873</c:v>
                </c:pt>
                <c:pt idx="17">
                  <c:v>5931</c:v>
                </c:pt>
                <c:pt idx="18">
                  <c:v>1535</c:v>
                </c:pt>
              </c:numCache>
            </c:numRef>
          </c:val>
        </c:ser>
        <c:dLbls>
          <c:showLegendKey val="0"/>
          <c:showVal val="0"/>
          <c:showCatName val="0"/>
          <c:showSerName val="0"/>
          <c:showPercent val="0"/>
          <c:showBubbleSize val="0"/>
        </c:dLbls>
        <c:gapWidth val="219"/>
        <c:overlap val="-27"/>
        <c:axId val="958337724"/>
        <c:axId val="889155103"/>
      </c:barChart>
      <c:catAx>
        <c:axId val="9583377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9155103"/>
        <c:crosses val="autoZero"/>
        <c:auto val="1"/>
        <c:lblAlgn val="ctr"/>
        <c:lblOffset val="100"/>
        <c:noMultiLvlLbl val="0"/>
      </c:catAx>
      <c:valAx>
        <c:axId val="8891551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8337724"/>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[2020年度南县政府决算公开表.xlsx](表30)政府性基金预算转移支付收入决算表!数据透视表1</c:name>
    <c:fmtId val="-1"/>
  </c:pivotSource>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楷体" panose="02010609060101010101" charset="-122"/>
                <a:ea typeface="楷体" panose="02010609060101010101" charset="-122"/>
                <a:cs typeface="楷体" panose="02010609060101010101" charset="-122"/>
                <a:sym typeface="楷体" panose="02010609060101010101" charset="-122"/>
              </a:defRPr>
            </a:pPr>
            <a:r>
              <a:rPr sz="1500" b="1">
                <a:latin typeface="楷体" panose="02010609060101010101" charset="-122"/>
                <a:ea typeface="楷体" panose="02010609060101010101" charset="-122"/>
                <a:cs typeface="楷体" panose="02010609060101010101" charset="-122"/>
                <a:sym typeface="楷体" panose="02010609060101010101" charset="-122"/>
              </a:rPr>
              <a:t>政府性基金预算转移支付明细情况（单位</a:t>
            </a:r>
            <a:r>
              <a:rPr lang="en-US" altLang="zh-CN" sz="1500" b="1">
                <a:latin typeface="楷体" panose="02010609060101010101" charset="-122"/>
                <a:ea typeface="楷体" panose="02010609060101010101" charset="-122"/>
                <a:cs typeface="楷体" panose="02010609060101010101" charset="-122"/>
                <a:sym typeface="楷体" panose="02010609060101010101" charset="-122"/>
              </a:rPr>
              <a:t>:</a:t>
            </a:r>
            <a:r>
              <a:rPr altLang="en-US" sz="1500" b="1">
                <a:latin typeface="楷体" panose="02010609060101010101" charset="-122"/>
                <a:ea typeface="楷体" panose="02010609060101010101" charset="-122"/>
                <a:cs typeface="楷体" panose="02010609060101010101" charset="-122"/>
                <a:sym typeface="楷体" panose="02010609060101010101" charset="-122"/>
              </a:rPr>
              <a:t>万元）</a:t>
            </a:r>
            <a:endParaRPr altLang="en-US" sz="1500" b="1">
              <a:latin typeface="楷体" panose="02010609060101010101" charset="-122"/>
              <a:ea typeface="楷体" panose="02010609060101010101" charset="-122"/>
              <a:cs typeface="楷体" panose="02010609060101010101" charset="-122"/>
              <a:sym typeface="楷体" panose="02010609060101010101" charset="-122"/>
            </a:endParaRPr>
          </a:p>
        </c:rich>
      </c:tx>
      <c:layout/>
      <c:overlay val="0"/>
      <c:spPr>
        <a:noFill/>
        <a:ln>
          <a:noFill/>
        </a:ln>
        <a:effectLst/>
      </c:spPr>
    </c:title>
    <c:autoTitleDeleted val="0"/>
    <c:plotArea>
      <c:layout>
        <c:manualLayout>
          <c:layoutTarget val="inner"/>
          <c:xMode val="edge"/>
          <c:yMode val="edge"/>
          <c:x val="0.220945548163514"/>
          <c:y val="0.160988244670253"/>
          <c:w val="0.61980198680553"/>
          <c:h val="0.348037457660889"/>
        </c:manualLayout>
      </c:layout>
      <c:barChart>
        <c:barDir val="col"/>
        <c:grouping val="clustered"/>
        <c:varyColors val="0"/>
        <c:ser>
          <c:idx val="0"/>
          <c:order val="0"/>
          <c:tx>
            <c:strRef>
              <c:f>'[2020年度南县政府决算公开表.xlsx](表30)政府性基金预算转移支付收入决算表'!$E$15</c:f>
              <c:strCache>
                <c:ptCount val="1"/>
                <c:pt idx="0">
                  <c:v>2019年</c:v>
                </c:pt>
              </c:strCache>
            </c:strRef>
          </c:tx>
          <c:spPr>
            <a:solidFill>
              <a:schemeClr val="accent1"/>
            </a:solidFill>
            <a:ln>
              <a:noFill/>
            </a:ln>
            <a:effectLst/>
          </c:spPr>
          <c:invertIfNegative val="0"/>
          <c:dLbls>
            <c:delete val="1"/>
          </c:dLbls>
          <c:cat>
            <c:strRef>
              <c:f>'[2020年度南县政府决算公开表.xlsx](表30)政府性基金预算转移支付收入决算表'!$D$16:$D$23</c:f>
              <c:strCache>
                <c:ptCount val="7"/>
                <c:pt idx="0">
                  <c:v>彩票发行机构和彩票销售机构的业务费用</c:v>
                </c:pt>
                <c:pt idx="1">
                  <c:v>彩票公益金收入</c:v>
                </c:pt>
                <c:pt idx="2">
                  <c:v>大中型水库库区基金相关收入</c:v>
                </c:pt>
                <c:pt idx="3">
                  <c:v>大中型水库移民后期扶持基金收入</c:v>
                </c:pt>
                <c:pt idx="4">
                  <c:v>国家电影事业发展专项资金相关收入</c:v>
                </c:pt>
                <c:pt idx="5">
                  <c:v>国家重大水利工程建设基金相关收入</c:v>
                </c:pt>
                <c:pt idx="6">
                  <c:v>抗疫特别国债收入</c:v>
                </c:pt>
              </c:strCache>
            </c:strRef>
          </c:cat>
          <c:val>
            <c:numRef>
              <c:f>'[2020年度南县政府决算公开表.xlsx](表30)政府性基金预算转移支付收入决算表'!$E$16:$E$23</c:f>
              <c:numCache>
                <c:formatCode>General</c:formatCode>
                <c:ptCount val="7"/>
                <c:pt idx="0">
                  <c:v>17</c:v>
                </c:pt>
                <c:pt idx="1">
                  <c:v>2919</c:v>
                </c:pt>
                <c:pt idx="2">
                  <c:v>10</c:v>
                </c:pt>
                <c:pt idx="3">
                  <c:v>143</c:v>
                </c:pt>
                <c:pt idx="4">
                  <c:v>34</c:v>
                </c:pt>
                <c:pt idx="5">
                  <c:v>14</c:v>
                </c:pt>
              </c:numCache>
            </c:numRef>
          </c:val>
        </c:ser>
        <c:ser>
          <c:idx val="1"/>
          <c:order val="1"/>
          <c:tx>
            <c:strRef>
              <c:f>'[2020年度南县政府决算公开表.xlsx](表30)政府性基金预算转移支付收入决算表'!$F$15</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楷体" panose="02010609060101010101" charset="-122"/>
                    <a:ea typeface="楷体" panose="02010609060101010101" charset="-122"/>
                    <a:cs typeface="楷体" panose="02010609060101010101" charset="-122"/>
                    <a:sym typeface="楷体" panose="0201060906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'[2020年度南县政府决算公开表.xlsx](表30)政府性基金预算转移支付收入决算表'!$D$16:$D$23</c:f>
              <c:strCache>
                <c:ptCount val="7"/>
                <c:pt idx="0">
                  <c:v>彩票发行机构和彩票销售机构的业务费用</c:v>
                </c:pt>
                <c:pt idx="1">
                  <c:v>彩票公益金收入</c:v>
                </c:pt>
                <c:pt idx="2">
                  <c:v>大中型水库库区基金相关收入</c:v>
                </c:pt>
                <c:pt idx="3">
                  <c:v>大中型水库移民后期扶持基金收入</c:v>
                </c:pt>
                <c:pt idx="4">
                  <c:v>国家电影事业发展专项资金相关收入</c:v>
                </c:pt>
                <c:pt idx="5">
                  <c:v>国家重大水利工程建设基金相关收入</c:v>
                </c:pt>
                <c:pt idx="6">
                  <c:v>抗疫特别国债收入</c:v>
                </c:pt>
              </c:strCache>
            </c:strRef>
          </c:cat>
          <c:val>
            <c:numRef>
              <c:f>'[2020年度南县政府决算公开表.xlsx](表30)政府性基金预算转移支付收入决算表'!$F$16:$F$23</c:f>
              <c:numCache>
                <c:formatCode>General</c:formatCode>
                <c:ptCount val="7"/>
                <c:pt idx="0">
                  <c:v>17</c:v>
                </c:pt>
                <c:pt idx="1">
                  <c:v>863</c:v>
                </c:pt>
                <c:pt idx="3">
                  <c:v>219</c:v>
                </c:pt>
                <c:pt idx="4">
                  <c:v>10</c:v>
                </c:pt>
                <c:pt idx="5">
                  <c:v>2313</c:v>
                </c:pt>
                <c:pt idx="6">
                  <c:v>7700</c:v>
                </c:pt>
              </c:numCache>
            </c:numRef>
          </c:val>
        </c:ser>
        <c:dLbls>
          <c:showLegendKey val="0"/>
          <c:showVal val="0"/>
          <c:showCatName val="0"/>
          <c:showSerName val="0"/>
          <c:showPercent val="0"/>
          <c:showBubbleSize val="0"/>
        </c:dLbls>
        <c:gapWidth val="219"/>
        <c:overlap val="-27"/>
        <c:axId val="33457379"/>
        <c:axId val="743641740"/>
      </c:barChart>
      <c:catAx>
        <c:axId val="3345737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none" spc="0" normalizeH="0" baseline="0">
                <a:solidFill>
                  <a:schemeClr val="tx1">
                    <a:lumMod val="65000"/>
                    <a:lumOff val="35000"/>
                  </a:schemeClr>
                </a:solidFill>
                <a:uFill>
                  <a:solidFill>
                    <a:schemeClr val="tx1">
                      <a:lumMod val="65000"/>
                      <a:lumOff val="35000"/>
                    </a:schemeClr>
                  </a:solidFill>
                </a:uFill>
                <a:latin typeface="楷体" panose="02010609060101010101" charset="-122"/>
                <a:ea typeface="楷体" panose="02010609060101010101" charset="-122"/>
                <a:cs typeface="楷体" panose="02010609060101010101" charset="-122"/>
                <a:sym typeface="楷体" panose="02010609060101010101" charset="-122"/>
              </a:defRPr>
            </a:pPr>
          </a:p>
        </c:txPr>
        <c:crossAx val="743641740"/>
        <c:crosses val="autoZero"/>
        <c:auto val="1"/>
        <c:lblAlgn val="ctr"/>
        <c:lblOffset val="100"/>
        <c:noMultiLvlLbl val="0"/>
      </c:catAx>
      <c:valAx>
        <c:axId val="7436417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 panose="02010609060101010101" charset="-122"/>
                <a:ea typeface="楷体" panose="02010609060101010101" charset="-122"/>
                <a:cs typeface="楷体" panose="02010609060101010101" charset="-122"/>
                <a:sym typeface="楷体" panose="02010609060101010101" charset="-122"/>
              </a:defRPr>
            </a:pPr>
          </a:p>
        </c:txPr>
        <c:crossAx val="33457379"/>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 panose="02010609060101010101" charset="-122"/>
                <a:ea typeface="楷体" panose="02010609060101010101" charset="-122"/>
                <a:cs typeface="楷体" panose="02010609060101010101" charset="-122"/>
                <a:sym typeface="楷体" panose="02010609060101010101"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 panose="02010609060101010101" charset="-122"/>
                <a:ea typeface="楷体" panose="02010609060101010101" charset="-122"/>
                <a:cs typeface="楷体" panose="02010609060101010101" charset="-122"/>
                <a:sym typeface="楷体" panose="02010609060101010101"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 panose="02010609060101010101" charset="-122"/>
              <a:ea typeface="楷体" panose="02010609060101010101" charset="-122"/>
              <a:cs typeface="楷体" panose="02010609060101010101" charset="-122"/>
              <a:sym typeface="楷体" panose="0201060906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楷体" panose="02010609060101010101" charset="-122"/>
          <a:ea typeface="楷体" panose="02010609060101010101" charset="-122"/>
          <a:cs typeface="楷体" panose="02010609060101010101" charset="-122"/>
          <a:sym typeface="楷体" panose="02010609060101010101" charset="-122"/>
        </a:defRPr>
      </a:pPr>
    </a:p>
  </c:txPr>
  <c:externalData r:id="rId1">
    <c:autoUpdate val="0"/>
  </c:externalData>
  <c:extLst>
    <c:ext xmlns:c14="http://schemas.microsoft.com/office/drawing/2007/8/2/chart" uri="{781A3756-C4B2-4CAC-9D66-4F8BD8637D16}">
      <c14:pivotOptions>
        <c14:dropZoneFilter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[决算中图标.xlsx]政府 (2)!数据透视表17</c:name>
    <c:fmtId val="-1"/>
  </c:pivotSource>
  <c:chart>
    <c:title>
      <c:tx>
        <c:rich>
          <a:bodyPr rot="0" spcFirstLastPara="0" vertOverflow="ellipsis" vert="horz" wrap="square" anchor="ctr" anchorCtr="1"/>
          <a:lstStyle/>
          <a:p>
            <a:pPr defTabSz="914400">
              <a:defRPr lang="zh-CN" sz="1800" b="1" i="0" u="none" strike="noStrike" kern="1200" spc="0" baseline="0">
                <a:solidFill>
                  <a:schemeClr val="tx1">
                    <a:lumMod val="65000"/>
                    <a:lumOff val="35000"/>
                  </a:schemeClr>
                </a:solidFill>
                <a:latin typeface="楷体" panose="02010609060101010101" charset="-122"/>
                <a:ea typeface="楷体" panose="02010609060101010101" charset="-122"/>
                <a:cs typeface="楷体" panose="02010609060101010101" charset="-122"/>
                <a:sym typeface="楷体" panose="02010609060101010101" charset="-122"/>
              </a:defRPr>
            </a:pPr>
            <a:r>
              <a:rPr sz="1800" b="1">
                <a:latin typeface="楷体" panose="02010609060101010101" charset="-122"/>
                <a:ea typeface="楷体" panose="02010609060101010101" charset="-122"/>
                <a:cs typeface="楷体" panose="02010609060101010101" charset="-122"/>
                <a:sym typeface="楷体" panose="02010609060101010101" charset="-122"/>
              </a:rPr>
              <a:t>地方政府债务余额情况</a:t>
            </a:r>
            <a:endParaRPr sz="1800" b="1">
              <a:latin typeface="楷体" panose="02010609060101010101" charset="-122"/>
              <a:ea typeface="楷体" panose="02010609060101010101" charset="-122"/>
              <a:cs typeface="楷体" panose="02010609060101010101" charset="-122"/>
              <a:sym typeface="楷体" panose="02010609060101010101" charset="-122"/>
            </a:endParaRPr>
          </a:p>
        </c:rich>
      </c:tx>
      <c:layout>
        <c:manualLayout>
          <c:xMode val="edge"/>
          <c:yMode val="edge"/>
          <c:x val="0.316030534351145"/>
          <c:y val="0.0588550026752274"/>
        </c:manualLayout>
      </c:layout>
      <c:overlay val="0"/>
      <c:spPr>
        <a:noFill/>
        <a:ln>
          <a:noFill/>
        </a:ln>
        <a:effectLst/>
      </c:spPr>
    </c:title>
    <c:autoTitleDeleted val="0"/>
    <c:plotArea>
      <c:layout>
        <c:manualLayout>
          <c:layoutTarget val="inner"/>
          <c:xMode val="edge"/>
          <c:yMode val="edge"/>
          <c:x val="0.0770992366412214"/>
          <c:y val="0.226041175072714"/>
          <c:w val="0.46234096692112"/>
          <c:h val="0.648118423399322"/>
        </c:manualLayout>
      </c:layout>
      <c:pieChart>
        <c:varyColors val="1"/>
        <c:ser>
          <c:idx val="0"/>
          <c:order val="0"/>
          <c:tx>
            <c:strRef>
              <c:f>'[决算中图标.xlsx]政府 (2)'!$G$66</c:f>
              <c:strCache>
                <c:ptCount val="1"/>
                <c:pt idx="0">
                  <c:v>汇总</c:v>
                </c:pt>
              </c:strCache>
            </c:strRef>
          </c:tx>
          <c:spPr/>
          <c:explosion val="0"/>
          <c:dPt>
            <c:idx val="0"/>
            <c:bubble3D val="0"/>
            <c:explosion val="1"/>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820610687022901"/>
                  <c:y val="-0.06688068485821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500" b="1" i="0" u="none" strike="noStrike" kern="1200" baseline="0">
                        <a:solidFill>
                          <a:schemeClr val="tx1">
                            <a:lumMod val="75000"/>
                            <a:lumOff val="25000"/>
                          </a:schemeClr>
                        </a:solidFill>
                        <a:latin typeface="楷体" panose="02010609060101010101" charset="-122"/>
                        <a:ea typeface="楷体" panose="02010609060101010101" charset="-122"/>
                        <a:cs typeface="楷体" panose="02010609060101010101" charset="-122"/>
                        <a:sym typeface="楷体" panose="02010609060101010101" charset="-122"/>
                      </a:defRPr>
                    </a:pPr>
                    <a:r>
                      <a:rPr sz="1500" b="1">
                        <a:latin typeface="楷体" panose="02010609060101010101" charset="-122"/>
                        <a:ea typeface="楷体" panose="02010609060101010101" charset="-122"/>
                        <a:cs typeface="楷体" panose="02010609060101010101" charset="-122"/>
                        <a:sym typeface="楷体" panose="02010609060101010101" charset="-122"/>
                      </a:rPr>
                      <a:t> 19.54%</a:t>
                    </a:r>
                    <a:endParaRPr sz="1500" b="1">
                      <a:latin typeface="楷体" panose="02010609060101010101" charset="-122"/>
                      <a:ea typeface="楷体" panose="02010609060101010101" charset="-122"/>
                      <a:cs typeface="楷体" panose="02010609060101010101" charset="-122"/>
                      <a:sym typeface="楷体" panose="02010609060101010101" charset="-122"/>
                    </a:endParaRPr>
                  </a:p>
                </c:rich>
              </c:tx>
              <c:dLblPos val="outEnd"/>
              <c:showLegendKey val="0"/>
              <c:showVal val="1"/>
              <c:showCatName val="0"/>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500" b="1" i="0" u="none" strike="noStrike" kern="1200" baseline="0">
                    <a:solidFill>
                      <a:schemeClr val="tx1">
                        <a:lumMod val="75000"/>
                        <a:lumOff val="25000"/>
                      </a:schemeClr>
                    </a:solidFill>
                    <a:latin typeface="楷体" panose="02010609060101010101" charset="-122"/>
                    <a:ea typeface="楷体" panose="02010609060101010101" charset="-122"/>
                    <a:cs typeface="楷体" panose="02010609060101010101" charset="-122"/>
                    <a:sym typeface="楷体" panose="02010609060101010101" charset="-122"/>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'[决算中图标.xlsx]政府 (2)'!$F$67:$F$69</c:f>
              <c:strCache>
                <c:ptCount val="2"/>
                <c:pt idx="0">
                  <c:v>一般债务余额</c:v>
                </c:pt>
                <c:pt idx="1">
                  <c:v>专项债务余额</c:v>
                </c:pt>
              </c:strCache>
            </c:strRef>
          </c:cat>
          <c:val>
            <c:numRef>
              <c:f>'[决算中图标.xlsx]政府 (2)'!$G$67:$G$69</c:f>
              <c:numCache>
                <c:formatCode>General</c:formatCode>
                <c:ptCount val="2"/>
                <c:pt idx="0">
                  <c:v>239020</c:v>
                </c:pt>
                <c:pt idx="1">
                  <c:v>58031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500" b="1" i="0" u="none" strike="noStrike" kern="1200" baseline="0">
                <a:solidFill>
                  <a:schemeClr val="tx1">
                    <a:lumMod val="65000"/>
                    <a:lumOff val="35000"/>
                  </a:schemeClr>
                </a:solidFill>
                <a:latin typeface="楷体" panose="02010609060101010101" charset="-122"/>
                <a:ea typeface="楷体" panose="02010609060101010101" charset="-122"/>
                <a:cs typeface="楷体" panose="02010609060101010101" charset="-122"/>
                <a:sym typeface="楷体" panose="02010609060101010101" charset="-122"/>
              </a:defRPr>
            </a:pPr>
          </a:p>
        </c:txPr>
      </c:legendEntry>
      <c:legendEntry>
        <c:idx val="1"/>
        <c:txPr>
          <a:bodyPr rot="0" spcFirstLastPara="0" vertOverflow="ellipsis" vert="horz" wrap="square" anchor="ctr" anchorCtr="1"/>
          <a:lstStyle/>
          <a:p>
            <a:pPr>
              <a:defRPr lang="zh-CN" sz="1500" b="1" i="0" u="none" strike="noStrike" kern="1200" baseline="0">
                <a:solidFill>
                  <a:schemeClr val="tx1">
                    <a:lumMod val="65000"/>
                    <a:lumOff val="35000"/>
                  </a:schemeClr>
                </a:solidFill>
                <a:latin typeface="楷体" panose="02010609060101010101" charset="-122"/>
                <a:ea typeface="楷体" panose="02010609060101010101" charset="-122"/>
                <a:cs typeface="楷体" panose="02010609060101010101" charset="-122"/>
                <a:sym typeface="楷体" panose="02010609060101010101" charset="-122"/>
              </a:defRPr>
            </a:pPr>
          </a:p>
        </c:txPr>
      </c:legendEntry>
      <c:layout/>
      <c:overlay val="0"/>
      <c:spPr>
        <a:noFill/>
        <a:ln>
          <a:noFill/>
        </a:ln>
        <a:effectLst/>
      </c:spPr>
      <c:txPr>
        <a:bodyPr rot="0" spcFirstLastPara="0" vertOverflow="ellipsis" vert="horz" wrap="square" anchor="ctr" anchorCtr="1"/>
        <a:lstStyle/>
        <a:p>
          <a:pPr>
            <a:defRPr lang="zh-CN" sz="1500" b="1" i="0" u="none" strike="noStrike" kern="1200" baseline="0">
              <a:solidFill>
                <a:schemeClr val="tx1">
                  <a:lumMod val="65000"/>
                  <a:lumOff val="35000"/>
                </a:schemeClr>
              </a:solidFill>
              <a:latin typeface="楷体" panose="02010609060101010101" charset="-122"/>
              <a:ea typeface="楷体" panose="02010609060101010101" charset="-122"/>
              <a:cs typeface="楷体" panose="02010609060101010101" charset="-122"/>
              <a:sym typeface="楷体" panose="0201060906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500" b="1">
          <a:latin typeface="楷体" panose="02010609060101010101" charset="-122"/>
          <a:ea typeface="楷体" panose="02010609060101010101" charset="-122"/>
          <a:cs typeface="楷体" panose="02010609060101010101" charset="-122"/>
          <a:sym typeface="楷体" panose="02010609060101010101" charset="-122"/>
        </a:defRPr>
      </a:pPr>
    </a:p>
  </c:txPr>
  <c:externalData r:id="rId1">
    <c:autoUpdate val="0"/>
  </c:externalData>
  <c:extLst>
    <c:ext xmlns:c14="http://schemas.microsoft.com/office/drawing/2007/8/2/chart" uri="{781A3756-C4B2-4CAC-9D66-4F8BD8637D16}">
      <c14:pivotOptions>
        <c14:dropZoneFilter val="1"/>
        <c14:dropZoneCatego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3318</Words>
  <Characters>4086</Characters>
  <Lines>23</Lines>
  <Paragraphs>6</Paragraphs>
  <TotalTime>0</TotalTime>
  <ScaleCrop>false</ScaleCrop>
  <LinksUpToDate>false</LinksUpToDate>
  <CharactersWithSpaces>4148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2022-03-31T07:49:00Z</dcterms:created>
  <dc:creator>Administrator</dc:creator>
  <cp:lastModifiedBy>@wang</cp:lastModifiedBy>
  <dcterms:modified xsi:type="dcterms:W3CDTF">2022-09-02T00:31:18Z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CD275F037BE04C1FB18C3D98B57F2709</vt:lpwstr>
  </property>
</Properties>
</file>