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28"/>
          <w:szCs w:val="28"/>
        </w:rPr>
      </w:pPr>
      <w:bookmarkStart w:id="0" w:name="_GoBack"/>
      <w:bookmarkEnd w:id="0"/>
    </w:p>
    <w:p>
      <w:pPr>
        <w:jc w:val="center"/>
        <w:rPr>
          <w:rFonts w:hint="eastAsia" w:ascii="黑体" w:eastAsia="黑体"/>
          <w:bCs/>
          <w:sz w:val="36"/>
          <w:szCs w:val="36"/>
          <w:lang w:val="en-US" w:eastAsia="zh-CN"/>
        </w:rPr>
      </w:pPr>
      <w:r>
        <w:rPr>
          <w:rFonts w:hint="eastAsia" w:ascii="黑体" w:eastAsia="黑体"/>
          <w:bCs/>
          <w:sz w:val="36"/>
          <w:szCs w:val="36"/>
        </w:rPr>
        <w:t>南县</w:t>
      </w:r>
      <w:r>
        <w:rPr>
          <w:rFonts w:hint="eastAsia" w:ascii="黑体" w:eastAsia="黑体"/>
          <w:bCs/>
          <w:sz w:val="36"/>
          <w:szCs w:val="36"/>
          <w:lang w:val="en-US" w:eastAsia="zh-CN"/>
        </w:rPr>
        <w:t>教育局（本级）</w:t>
      </w:r>
    </w:p>
    <w:p>
      <w:pPr>
        <w:jc w:val="center"/>
        <w:rPr>
          <w:rFonts w:hint="eastAsia" w:ascii="黑体" w:eastAsia="黑体"/>
          <w:bCs/>
          <w:sz w:val="36"/>
          <w:szCs w:val="36"/>
          <w:lang w:val="en-US" w:eastAsia="zh-CN"/>
        </w:rPr>
      </w:pPr>
      <w:r>
        <w:rPr>
          <w:rFonts w:hint="eastAsia" w:ascii="黑体" w:eastAsia="黑体"/>
          <w:bCs/>
          <w:sz w:val="36"/>
          <w:szCs w:val="36"/>
        </w:rPr>
        <w:t>20</w:t>
      </w:r>
      <w:r>
        <w:rPr>
          <w:rFonts w:hint="eastAsia" w:ascii="黑体" w:eastAsia="黑体"/>
          <w:bCs/>
          <w:sz w:val="36"/>
          <w:szCs w:val="36"/>
          <w:lang w:val="en-US" w:eastAsia="zh-CN"/>
        </w:rPr>
        <w:t>22</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4"/>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r>
              <w:rPr>
                <w:rFonts w:hint="eastAsia" w:ascii="宋体" w:hAnsi="宋体"/>
                <w:sz w:val="18"/>
                <w:szCs w:val="18"/>
                <w:lang w:val="en-US" w:eastAsia="zh-CN"/>
              </w:rPr>
              <w:t>6</w:t>
            </w: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TMzZWM3MGQ2MzYxY2JjODNhOTNhNjkxNDQ2YWQifQ=="/>
  </w:docVars>
  <w:rsids>
    <w:rsidRoot w:val="0033711E"/>
    <w:rsid w:val="0033711E"/>
    <w:rsid w:val="00482781"/>
    <w:rsid w:val="00601F09"/>
    <w:rsid w:val="00631D27"/>
    <w:rsid w:val="006E4CC7"/>
    <w:rsid w:val="00843111"/>
    <w:rsid w:val="008714CE"/>
    <w:rsid w:val="00AF1AF9"/>
    <w:rsid w:val="00C84A31"/>
    <w:rsid w:val="00F27ED7"/>
    <w:rsid w:val="10D512DB"/>
    <w:rsid w:val="11EF3BFA"/>
    <w:rsid w:val="27C20BCF"/>
    <w:rsid w:val="3A802F63"/>
    <w:rsid w:val="417716D9"/>
    <w:rsid w:val="4EB1136E"/>
    <w:rsid w:val="5B221A50"/>
    <w:rsid w:val="658D448B"/>
    <w:rsid w:val="68D86B73"/>
    <w:rsid w:val="6CE74E75"/>
    <w:rsid w:val="754C1017"/>
    <w:rsid w:val="7A5372F3"/>
    <w:rsid w:val="7AFD051D"/>
    <w:rsid w:val="7F82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589</Words>
  <Characters>3362</Characters>
  <Lines>28</Lines>
  <Paragraphs>7</Paragraphs>
  <TotalTime>14</TotalTime>
  <ScaleCrop>false</ScaleCrop>
  <LinksUpToDate>false</LinksUpToDate>
  <CharactersWithSpaces>3944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2018-04-22T08:22:00Z</dcterms:created>
  <dc:creator>User</dc:creator>
  <cp:lastModifiedBy>彭博</cp:lastModifiedBy>
  <dcterms:modified xsi:type="dcterms:W3CDTF">2023-03-15T02:35:37Z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93BE64DEF0AE400CA8C6E9A42EE32BA5</vt:lpwstr>
  </property>
</Properties>
</file>