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9E" w:rsidRDefault="0062229E">
      <w:pPr>
        <w:rPr>
          <w:rFonts w:ascii="黑体" w:eastAsia="黑体"/>
          <w:sz w:val="28"/>
          <w:szCs w:val="28"/>
        </w:rPr>
      </w:pPr>
    </w:p>
    <w:p w:rsidR="0062229E" w:rsidRDefault="00954C78">
      <w:pPr>
        <w:jc w:val="center"/>
        <w:rPr>
          <w:rFonts w:ascii="黑体" w:eastAsia="黑体"/>
          <w:bCs/>
          <w:sz w:val="36"/>
          <w:szCs w:val="36"/>
        </w:rPr>
      </w:pPr>
      <w:r>
        <w:rPr>
          <w:rFonts w:ascii="黑体" w:eastAsia="黑体" w:hint="eastAsia"/>
          <w:bCs/>
          <w:sz w:val="36"/>
          <w:szCs w:val="36"/>
        </w:rPr>
        <w:t>南县</w:t>
      </w:r>
      <w:r w:rsidR="006B248A">
        <w:rPr>
          <w:rFonts w:ascii="黑体" w:eastAsia="黑体" w:hint="eastAsia"/>
          <w:bCs/>
          <w:sz w:val="36"/>
          <w:szCs w:val="36"/>
        </w:rPr>
        <w:t>立达中学</w:t>
      </w:r>
    </w:p>
    <w:p w:rsidR="0062229E" w:rsidRDefault="00723C2B">
      <w:pPr>
        <w:jc w:val="center"/>
        <w:rPr>
          <w:rFonts w:ascii="黑体" w:eastAsia="黑体"/>
          <w:bCs/>
          <w:sz w:val="36"/>
          <w:szCs w:val="36"/>
        </w:rPr>
      </w:pPr>
      <w:r>
        <w:rPr>
          <w:rFonts w:ascii="黑体" w:eastAsia="黑体" w:hint="eastAsia"/>
          <w:bCs/>
          <w:sz w:val="36"/>
          <w:szCs w:val="36"/>
        </w:rPr>
        <w:t>2022</w:t>
      </w:r>
      <w:r w:rsidR="00954C78">
        <w:rPr>
          <w:rFonts w:ascii="黑体" w:eastAsia="黑体" w:hint="eastAsia"/>
          <w:bCs/>
          <w:sz w:val="36"/>
          <w:szCs w:val="36"/>
        </w:rPr>
        <w:t>年部门整体支出绩效自评指标计分表</w:t>
      </w:r>
    </w:p>
    <w:p w:rsidR="0062229E" w:rsidRDefault="0062229E">
      <w:pPr>
        <w:spacing w:line="300" w:lineRule="exact"/>
        <w:rPr>
          <w:rFonts w:ascii="黑体" w:eastAsia="黑体"/>
          <w:szCs w:val="32"/>
        </w:rPr>
      </w:pPr>
    </w:p>
    <w:tbl>
      <w:tblPr>
        <w:tblW w:w="0" w:type="auto"/>
        <w:tblInd w:w="-306" w:type="dxa"/>
        <w:tblLayout w:type="fixed"/>
        <w:tblCellMar>
          <w:left w:w="0" w:type="dxa"/>
          <w:right w:w="0" w:type="dxa"/>
        </w:tblCellMar>
        <w:tblLook w:val="04A0"/>
      </w:tblPr>
      <w:tblGrid>
        <w:gridCol w:w="474"/>
        <w:gridCol w:w="632"/>
        <w:gridCol w:w="632"/>
        <w:gridCol w:w="474"/>
        <w:gridCol w:w="2686"/>
        <w:gridCol w:w="4372"/>
      </w:tblGrid>
      <w:tr w:rsidR="0062229E">
        <w:trPr>
          <w:trHeight w:val="567"/>
          <w:tblHeader/>
        </w:trPr>
        <w:tc>
          <w:tcPr>
            <w:tcW w:w="474"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黑体" w:eastAsia="黑体" w:hAnsi="黑体"/>
                <w:bCs/>
                <w:szCs w:val="21"/>
              </w:rPr>
            </w:pPr>
            <w:r>
              <w:rPr>
                <w:rFonts w:ascii="黑体" w:eastAsia="黑体" w:hAnsi="黑体" w:hint="eastAsia"/>
                <w:bCs/>
                <w:szCs w:val="21"/>
              </w:rPr>
              <w:t>一级</w:t>
            </w:r>
            <w:r>
              <w:rPr>
                <w:rFonts w:ascii="黑体" w:eastAsia="黑体" w:hAnsi="黑体" w:hint="eastAsia"/>
                <w:bCs/>
                <w:szCs w:val="21"/>
              </w:rPr>
              <w:br/>
              <w:t>指标</w:t>
            </w:r>
          </w:p>
        </w:tc>
        <w:tc>
          <w:tcPr>
            <w:tcW w:w="63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黑体" w:eastAsia="黑体" w:hAnsi="黑体"/>
                <w:bCs/>
                <w:szCs w:val="21"/>
              </w:rPr>
            </w:pPr>
            <w:r>
              <w:rPr>
                <w:rFonts w:ascii="黑体" w:eastAsia="黑体" w:hAnsi="黑体" w:hint="eastAsia"/>
                <w:bCs/>
                <w:szCs w:val="21"/>
              </w:rPr>
              <w:t>二级指标</w:t>
            </w:r>
          </w:p>
        </w:tc>
        <w:tc>
          <w:tcPr>
            <w:tcW w:w="63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黑体" w:eastAsia="黑体" w:hAnsi="黑体"/>
                <w:bCs/>
                <w:szCs w:val="21"/>
              </w:rPr>
            </w:pPr>
            <w:r>
              <w:rPr>
                <w:rFonts w:ascii="黑体" w:eastAsia="黑体" w:hAnsi="黑体" w:hint="eastAsia"/>
                <w:bCs/>
                <w:szCs w:val="21"/>
              </w:rPr>
              <w:t>三级  指标</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黑体" w:eastAsia="黑体" w:hAnsi="黑体"/>
                <w:bCs/>
                <w:szCs w:val="21"/>
              </w:rPr>
            </w:pPr>
            <w:r>
              <w:rPr>
                <w:rFonts w:ascii="黑体" w:eastAsia="黑体" w:hAnsi="黑体" w:hint="eastAsia"/>
                <w:bCs/>
                <w:szCs w:val="21"/>
              </w:rPr>
              <w:t>自评分</w:t>
            </w:r>
          </w:p>
        </w:tc>
        <w:tc>
          <w:tcPr>
            <w:tcW w:w="268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黑体" w:eastAsia="黑体" w:hAnsi="黑体"/>
                <w:bCs/>
                <w:szCs w:val="21"/>
              </w:rPr>
            </w:pPr>
            <w:r>
              <w:rPr>
                <w:rFonts w:ascii="黑体" w:eastAsia="黑体" w:hAnsi="黑体" w:hint="eastAsia"/>
                <w:bCs/>
                <w:szCs w:val="21"/>
              </w:rPr>
              <w:t>指标解释</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黑体" w:eastAsia="黑体" w:hAnsi="黑体"/>
                <w:bCs/>
                <w:szCs w:val="21"/>
              </w:rPr>
            </w:pPr>
            <w:r>
              <w:rPr>
                <w:rFonts w:ascii="黑体" w:eastAsia="黑体" w:hAnsi="黑体" w:hint="eastAsia"/>
                <w:bCs/>
                <w:szCs w:val="21"/>
              </w:rPr>
              <w:t>指标说明</w:t>
            </w:r>
          </w:p>
        </w:tc>
      </w:tr>
      <w:tr w:rsidR="0062229E">
        <w:trPr>
          <w:trHeight w:val="1327"/>
        </w:trPr>
        <w:tc>
          <w:tcPr>
            <w:tcW w:w="474"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62229E" w:rsidRDefault="00954C78">
            <w:pPr>
              <w:spacing w:line="240" w:lineRule="exact"/>
              <w:jc w:val="center"/>
              <w:rPr>
                <w:rFonts w:ascii="仿宋_GB2312"/>
                <w:szCs w:val="21"/>
              </w:rPr>
            </w:pPr>
            <w:r>
              <w:rPr>
                <w:rFonts w:ascii="仿宋_GB2312" w:hint="eastAsia"/>
                <w:szCs w:val="21"/>
              </w:rPr>
              <w:t>投</w:t>
            </w:r>
            <w:r>
              <w:rPr>
                <w:rFonts w:ascii="仿宋_GB2312" w:hint="eastAsia"/>
                <w:szCs w:val="21"/>
              </w:rPr>
              <w:t xml:space="preserve">   </w:t>
            </w:r>
            <w:r>
              <w:rPr>
                <w:rFonts w:ascii="仿宋_GB2312" w:hint="eastAsia"/>
                <w:szCs w:val="21"/>
              </w:rPr>
              <w:t>入（</w:t>
            </w:r>
            <w:r>
              <w:rPr>
                <w:rFonts w:ascii="仿宋_GB2312" w:hint="eastAsia"/>
                <w:szCs w:val="21"/>
              </w:rPr>
              <w:t>20</w:t>
            </w:r>
            <w:r>
              <w:rPr>
                <w:rFonts w:ascii="仿宋_GB2312" w:hint="eastAsia"/>
                <w:szCs w:val="21"/>
              </w:rPr>
              <w:t>分）</w:t>
            </w:r>
          </w:p>
        </w:tc>
        <w:tc>
          <w:tcPr>
            <w:tcW w:w="63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目标</w:t>
            </w:r>
            <w:r>
              <w:rPr>
                <w:rFonts w:ascii="宋体" w:hAnsi="宋体" w:hint="eastAsia"/>
                <w:sz w:val="18"/>
                <w:szCs w:val="18"/>
              </w:rPr>
              <w:br/>
              <w:t>设定（5分）</w:t>
            </w: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绩效目标合理性（2分）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2</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①符合国家法律法规、国民经济和社会发展总体规划计1分；②符合部门“三定”方案确定的职责计0.5分；③是否符合部门制定的中长期实施规划计0.5分。</w:t>
            </w:r>
          </w:p>
        </w:tc>
      </w:tr>
      <w:tr w:rsidR="0062229E">
        <w:trPr>
          <w:trHeight w:val="1169"/>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宋体" w:hAnsi="宋体"/>
                <w:sz w:val="18"/>
                <w:szCs w:val="18"/>
              </w:rPr>
            </w:pP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绩效指标明确性（3分）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3</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部门依据整体绩效目标所设定的绩效指标是否清晰、细化、可衡量，用以反映和考核部门整</w:t>
            </w:r>
            <w:bookmarkStart w:id="0" w:name="_GoBack"/>
            <w:bookmarkEnd w:id="0"/>
            <w:r>
              <w:rPr>
                <w:rFonts w:ascii="宋体" w:hAnsi="宋体" w:hint="eastAsia"/>
                <w:sz w:val="18"/>
                <w:szCs w:val="18"/>
              </w:rPr>
              <w:t>体绩效目标的明细化情况。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rsidR="0062229E">
        <w:trPr>
          <w:trHeight w:val="1221"/>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预算</w:t>
            </w:r>
            <w:r>
              <w:rPr>
                <w:rFonts w:ascii="宋体" w:hAnsi="宋体" w:hint="eastAsia"/>
                <w:sz w:val="18"/>
                <w:szCs w:val="18"/>
              </w:rPr>
              <w:br/>
              <w:t>配置（15分）</w:t>
            </w: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在职人员控制率（5分）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5</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部门本年度实际在职人员数与编制数的比率，用以反映和考核部门对人员成本的控制程度。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rsidR="0062229E">
        <w:trPr>
          <w:trHeight w:val="1453"/>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宋体" w:hAnsi="宋体"/>
                <w:sz w:val="18"/>
                <w:szCs w:val="18"/>
              </w:rPr>
            </w:pP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“三公经费”</w:t>
            </w:r>
          </w:p>
          <w:p w:rsidR="0062229E" w:rsidRDefault="00954C78">
            <w:pPr>
              <w:spacing w:line="240" w:lineRule="exact"/>
              <w:jc w:val="center"/>
              <w:rPr>
                <w:rFonts w:ascii="宋体" w:hAnsi="宋体"/>
                <w:sz w:val="18"/>
                <w:szCs w:val="18"/>
              </w:rPr>
            </w:pPr>
            <w:r>
              <w:rPr>
                <w:rFonts w:ascii="宋体" w:hAnsi="宋体" w:hint="eastAsia"/>
                <w:sz w:val="18"/>
                <w:szCs w:val="18"/>
              </w:rPr>
              <w:t>变动率（5分）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5</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rsidR="0062229E">
        <w:trPr>
          <w:trHeight w:val="1447"/>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宋体" w:hAnsi="宋体"/>
                <w:sz w:val="18"/>
                <w:szCs w:val="18"/>
              </w:rPr>
            </w:pP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重点支出安排率（5分）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5</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rsidR="0062229E">
        <w:trPr>
          <w:trHeight w:val="1179"/>
        </w:trPr>
        <w:tc>
          <w:tcPr>
            <w:tcW w:w="474"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62229E" w:rsidRDefault="00954C78">
            <w:pPr>
              <w:spacing w:line="240" w:lineRule="exact"/>
              <w:jc w:val="center"/>
              <w:rPr>
                <w:rFonts w:ascii="仿宋_GB2312"/>
                <w:szCs w:val="21"/>
              </w:rPr>
            </w:pPr>
            <w:r>
              <w:rPr>
                <w:rFonts w:ascii="仿宋_GB2312" w:hint="eastAsia"/>
                <w:szCs w:val="21"/>
              </w:rPr>
              <w:t>过</w:t>
            </w:r>
            <w:r>
              <w:rPr>
                <w:rFonts w:ascii="仿宋_GB2312" w:hint="eastAsia"/>
                <w:szCs w:val="21"/>
              </w:rPr>
              <w:t xml:space="preserve">             </w:t>
            </w:r>
            <w:r>
              <w:rPr>
                <w:rFonts w:ascii="仿宋_GB2312" w:hint="eastAsia"/>
                <w:szCs w:val="21"/>
              </w:rPr>
              <w:t>程（</w:t>
            </w:r>
            <w:r>
              <w:rPr>
                <w:rFonts w:ascii="仿宋_GB2312" w:hint="eastAsia"/>
                <w:szCs w:val="21"/>
              </w:rPr>
              <w:t>30</w:t>
            </w:r>
            <w:r>
              <w:rPr>
                <w:rFonts w:ascii="仿宋_GB2312" w:hint="eastAsia"/>
                <w:szCs w:val="21"/>
              </w:rPr>
              <w:t>分）</w:t>
            </w:r>
          </w:p>
        </w:tc>
        <w:tc>
          <w:tcPr>
            <w:tcW w:w="63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预算</w:t>
            </w:r>
            <w:r>
              <w:rPr>
                <w:rFonts w:ascii="宋体" w:hAnsi="宋体" w:hint="eastAsia"/>
                <w:sz w:val="18"/>
                <w:szCs w:val="18"/>
              </w:rPr>
              <w:br/>
              <w:t>执行</w:t>
            </w:r>
          </w:p>
          <w:p w:rsidR="0062229E" w:rsidRDefault="00954C78">
            <w:pPr>
              <w:spacing w:line="240" w:lineRule="exact"/>
              <w:jc w:val="center"/>
              <w:rPr>
                <w:rFonts w:ascii="宋体" w:hAnsi="宋体"/>
                <w:sz w:val="18"/>
                <w:szCs w:val="18"/>
              </w:rPr>
            </w:pPr>
            <w:r>
              <w:rPr>
                <w:rFonts w:ascii="宋体" w:hAnsi="宋体" w:hint="eastAsia"/>
                <w:sz w:val="18"/>
                <w:szCs w:val="18"/>
              </w:rPr>
              <w:t>（20分）</w:t>
            </w: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预算完成率（4分）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4</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部门本年度预算完成数与预算数的比率，用以反映和考核部门预算完成程度。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预算完成率=（预算完成数/预算数）×100%。完成年初预算计4分，未完成年初预算按比例扣减，预算完成数：部门本年度实际完成的预算数。预算数：财政部门批复的本年度部门预算数。</w:t>
            </w:r>
          </w:p>
        </w:tc>
      </w:tr>
      <w:tr w:rsidR="0062229E">
        <w:trPr>
          <w:trHeight w:val="1563"/>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宋体" w:hAnsi="宋体"/>
                <w:sz w:val="18"/>
                <w:szCs w:val="18"/>
              </w:rPr>
            </w:pP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预算调整率（2分）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1.5</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部门本年度预算调整数与预算数的比率，用以反映和考核部门预算的调整程度。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rsidR="0062229E">
        <w:trPr>
          <w:trHeight w:val="2172"/>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宋体" w:hAnsi="宋体"/>
                <w:sz w:val="18"/>
                <w:szCs w:val="18"/>
              </w:rPr>
            </w:pP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支付进度率（2分）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2</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部门实际支付进度与既定支付进度的比率，用以反映和考核部门预算执行的及时性和均衡性程度。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62229E">
        <w:trPr>
          <w:trHeight w:val="1142"/>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宋体" w:hAnsi="宋体"/>
                <w:sz w:val="18"/>
                <w:szCs w:val="18"/>
              </w:rPr>
            </w:pPr>
          </w:p>
        </w:tc>
        <w:tc>
          <w:tcPr>
            <w:tcW w:w="63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结转结余控制率（4分）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4</w:t>
            </w:r>
          </w:p>
        </w:tc>
        <w:tc>
          <w:tcPr>
            <w:tcW w:w="268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部门本年度结转结余总额与上年结转结余总额增减比例，用以反映和考核部门对存量资金的实际控制程度。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rsidR="0062229E">
        <w:trPr>
          <w:trHeight w:val="1151"/>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宋体" w:hAnsi="宋体"/>
                <w:sz w:val="18"/>
                <w:szCs w:val="18"/>
              </w:rPr>
            </w:pPr>
          </w:p>
        </w:tc>
        <w:tc>
          <w:tcPr>
            <w:tcW w:w="63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公用经费</w:t>
            </w:r>
          </w:p>
          <w:p w:rsidR="0062229E" w:rsidRDefault="00954C78">
            <w:pPr>
              <w:spacing w:line="240" w:lineRule="exact"/>
              <w:jc w:val="center"/>
              <w:rPr>
                <w:rFonts w:ascii="宋体" w:hAnsi="宋体"/>
                <w:sz w:val="18"/>
                <w:szCs w:val="18"/>
              </w:rPr>
            </w:pPr>
            <w:r>
              <w:rPr>
                <w:rFonts w:ascii="宋体" w:hAnsi="宋体" w:hint="eastAsia"/>
                <w:sz w:val="18"/>
                <w:szCs w:val="18"/>
              </w:rPr>
              <w:t>控制率（2分）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2</w:t>
            </w:r>
          </w:p>
        </w:tc>
        <w:tc>
          <w:tcPr>
            <w:tcW w:w="268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部门本年度实际支出的公用经费总额与预算安排的公用经费总额的比率，用以反映和考核部门对机构运转成本的实际控制程度。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公用经费控制率=（实际支出公用经费总额/预算安排公用经费总额）×100%。为100%的计2分，每超过1个百分点扣0.1分，扣完为止。</w:t>
            </w:r>
          </w:p>
        </w:tc>
      </w:tr>
      <w:tr w:rsidR="0062229E">
        <w:trPr>
          <w:trHeight w:val="1161"/>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宋体" w:hAnsi="宋体"/>
                <w:sz w:val="18"/>
                <w:szCs w:val="18"/>
              </w:rPr>
            </w:pPr>
          </w:p>
        </w:tc>
        <w:tc>
          <w:tcPr>
            <w:tcW w:w="63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“三公经费”控制率（2分）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2</w:t>
            </w:r>
          </w:p>
        </w:tc>
        <w:tc>
          <w:tcPr>
            <w:tcW w:w="268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部门本年度“三公经费”实际支出数与预算安排数的比率，用以反映和考核部门对“三公经费”的实际控制程度。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“三公经费”控制率=（“三公经费”实际支出数/“三公经费”预算安排数）×100%。为100%的计2分，每超过1个百分点扣0.5分，扣完为止。</w:t>
            </w:r>
          </w:p>
        </w:tc>
      </w:tr>
      <w:tr w:rsidR="0062229E">
        <w:trPr>
          <w:trHeight w:val="1153"/>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宋体" w:hAnsi="宋体"/>
                <w:sz w:val="18"/>
                <w:szCs w:val="18"/>
              </w:rPr>
            </w:pP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政府采购</w:t>
            </w:r>
          </w:p>
          <w:p w:rsidR="0062229E" w:rsidRDefault="00954C78">
            <w:pPr>
              <w:spacing w:line="240" w:lineRule="exact"/>
              <w:jc w:val="center"/>
              <w:rPr>
                <w:rFonts w:ascii="宋体" w:hAnsi="宋体"/>
                <w:sz w:val="18"/>
                <w:szCs w:val="18"/>
              </w:rPr>
            </w:pPr>
            <w:r>
              <w:rPr>
                <w:rFonts w:ascii="宋体" w:hAnsi="宋体" w:hint="eastAsia"/>
                <w:sz w:val="18"/>
                <w:szCs w:val="18"/>
              </w:rPr>
              <w:t>执行率（4分）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4</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部门本年度实际政府采购金额与年初政府采购预算的比率，用以反映和考核部门政府采购预算执行情况。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rsidR="0062229E">
        <w:trPr>
          <w:trHeight w:val="1455"/>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仿宋_GB2312"/>
                <w:szCs w:val="21"/>
              </w:rPr>
            </w:pPr>
            <w:r>
              <w:rPr>
                <w:rFonts w:ascii="仿宋_GB2312" w:hint="eastAsia"/>
                <w:szCs w:val="21"/>
              </w:rPr>
              <w:t>预算</w:t>
            </w:r>
          </w:p>
          <w:p w:rsidR="0062229E" w:rsidRDefault="00954C78">
            <w:pPr>
              <w:spacing w:line="240" w:lineRule="exact"/>
              <w:jc w:val="center"/>
              <w:rPr>
                <w:rFonts w:ascii="仿宋_GB2312"/>
                <w:szCs w:val="21"/>
              </w:rPr>
            </w:pPr>
            <w:r>
              <w:rPr>
                <w:rFonts w:ascii="仿宋_GB2312" w:hint="eastAsia"/>
                <w:szCs w:val="21"/>
              </w:rPr>
              <w:t>管理</w:t>
            </w:r>
          </w:p>
          <w:p w:rsidR="0062229E" w:rsidRDefault="00954C78">
            <w:pPr>
              <w:spacing w:line="240" w:lineRule="exact"/>
              <w:jc w:val="center"/>
              <w:rPr>
                <w:rFonts w:ascii="仿宋_GB2312"/>
                <w:szCs w:val="21"/>
              </w:rPr>
            </w:pPr>
            <w:r>
              <w:rPr>
                <w:rFonts w:ascii="仿宋_GB2312" w:hint="eastAsia"/>
                <w:szCs w:val="21"/>
              </w:rPr>
              <w:t>（</w:t>
            </w:r>
            <w:r>
              <w:rPr>
                <w:rFonts w:ascii="仿宋_GB2312" w:hint="eastAsia"/>
                <w:szCs w:val="21"/>
              </w:rPr>
              <w:t>5</w:t>
            </w:r>
            <w:r>
              <w:rPr>
                <w:rFonts w:ascii="仿宋_GB2312" w:hint="eastAsia"/>
                <w:szCs w:val="21"/>
              </w:rPr>
              <w:t>分）</w:t>
            </w: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管理制度</w:t>
            </w:r>
          </w:p>
          <w:p w:rsidR="0062229E" w:rsidRDefault="00954C78">
            <w:pPr>
              <w:spacing w:line="240" w:lineRule="exact"/>
              <w:jc w:val="center"/>
              <w:rPr>
                <w:rFonts w:ascii="宋体" w:hAnsi="宋体"/>
                <w:sz w:val="18"/>
                <w:szCs w:val="18"/>
              </w:rPr>
            </w:pPr>
            <w:r>
              <w:rPr>
                <w:rFonts w:ascii="宋体" w:hAnsi="宋体" w:hint="eastAsia"/>
                <w:sz w:val="18"/>
                <w:szCs w:val="18"/>
              </w:rPr>
              <w:t>健全性（2分）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1.5</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已制定或具有预算资金管理办法、内部财务管理制度、会计核算制度等管理制度计1分；相关管理制度合法、合规、完整计0.5分；相关管理制度得到有效执行计0.5分。</w:t>
            </w:r>
          </w:p>
        </w:tc>
      </w:tr>
      <w:tr w:rsidR="0062229E">
        <w:trPr>
          <w:trHeight w:val="1450"/>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资金使用</w:t>
            </w:r>
          </w:p>
          <w:p w:rsidR="0062229E" w:rsidRDefault="00954C78">
            <w:pPr>
              <w:spacing w:line="240" w:lineRule="exact"/>
              <w:jc w:val="center"/>
              <w:rPr>
                <w:rFonts w:ascii="宋体" w:hAnsi="宋体"/>
                <w:sz w:val="18"/>
                <w:szCs w:val="18"/>
              </w:rPr>
            </w:pPr>
            <w:r>
              <w:rPr>
                <w:rFonts w:ascii="宋体" w:hAnsi="宋体" w:hint="eastAsia"/>
                <w:sz w:val="18"/>
                <w:szCs w:val="18"/>
              </w:rPr>
              <w:t>合规性（1分）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0.8</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部门使用预算资金是否符合相关的预算财务管理制度的规定，用以反映和考核部门预算资金的规范运行情况。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rsidR="0062229E">
        <w:trPr>
          <w:trHeight w:val="567"/>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预决算信</w:t>
            </w:r>
          </w:p>
          <w:p w:rsidR="0062229E" w:rsidRDefault="00954C78">
            <w:pPr>
              <w:spacing w:line="240" w:lineRule="exact"/>
              <w:jc w:val="center"/>
              <w:rPr>
                <w:rFonts w:ascii="宋体" w:hAnsi="宋体"/>
                <w:sz w:val="18"/>
                <w:szCs w:val="18"/>
              </w:rPr>
            </w:pPr>
            <w:r>
              <w:rPr>
                <w:rFonts w:ascii="宋体" w:hAnsi="宋体" w:hint="eastAsia"/>
                <w:sz w:val="18"/>
                <w:szCs w:val="18"/>
              </w:rPr>
              <w:t>息公开性（1分）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1</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部门是否按照政府信息公开有关规定公开相关预决算信息，用以反映和考核部门预决算管理的公开透明情况。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①按规定内容公开预决算信息计0.5分；②按规定时限公开预决算信息计0.5分。预决算信息是指与部门预算、执行、决算、监督、绩效等管理相关的信息。</w:t>
            </w:r>
          </w:p>
        </w:tc>
      </w:tr>
      <w:tr w:rsidR="0062229E">
        <w:trPr>
          <w:trHeight w:val="567"/>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基础信息</w:t>
            </w:r>
          </w:p>
          <w:p w:rsidR="0062229E" w:rsidRDefault="00954C78">
            <w:pPr>
              <w:spacing w:line="240" w:lineRule="exact"/>
              <w:jc w:val="center"/>
              <w:rPr>
                <w:rFonts w:ascii="宋体" w:hAnsi="宋体"/>
                <w:sz w:val="18"/>
                <w:szCs w:val="18"/>
              </w:rPr>
            </w:pPr>
            <w:r>
              <w:rPr>
                <w:rFonts w:ascii="宋体" w:hAnsi="宋体" w:hint="eastAsia"/>
                <w:sz w:val="18"/>
                <w:szCs w:val="18"/>
              </w:rPr>
              <w:t>完善性（1分）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1</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部门基础信息是否完善，用以反映和考核基础信息对预算管理工作的支撑情况。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①基础数据信息和会计信息资料真实计0.4分；②基础数据信息和会计信息资料完整计0.3分；③基础数据信息和会计信息资料准确计0.3分。</w:t>
            </w:r>
          </w:p>
        </w:tc>
      </w:tr>
      <w:tr w:rsidR="0062229E">
        <w:trPr>
          <w:trHeight w:val="1326"/>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仿宋_GB2312"/>
                <w:szCs w:val="21"/>
              </w:rPr>
            </w:pPr>
            <w:r>
              <w:rPr>
                <w:rFonts w:ascii="仿宋_GB2312" w:hint="eastAsia"/>
                <w:szCs w:val="21"/>
              </w:rPr>
              <w:t>资产</w:t>
            </w:r>
            <w:r>
              <w:rPr>
                <w:rFonts w:ascii="仿宋_GB2312" w:hint="eastAsia"/>
                <w:szCs w:val="21"/>
              </w:rPr>
              <w:br/>
            </w:r>
            <w:r>
              <w:rPr>
                <w:rFonts w:ascii="仿宋_GB2312" w:hint="eastAsia"/>
                <w:szCs w:val="21"/>
              </w:rPr>
              <w:t>管理</w:t>
            </w:r>
          </w:p>
          <w:p w:rsidR="0062229E" w:rsidRDefault="00954C78">
            <w:pPr>
              <w:spacing w:line="240" w:lineRule="exact"/>
              <w:jc w:val="center"/>
              <w:rPr>
                <w:rFonts w:ascii="仿宋_GB2312"/>
                <w:szCs w:val="21"/>
              </w:rPr>
            </w:pPr>
            <w:r>
              <w:rPr>
                <w:rFonts w:ascii="仿宋_GB2312" w:hint="eastAsia"/>
                <w:szCs w:val="21"/>
              </w:rPr>
              <w:t>（</w:t>
            </w:r>
            <w:r>
              <w:rPr>
                <w:rFonts w:ascii="仿宋_GB2312" w:hint="eastAsia"/>
                <w:szCs w:val="21"/>
              </w:rPr>
              <w:t>5</w:t>
            </w:r>
            <w:r>
              <w:rPr>
                <w:rFonts w:ascii="仿宋_GB2312" w:hint="eastAsia"/>
                <w:szCs w:val="21"/>
              </w:rPr>
              <w:t>分）</w:t>
            </w: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管理制度</w:t>
            </w:r>
          </w:p>
          <w:p w:rsidR="0062229E" w:rsidRDefault="00954C78">
            <w:pPr>
              <w:spacing w:line="240" w:lineRule="exact"/>
              <w:jc w:val="center"/>
              <w:rPr>
                <w:rFonts w:ascii="宋体" w:hAnsi="宋体"/>
                <w:sz w:val="18"/>
                <w:szCs w:val="18"/>
              </w:rPr>
            </w:pPr>
            <w:r>
              <w:rPr>
                <w:rFonts w:ascii="宋体" w:hAnsi="宋体" w:hint="eastAsia"/>
                <w:sz w:val="18"/>
                <w:szCs w:val="18"/>
              </w:rPr>
              <w:t>健全性（2分）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1.5</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①制定或具有资产管理制度计1分；②相关资金管理制度合法、合规、完整计0.5分；③相关资产管理制度得到有效执行计0.5分。</w:t>
            </w:r>
          </w:p>
        </w:tc>
      </w:tr>
      <w:tr w:rsidR="0062229E">
        <w:trPr>
          <w:trHeight w:val="567"/>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资产管理</w:t>
            </w:r>
          </w:p>
          <w:p w:rsidR="0062229E" w:rsidRDefault="00954C78">
            <w:pPr>
              <w:spacing w:line="240" w:lineRule="exact"/>
              <w:jc w:val="center"/>
              <w:rPr>
                <w:rFonts w:ascii="宋体" w:hAnsi="宋体"/>
                <w:sz w:val="18"/>
                <w:szCs w:val="18"/>
              </w:rPr>
            </w:pPr>
            <w:r>
              <w:rPr>
                <w:rFonts w:ascii="宋体" w:hAnsi="宋体" w:hint="eastAsia"/>
                <w:sz w:val="18"/>
                <w:szCs w:val="18"/>
              </w:rPr>
              <w:t>安全性（2分）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761"/>
                <w:tab w:val="left" w:pos="2604"/>
              </w:tabs>
              <w:spacing w:line="240" w:lineRule="exact"/>
              <w:jc w:val="center"/>
              <w:rPr>
                <w:rFonts w:ascii="宋体" w:hAnsi="宋体"/>
                <w:sz w:val="18"/>
                <w:szCs w:val="18"/>
              </w:rPr>
            </w:pPr>
            <w:r>
              <w:rPr>
                <w:rFonts w:ascii="宋体" w:hAnsi="宋体" w:hint="eastAsia"/>
                <w:sz w:val="18"/>
                <w:szCs w:val="18"/>
              </w:rPr>
              <w:t>2</w:t>
            </w:r>
          </w:p>
        </w:tc>
        <w:tc>
          <w:tcPr>
            <w:tcW w:w="268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761"/>
                <w:tab w:val="left" w:pos="2604"/>
              </w:tabs>
              <w:spacing w:line="240" w:lineRule="exact"/>
              <w:rPr>
                <w:rFonts w:ascii="宋体" w:hAnsi="宋体"/>
                <w:sz w:val="18"/>
                <w:szCs w:val="18"/>
              </w:rPr>
            </w:pPr>
            <w:r>
              <w:rPr>
                <w:rFonts w:ascii="宋体" w:hAnsi="宋体" w:hint="eastAsia"/>
                <w:sz w:val="18"/>
                <w:szCs w:val="18"/>
              </w:rPr>
              <w:t>部门的资产是否保存完整、使用合规、配置合理、处置规范、收入及时足额上缴，用以反映和考核部门资产安全运行情况。</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①资产保存完整计0.4分；②资产配置合理计0.4分；③资产处置规范计0.4分；④资产账务管理合规、帐实相符计0.4分；⑤资产有偿使用及处置收入及时足额上缴计0.4分。</w:t>
            </w:r>
          </w:p>
        </w:tc>
      </w:tr>
      <w:tr w:rsidR="0062229E">
        <w:trPr>
          <w:trHeight w:val="567"/>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固定资产</w:t>
            </w:r>
          </w:p>
          <w:p w:rsidR="0062229E" w:rsidRDefault="00954C78">
            <w:pPr>
              <w:spacing w:line="240" w:lineRule="exact"/>
              <w:jc w:val="center"/>
              <w:rPr>
                <w:rFonts w:ascii="宋体" w:hAnsi="宋体"/>
                <w:sz w:val="18"/>
                <w:szCs w:val="18"/>
              </w:rPr>
            </w:pPr>
            <w:r>
              <w:rPr>
                <w:rFonts w:ascii="宋体" w:hAnsi="宋体" w:hint="eastAsia"/>
                <w:sz w:val="18"/>
                <w:szCs w:val="18"/>
              </w:rPr>
              <w:t>利用率（1分）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0.9</w:t>
            </w:r>
          </w:p>
        </w:tc>
        <w:tc>
          <w:tcPr>
            <w:tcW w:w="268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部门实际在用固定资产总额与所有固定资产总额的比率，用以反映和考核部门固定资产使用效率程度。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固定资产利用率=（实际在用固定资产总额/所有固定资产总额）×100%。利用率为100%的计1分，每降1个百分点扣0.1分，扣完为止。</w:t>
            </w:r>
          </w:p>
        </w:tc>
      </w:tr>
      <w:tr w:rsidR="0062229E">
        <w:trPr>
          <w:trHeight w:val="567"/>
        </w:trPr>
        <w:tc>
          <w:tcPr>
            <w:tcW w:w="474"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62229E" w:rsidRDefault="00954C78">
            <w:pPr>
              <w:spacing w:line="240" w:lineRule="exact"/>
              <w:jc w:val="center"/>
              <w:rPr>
                <w:rFonts w:ascii="仿宋_GB2312"/>
                <w:szCs w:val="21"/>
              </w:rPr>
            </w:pPr>
            <w:r>
              <w:rPr>
                <w:rFonts w:ascii="仿宋_GB2312" w:hint="eastAsia"/>
                <w:szCs w:val="21"/>
              </w:rPr>
              <w:t>产</w:t>
            </w:r>
            <w:r>
              <w:rPr>
                <w:rFonts w:ascii="仿宋_GB2312" w:hint="eastAsia"/>
                <w:szCs w:val="21"/>
              </w:rPr>
              <w:t xml:space="preserve">   </w:t>
            </w:r>
            <w:r>
              <w:rPr>
                <w:rFonts w:ascii="仿宋_GB2312" w:hint="eastAsia"/>
                <w:szCs w:val="21"/>
              </w:rPr>
              <w:t>出（</w:t>
            </w:r>
            <w:r>
              <w:rPr>
                <w:rFonts w:ascii="仿宋_GB2312" w:hint="eastAsia"/>
                <w:szCs w:val="21"/>
              </w:rPr>
              <w:t>30</w:t>
            </w:r>
            <w:r>
              <w:rPr>
                <w:rFonts w:ascii="仿宋_GB2312" w:hint="eastAsia"/>
                <w:szCs w:val="21"/>
              </w:rPr>
              <w:t>分）</w:t>
            </w:r>
          </w:p>
        </w:tc>
        <w:tc>
          <w:tcPr>
            <w:tcW w:w="63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仿宋_GB2312"/>
                <w:sz w:val="18"/>
                <w:szCs w:val="18"/>
              </w:rPr>
            </w:pPr>
            <w:r>
              <w:rPr>
                <w:rFonts w:ascii="仿宋_GB2312" w:hint="eastAsia"/>
                <w:sz w:val="18"/>
                <w:szCs w:val="18"/>
              </w:rPr>
              <w:t>职责</w:t>
            </w:r>
            <w:r>
              <w:rPr>
                <w:rFonts w:ascii="仿宋_GB2312" w:hint="eastAsia"/>
                <w:sz w:val="18"/>
                <w:szCs w:val="18"/>
              </w:rPr>
              <w:br/>
            </w:r>
            <w:r>
              <w:rPr>
                <w:rFonts w:ascii="仿宋_GB2312" w:hint="eastAsia"/>
                <w:sz w:val="18"/>
                <w:szCs w:val="18"/>
              </w:rPr>
              <w:t>履行</w:t>
            </w: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实际完成率（8分）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8</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部门履行职责而实际完成工作数与计划工作数的比率，用以反映和考核部门履职工作任务目标的实现程度。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实际完成率得分=完成市委市政府绩效考核得分或上级主管部门考核指标得分/指标分值*8分</w:t>
            </w:r>
          </w:p>
        </w:tc>
      </w:tr>
      <w:tr w:rsidR="0062229E">
        <w:trPr>
          <w:trHeight w:val="567"/>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 w:val="18"/>
                <w:szCs w:val="18"/>
              </w:rPr>
            </w:pP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完成及时率（4分）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4</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部门在规定时限内及时完成的实际工作数与计划工作数的比率,用以反映和考核部门履职时效目标的实现程度。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完成及时率=（及时完成实际工作数/计划工作数）×100%。1-4季度各得1分</w:t>
            </w:r>
            <w:r>
              <w:rPr>
                <w:rFonts w:ascii="宋体" w:hAnsi="宋体" w:hint="eastAsia"/>
                <w:sz w:val="18"/>
                <w:szCs w:val="18"/>
              </w:rPr>
              <w:br/>
            </w:r>
          </w:p>
        </w:tc>
      </w:tr>
      <w:tr w:rsidR="0062229E">
        <w:trPr>
          <w:trHeight w:val="567"/>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 w:val="18"/>
                <w:szCs w:val="18"/>
              </w:rPr>
            </w:pP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质量达标率（8分）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8</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达到质量标准（绩效标准值）的实际工作数与计划工作数的比率,用以反映和考核部门履职质量目标的实现程度。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质量达标率=（质量达标实际工作数/计划工作数）×100%。实际得分=达标率*8分</w:t>
            </w:r>
          </w:p>
        </w:tc>
      </w:tr>
      <w:tr w:rsidR="0062229E">
        <w:trPr>
          <w:trHeight w:val="567"/>
        </w:trPr>
        <w:tc>
          <w:tcPr>
            <w:tcW w:w="1738"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仿宋_GB2312"/>
                <w:sz w:val="18"/>
                <w:szCs w:val="18"/>
              </w:rPr>
            </w:pP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重点工作</w:t>
            </w:r>
          </w:p>
          <w:p w:rsidR="0062229E" w:rsidRDefault="00954C78">
            <w:pPr>
              <w:spacing w:line="240" w:lineRule="exact"/>
              <w:jc w:val="center"/>
              <w:rPr>
                <w:rFonts w:ascii="宋体" w:hAnsi="宋体"/>
                <w:sz w:val="18"/>
                <w:szCs w:val="18"/>
              </w:rPr>
            </w:pPr>
            <w:r>
              <w:rPr>
                <w:rFonts w:ascii="宋体" w:hAnsi="宋体" w:hint="eastAsia"/>
                <w:sz w:val="18"/>
                <w:szCs w:val="18"/>
              </w:rPr>
              <w:t>办结率（10分）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9</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部门年度重点工作实际完成数与交办或下达数的比率，用以反映部门对重点工作的办理落实程度。</w:t>
            </w:r>
          </w:p>
        </w:tc>
        <w:tc>
          <w:tcPr>
            <w:tcW w:w="437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hint="eastAsia"/>
                <w:sz w:val="18"/>
                <w:szCs w:val="18"/>
              </w:rPr>
              <w:t>重点工作办结率=（重点工作实际完成数/交办或下达数）×100%。实际得分=办结率*10分</w:t>
            </w:r>
          </w:p>
        </w:tc>
      </w:tr>
      <w:tr w:rsidR="0062229E">
        <w:trPr>
          <w:trHeight w:val="567"/>
        </w:trPr>
        <w:tc>
          <w:tcPr>
            <w:tcW w:w="474"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extDirection w:val="tbRlV"/>
            <w:vAlign w:val="center"/>
          </w:tcPr>
          <w:p w:rsidR="0062229E" w:rsidRDefault="00954C78">
            <w:pPr>
              <w:spacing w:line="240" w:lineRule="exact"/>
              <w:jc w:val="center"/>
              <w:rPr>
                <w:rFonts w:ascii="仿宋_GB2312"/>
                <w:szCs w:val="21"/>
              </w:rPr>
            </w:pPr>
            <w:r>
              <w:rPr>
                <w:rFonts w:ascii="仿宋_GB2312" w:hint="eastAsia"/>
                <w:szCs w:val="21"/>
              </w:rPr>
              <w:t>效</w:t>
            </w:r>
            <w:r>
              <w:rPr>
                <w:rFonts w:ascii="仿宋_GB2312" w:hint="eastAsia"/>
                <w:szCs w:val="21"/>
              </w:rPr>
              <w:t xml:space="preserve">   </w:t>
            </w:r>
            <w:r>
              <w:rPr>
                <w:rFonts w:ascii="仿宋_GB2312" w:hint="eastAsia"/>
                <w:szCs w:val="21"/>
              </w:rPr>
              <w:t>果（</w:t>
            </w:r>
            <w:r>
              <w:rPr>
                <w:rFonts w:ascii="仿宋_GB2312" w:hint="eastAsia"/>
                <w:szCs w:val="21"/>
              </w:rPr>
              <w:t>20</w:t>
            </w:r>
            <w:r>
              <w:rPr>
                <w:rFonts w:ascii="仿宋_GB2312" w:hint="eastAsia"/>
                <w:szCs w:val="21"/>
              </w:rPr>
              <w:t>分）</w:t>
            </w:r>
          </w:p>
        </w:tc>
        <w:tc>
          <w:tcPr>
            <w:tcW w:w="632"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仿宋_GB2312"/>
                <w:sz w:val="18"/>
                <w:szCs w:val="18"/>
              </w:rPr>
            </w:pPr>
            <w:r>
              <w:rPr>
                <w:rFonts w:ascii="仿宋_GB2312" w:hint="eastAsia"/>
                <w:sz w:val="18"/>
                <w:szCs w:val="18"/>
              </w:rPr>
              <w:t>履职</w:t>
            </w:r>
            <w:r>
              <w:rPr>
                <w:rFonts w:ascii="仿宋_GB2312" w:hint="eastAsia"/>
                <w:sz w:val="18"/>
                <w:szCs w:val="18"/>
              </w:rPr>
              <w:br/>
            </w:r>
            <w:r>
              <w:rPr>
                <w:rFonts w:ascii="仿宋_GB2312" w:hint="eastAsia"/>
                <w:sz w:val="18"/>
                <w:szCs w:val="18"/>
              </w:rPr>
              <w:t>效益（</w:t>
            </w:r>
            <w:r>
              <w:rPr>
                <w:rFonts w:ascii="仿宋_GB2312" w:hint="eastAsia"/>
                <w:sz w:val="18"/>
                <w:szCs w:val="18"/>
              </w:rPr>
              <w:t>20</w:t>
            </w:r>
            <w:r>
              <w:rPr>
                <w:rFonts w:ascii="仿宋_GB2312" w:hint="eastAsia"/>
                <w:sz w:val="18"/>
                <w:szCs w:val="18"/>
              </w:rPr>
              <w:t>分）</w:t>
            </w:r>
          </w:p>
        </w:tc>
        <w:tc>
          <w:tcPr>
            <w:tcW w:w="63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经济效益（5分）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4</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部门履行职责对经济发展所带来的直接或间接影响。</w:t>
            </w:r>
          </w:p>
        </w:tc>
        <w:tc>
          <w:tcPr>
            <w:tcW w:w="4372" w:type="dxa"/>
            <w:vMerge w:val="restar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cs="宋体" w:hint="eastAsia"/>
                <w:kern w:val="0"/>
                <w:sz w:val="18"/>
                <w:szCs w:val="18"/>
              </w:rPr>
              <w:t>按经济效益实现程度计算得分（5分）；按社会效益实现程度计算得分（5分）；按生态效益实现程度计算得分（5分）</w:t>
            </w:r>
          </w:p>
        </w:tc>
      </w:tr>
      <w:tr w:rsidR="0062229E">
        <w:trPr>
          <w:trHeight w:val="567"/>
        </w:trPr>
        <w:tc>
          <w:tcPr>
            <w:tcW w:w="1738" w:type="dxa"/>
            <w:vMerge/>
            <w:tcBorders>
              <w:top w:val="single" w:sz="4" w:space="0" w:color="auto"/>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single" w:sz="4" w:space="0" w:color="auto"/>
              <w:left w:val="single" w:sz="4" w:space="0" w:color="auto"/>
              <w:bottom w:val="single" w:sz="4" w:space="0" w:color="auto"/>
              <w:right w:val="single" w:sz="4" w:space="0" w:color="auto"/>
            </w:tcBorders>
            <w:vAlign w:val="center"/>
          </w:tcPr>
          <w:p w:rsidR="0062229E" w:rsidRDefault="0062229E">
            <w:pPr>
              <w:widowControl/>
              <w:jc w:val="left"/>
              <w:rPr>
                <w:rFonts w:ascii="仿宋_GB2312"/>
                <w:sz w:val="18"/>
                <w:szCs w:val="18"/>
              </w:rPr>
            </w:pP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社会效益（5分）</w:t>
            </w:r>
          </w:p>
        </w:tc>
        <w:tc>
          <w:tcPr>
            <w:tcW w:w="474" w:type="dxa"/>
            <w:tcBorders>
              <w:top w:val="single" w:sz="4" w:space="0" w:color="auto"/>
              <w:left w:val="nil"/>
              <w:bottom w:val="single" w:sz="4" w:space="0" w:color="auto"/>
              <w:right w:val="single" w:sz="4" w:space="0" w:color="auto"/>
            </w:tcBorders>
            <w:vAlign w:val="center"/>
          </w:tcPr>
          <w:p w:rsidR="0062229E" w:rsidRDefault="00954C78">
            <w:pPr>
              <w:tabs>
                <w:tab w:val="left" w:pos="2604"/>
              </w:tabs>
              <w:spacing w:line="240" w:lineRule="exact"/>
              <w:jc w:val="center"/>
              <w:rPr>
                <w:rFonts w:ascii="宋体" w:hAnsi="宋体"/>
                <w:sz w:val="18"/>
                <w:szCs w:val="18"/>
              </w:rPr>
            </w:pPr>
            <w:r>
              <w:rPr>
                <w:rFonts w:ascii="宋体" w:hAnsi="宋体" w:hint="eastAsia"/>
                <w:sz w:val="18"/>
                <w:szCs w:val="18"/>
              </w:rPr>
              <w:t>5</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部门履行职责对社会发展所带来的直接或间接影响。</w:t>
            </w:r>
          </w:p>
        </w:tc>
        <w:tc>
          <w:tcPr>
            <w:tcW w:w="437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宋体" w:hAnsi="宋体"/>
                <w:sz w:val="18"/>
                <w:szCs w:val="18"/>
              </w:rPr>
            </w:pPr>
          </w:p>
        </w:tc>
      </w:tr>
      <w:tr w:rsidR="0062229E">
        <w:trPr>
          <w:trHeight w:val="567"/>
        </w:trPr>
        <w:tc>
          <w:tcPr>
            <w:tcW w:w="1738" w:type="dxa"/>
            <w:vMerge/>
            <w:tcBorders>
              <w:top w:val="single" w:sz="4" w:space="0" w:color="auto"/>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single" w:sz="4" w:space="0" w:color="auto"/>
              <w:left w:val="single" w:sz="4" w:space="0" w:color="auto"/>
              <w:bottom w:val="single" w:sz="4" w:space="0" w:color="auto"/>
              <w:right w:val="single" w:sz="4" w:space="0" w:color="auto"/>
            </w:tcBorders>
            <w:vAlign w:val="center"/>
          </w:tcPr>
          <w:p w:rsidR="0062229E" w:rsidRDefault="0062229E">
            <w:pPr>
              <w:widowControl/>
              <w:jc w:val="left"/>
              <w:rPr>
                <w:rFonts w:ascii="仿宋_GB2312"/>
                <w:sz w:val="18"/>
                <w:szCs w:val="18"/>
              </w:rPr>
            </w:pP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生态效益（5分）</w:t>
            </w:r>
          </w:p>
        </w:tc>
        <w:tc>
          <w:tcPr>
            <w:tcW w:w="474" w:type="dxa"/>
            <w:tcBorders>
              <w:top w:val="single" w:sz="4" w:space="0" w:color="auto"/>
              <w:left w:val="nil"/>
              <w:bottom w:val="single" w:sz="4" w:space="0" w:color="auto"/>
              <w:right w:val="single" w:sz="4" w:space="0" w:color="auto"/>
            </w:tcBorders>
            <w:vAlign w:val="center"/>
          </w:tcPr>
          <w:p w:rsidR="0062229E" w:rsidRDefault="006B248A">
            <w:pPr>
              <w:tabs>
                <w:tab w:val="left" w:pos="2604"/>
              </w:tabs>
              <w:spacing w:line="240" w:lineRule="exact"/>
              <w:jc w:val="center"/>
              <w:rPr>
                <w:rFonts w:ascii="宋体" w:hAnsi="宋体"/>
                <w:sz w:val="18"/>
                <w:szCs w:val="18"/>
              </w:rPr>
            </w:pPr>
            <w:r>
              <w:rPr>
                <w:rFonts w:ascii="宋体" w:hAnsi="宋体" w:hint="eastAsia"/>
                <w:sz w:val="18"/>
                <w:szCs w:val="18"/>
              </w:rPr>
              <w:t>4</w:t>
            </w:r>
          </w:p>
        </w:tc>
        <w:tc>
          <w:tcPr>
            <w:tcW w:w="2686"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部门履行职责对生态环境所带来的直接或间接影响。</w:t>
            </w:r>
          </w:p>
        </w:tc>
        <w:tc>
          <w:tcPr>
            <w:tcW w:w="4372" w:type="dxa"/>
            <w:vMerge/>
            <w:tcBorders>
              <w:top w:val="nil"/>
              <w:left w:val="single" w:sz="4" w:space="0" w:color="auto"/>
              <w:bottom w:val="single" w:sz="4" w:space="0" w:color="auto"/>
              <w:right w:val="single" w:sz="4" w:space="0" w:color="auto"/>
            </w:tcBorders>
            <w:vAlign w:val="center"/>
          </w:tcPr>
          <w:p w:rsidR="0062229E" w:rsidRDefault="0062229E">
            <w:pPr>
              <w:widowControl/>
              <w:jc w:val="left"/>
              <w:rPr>
                <w:rFonts w:ascii="宋体" w:hAnsi="宋体"/>
                <w:sz w:val="18"/>
                <w:szCs w:val="18"/>
              </w:rPr>
            </w:pPr>
          </w:p>
        </w:tc>
      </w:tr>
      <w:tr w:rsidR="0062229E">
        <w:trPr>
          <w:trHeight w:val="567"/>
        </w:trPr>
        <w:tc>
          <w:tcPr>
            <w:tcW w:w="1738" w:type="dxa"/>
            <w:vMerge/>
            <w:tcBorders>
              <w:top w:val="single" w:sz="4" w:space="0" w:color="auto"/>
              <w:left w:val="single" w:sz="4" w:space="0" w:color="auto"/>
              <w:bottom w:val="single" w:sz="4" w:space="0" w:color="auto"/>
              <w:right w:val="single" w:sz="4" w:space="0" w:color="auto"/>
            </w:tcBorders>
            <w:vAlign w:val="center"/>
          </w:tcPr>
          <w:p w:rsidR="0062229E" w:rsidRDefault="0062229E">
            <w:pPr>
              <w:widowControl/>
              <w:jc w:val="left"/>
              <w:rPr>
                <w:rFonts w:ascii="仿宋_GB2312"/>
                <w:szCs w:val="21"/>
              </w:rPr>
            </w:pPr>
          </w:p>
        </w:tc>
        <w:tc>
          <w:tcPr>
            <w:tcW w:w="632" w:type="dxa"/>
            <w:vMerge/>
            <w:tcBorders>
              <w:top w:val="single" w:sz="4" w:space="0" w:color="auto"/>
              <w:left w:val="single" w:sz="4" w:space="0" w:color="auto"/>
              <w:bottom w:val="single" w:sz="4" w:space="0" w:color="auto"/>
              <w:right w:val="single" w:sz="4" w:space="0" w:color="auto"/>
            </w:tcBorders>
            <w:vAlign w:val="center"/>
          </w:tcPr>
          <w:p w:rsidR="0062229E" w:rsidRDefault="0062229E">
            <w:pPr>
              <w:widowControl/>
              <w:jc w:val="left"/>
              <w:rPr>
                <w:rFonts w:ascii="仿宋_GB2312"/>
                <w:sz w:val="18"/>
                <w:szCs w:val="18"/>
              </w:rPr>
            </w:pPr>
          </w:p>
        </w:tc>
        <w:tc>
          <w:tcPr>
            <w:tcW w:w="632" w:type="dxa"/>
            <w:tcBorders>
              <w:top w:val="nil"/>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jc w:val="center"/>
              <w:rPr>
                <w:rFonts w:ascii="宋体" w:hAnsi="宋体"/>
                <w:sz w:val="18"/>
                <w:szCs w:val="18"/>
              </w:rPr>
            </w:pPr>
            <w:r>
              <w:rPr>
                <w:rFonts w:ascii="宋体" w:hAnsi="宋体" w:hint="eastAsia"/>
                <w:sz w:val="18"/>
                <w:szCs w:val="18"/>
              </w:rPr>
              <w:t>社会公众</w:t>
            </w:r>
          </w:p>
          <w:p w:rsidR="0062229E" w:rsidRDefault="00954C78">
            <w:pPr>
              <w:spacing w:line="240" w:lineRule="exact"/>
              <w:jc w:val="center"/>
              <w:rPr>
                <w:rFonts w:ascii="宋体" w:hAnsi="宋体"/>
                <w:sz w:val="18"/>
                <w:szCs w:val="18"/>
              </w:rPr>
            </w:pPr>
            <w:r>
              <w:rPr>
                <w:rFonts w:ascii="宋体" w:hAnsi="宋体" w:hint="eastAsia"/>
                <w:sz w:val="18"/>
                <w:szCs w:val="18"/>
              </w:rPr>
              <w:t>或服务对</w:t>
            </w:r>
          </w:p>
          <w:p w:rsidR="0062229E" w:rsidRDefault="00954C78">
            <w:pPr>
              <w:spacing w:line="240" w:lineRule="exact"/>
              <w:jc w:val="center"/>
              <w:rPr>
                <w:rFonts w:ascii="宋体" w:hAnsi="宋体"/>
                <w:sz w:val="18"/>
                <w:szCs w:val="18"/>
              </w:rPr>
            </w:pPr>
            <w:r>
              <w:rPr>
                <w:rFonts w:ascii="宋体" w:hAnsi="宋体" w:hint="eastAsia"/>
                <w:sz w:val="18"/>
                <w:szCs w:val="18"/>
              </w:rPr>
              <w:t>象满意度（5分）</w:t>
            </w:r>
          </w:p>
        </w:tc>
        <w:tc>
          <w:tcPr>
            <w:tcW w:w="474"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AB1655">
            <w:pPr>
              <w:tabs>
                <w:tab w:val="left" w:pos="2604"/>
              </w:tabs>
              <w:spacing w:line="240" w:lineRule="exact"/>
              <w:jc w:val="center"/>
              <w:rPr>
                <w:rFonts w:ascii="宋体" w:hAnsi="宋体"/>
                <w:sz w:val="18"/>
                <w:szCs w:val="18"/>
              </w:rPr>
            </w:pPr>
            <w:r>
              <w:rPr>
                <w:rFonts w:ascii="宋体" w:hAnsi="宋体" w:hint="eastAsia"/>
                <w:sz w:val="18"/>
                <w:szCs w:val="18"/>
              </w:rPr>
              <w:t>4.8</w:t>
            </w:r>
          </w:p>
        </w:tc>
        <w:tc>
          <w:tcPr>
            <w:tcW w:w="268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954C78">
            <w:pPr>
              <w:tabs>
                <w:tab w:val="left" w:pos="2604"/>
              </w:tabs>
              <w:spacing w:line="240" w:lineRule="exact"/>
              <w:rPr>
                <w:rFonts w:ascii="宋体" w:hAnsi="宋体"/>
                <w:sz w:val="18"/>
                <w:szCs w:val="18"/>
              </w:rPr>
            </w:pPr>
            <w:r>
              <w:rPr>
                <w:rFonts w:ascii="宋体" w:hAnsi="宋体" w:hint="eastAsia"/>
                <w:sz w:val="18"/>
                <w:szCs w:val="18"/>
              </w:rPr>
              <w:t>社会公众或部门的服务对象对部门履职效果的满意程度。</w:t>
            </w: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954C78">
            <w:pPr>
              <w:spacing w:line="240" w:lineRule="exact"/>
              <w:rPr>
                <w:rFonts w:ascii="宋体" w:hAnsi="宋体"/>
                <w:sz w:val="18"/>
                <w:szCs w:val="18"/>
              </w:rPr>
            </w:pPr>
            <w:r>
              <w:rPr>
                <w:rFonts w:ascii="宋体" w:hAnsi="宋体" w:cs="宋体" w:hint="eastAsia"/>
                <w:kern w:val="0"/>
                <w:sz w:val="18"/>
                <w:szCs w:val="18"/>
              </w:rPr>
              <w:t>按收集到的服务对象的满意率计算得分（5分）</w:t>
            </w:r>
          </w:p>
        </w:tc>
      </w:tr>
      <w:tr w:rsidR="0062229E">
        <w:trPr>
          <w:trHeight w:val="567"/>
        </w:trPr>
        <w:tc>
          <w:tcPr>
            <w:tcW w:w="1738" w:type="dxa"/>
            <w:gridSpan w:val="3"/>
            <w:tcBorders>
              <w:top w:val="single" w:sz="4" w:space="0" w:color="auto"/>
              <w:left w:val="single" w:sz="4" w:space="0" w:color="auto"/>
              <w:bottom w:val="single" w:sz="4" w:space="0" w:color="auto"/>
              <w:right w:val="single" w:sz="4" w:space="0" w:color="auto"/>
            </w:tcBorders>
            <w:vAlign w:val="center"/>
          </w:tcPr>
          <w:p w:rsidR="0062229E" w:rsidRDefault="00954C78">
            <w:pPr>
              <w:spacing w:line="240" w:lineRule="exact"/>
              <w:jc w:val="center"/>
              <w:rPr>
                <w:rFonts w:ascii="宋体" w:hAnsi="宋体"/>
                <w:sz w:val="18"/>
                <w:szCs w:val="18"/>
              </w:rPr>
            </w:pPr>
            <w:r>
              <w:rPr>
                <w:rFonts w:ascii="宋体" w:hAnsi="宋体" w:hint="eastAsia"/>
                <w:sz w:val="18"/>
                <w:szCs w:val="18"/>
              </w:rPr>
              <w:t>总分</w:t>
            </w:r>
          </w:p>
        </w:tc>
        <w:tc>
          <w:tcPr>
            <w:tcW w:w="474" w:type="dxa"/>
            <w:tcBorders>
              <w:top w:val="single" w:sz="4" w:space="0" w:color="auto"/>
              <w:left w:val="nil"/>
              <w:bottom w:val="single" w:sz="4" w:space="0" w:color="auto"/>
              <w:right w:val="single" w:sz="4" w:space="0" w:color="auto"/>
            </w:tcBorders>
            <w:vAlign w:val="center"/>
          </w:tcPr>
          <w:p w:rsidR="0062229E" w:rsidRDefault="00954C78" w:rsidP="00AB1655">
            <w:pPr>
              <w:tabs>
                <w:tab w:val="left" w:pos="2604"/>
              </w:tabs>
              <w:spacing w:line="240" w:lineRule="exact"/>
              <w:jc w:val="center"/>
              <w:rPr>
                <w:rFonts w:ascii="宋体" w:hAnsi="宋体"/>
                <w:sz w:val="18"/>
                <w:szCs w:val="18"/>
              </w:rPr>
            </w:pPr>
            <w:r>
              <w:rPr>
                <w:rFonts w:ascii="宋体" w:hAnsi="宋体" w:hint="eastAsia"/>
                <w:sz w:val="18"/>
                <w:szCs w:val="18"/>
              </w:rPr>
              <w:t>9</w:t>
            </w:r>
            <w:r w:rsidR="006B248A">
              <w:rPr>
                <w:rFonts w:ascii="宋体" w:hAnsi="宋体" w:hint="eastAsia"/>
                <w:sz w:val="18"/>
                <w:szCs w:val="18"/>
              </w:rPr>
              <w:t>5</w:t>
            </w:r>
          </w:p>
        </w:tc>
        <w:tc>
          <w:tcPr>
            <w:tcW w:w="2686"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62229E" w:rsidRDefault="0062229E">
            <w:pPr>
              <w:tabs>
                <w:tab w:val="left" w:pos="2604"/>
              </w:tabs>
              <w:spacing w:line="240" w:lineRule="exact"/>
              <w:rPr>
                <w:rFonts w:ascii="宋体" w:hAnsi="宋体"/>
                <w:sz w:val="18"/>
                <w:szCs w:val="18"/>
              </w:rPr>
            </w:pPr>
          </w:p>
        </w:tc>
        <w:tc>
          <w:tcPr>
            <w:tcW w:w="4372"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62229E" w:rsidRDefault="0062229E">
            <w:pPr>
              <w:spacing w:line="240" w:lineRule="exact"/>
              <w:rPr>
                <w:rFonts w:ascii="宋体" w:hAnsi="宋体" w:cs="宋体"/>
                <w:kern w:val="0"/>
                <w:sz w:val="18"/>
                <w:szCs w:val="18"/>
              </w:rPr>
            </w:pPr>
          </w:p>
        </w:tc>
      </w:tr>
    </w:tbl>
    <w:p w:rsidR="0062229E" w:rsidRDefault="0062229E">
      <w:pPr>
        <w:shd w:val="solid" w:color="FFFFFF" w:fill="auto"/>
        <w:autoSpaceDN w:val="0"/>
        <w:spacing w:line="580" w:lineRule="exact"/>
        <w:rPr>
          <w:rFonts w:ascii="仿宋_GB2312" w:eastAsia="仿宋_GB2312"/>
        </w:rPr>
      </w:pPr>
    </w:p>
    <w:p w:rsidR="0062229E" w:rsidRDefault="0062229E">
      <w:pPr>
        <w:shd w:val="solid" w:color="FFFFFF" w:fill="auto"/>
        <w:autoSpaceDN w:val="0"/>
        <w:spacing w:line="580" w:lineRule="exact"/>
        <w:rPr>
          <w:rFonts w:ascii="仿宋_GB2312" w:eastAsia="仿宋_GB2312"/>
        </w:rPr>
      </w:pPr>
    </w:p>
    <w:sectPr w:rsidR="0062229E" w:rsidSect="006222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0F7" w:rsidRDefault="00FD00F7" w:rsidP="006B248A">
      <w:r>
        <w:separator/>
      </w:r>
    </w:p>
  </w:endnote>
  <w:endnote w:type="continuationSeparator" w:id="1">
    <w:p w:rsidR="00FD00F7" w:rsidRDefault="00FD00F7" w:rsidP="006B24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0F7" w:rsidRDefault="00FD00F7" w:rsidP="006B248A">
      <w:r>
        <w:separator/>
      </w:r>
    </w:p>
  </w:footnote>
  <w:footnote w:type="continuationSeparator" w:id="1">
    <w:p w:rsidR="00FD00F7" w:rsidRDefault="00FD00F7" w:rsidP="006B24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711E"/>
    <w:rsid w:val="0033711E"/>
    <w:rsid w:val="00482781"/>
    <w:rsid w:val="00601F09"/>
    <w:rsid w:val="0062229E"/>
    <w:rsid w:val="00631D27"/>
    <w:rsid w:val="00663896"/>
    <w:rsid w:val="006B248A"/>
    <w:rsid w:val="006E4CC7"/>
    <w:rsid w:val="006F5EFB"/>
    <w:rsid w:val="00723C2B"/>
    <w:rsid w:val="0080532A"/>
    <w:rsid w:val="00843111"/>
    <w:rsid w:val="008714CE"/>
    <w:rsid w:val="00954C78"/>
    <w:rsid w:val="00AB1655"/>
    <w:rsid w:val="00AF1AF9"/>
    <w:rsid w:val="00C84A31"/>
    <w:rsid w:val="00F27ED7"/>
    <w:rsid w:val="00F45B60"/>
    <w:rsid w:val="00FD00F7"/>
    <w:rsid w:val="10D512DB"/>
    <w:rsid w:val="11EF3BFA"/>
    <w:rsid w:val="27C20BCF"/>
    <w:rsid w:val="3A802F63"/>
    <w:rsid w:val="417716D9"/>
    <w:rsid w:val="68D86B73"/>
    <w:rsid w:val="754C1017"/>
    <w:rsid w:val="7A5372F3"/>
    <w:rsid w:val="7AFD051D"/>
    <w:rsid w:val="7F824D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29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2229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222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2229E"/>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62229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589</Words>
  <Characters>3358</Characters>
  <Application>Microsoft Office Word</Application>
  <DocSecurity>0</DocSecurity>
  <Lines>27</Lines>
  <Paragraphs>7</Paragraphs>
  <ScaleCrop>false</ScaleCrop>
  <Company>Sky123.Org</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8</cp:revision>
  <dcterms:created xsi:type="dcterms:W3CDTF">2018-04-22T08:22:00Z</dcterms:created>
  <dcterms:modified xsi:type="dcterms:W3CDTF">2023-03-16T07:49:00Z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8D7134B3BC8C43ACAA10ED259AF59C3D</vt:lpwstr>
  </property>
</Properties>
</file>