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附件1</w:t>
      </w:r>
    </w:p>
    <w:p>
      <w:pPr>
        <w:spacing w:before="213" w:line="219" w:lineRule="auto"/>
        <w:ind w:left="3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2022年部门整体支出绩效自评指标计分表</w:t>
      </w:r>
    </w:p>
    <w:p/>
    <w:p/>
    <w:p>
      <w:pPr>
        <w:spacing w:line="21" w:lineRule="exact"/>
      </w:pPr>
    </w:p>
    <w:tbl>
      <w:tblPr>
        <w:tblStyle w:val="6"/>
        <w:tblW w:w="881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779"/>
        <w:gridCol w:w="839"/>
        <w:gridCol w:w="719"/>
        <w:gridCol w:w="2457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24" w:type="dxa"/>
            <w:textDirection w:val="tbRlV"/>
            <w:vAlign w:val="top"/>
          </w:tcPr>
          <w:p>
            <w:pPr>
              <w:spacing w:before="268" w:line="220" w:lineRule="auto"/>
              <w:ind w:right="104" w:firstLine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</w:p>
        </w:tc>
        <w:tc>
          <w:tcPr>
            <w:tcW w:w="779" w:type="dxa"/>
            <w:vAlign w:val="top"/>
          </w:tcPr>
          <w:p>
            <w:pPr>
              <w:spacing w:before="60" w:line="214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二级</w:t>
            </w:r>
          </w:p>
          <w:p>
            <w:pPr>
              <w:spacing w:line="220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839" w:type="dxa"/>
            <w:vAlign w:val="top"/>
          </w:tcPr>
          <w:p>
            <w:pPr>
              <w:spacing w:before="60" w:line="214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</w:p>
          <w:p>
            <w:pPr>
              <w:spacing w:line="220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719" w:type="dxa"/>
            <w:vAlign w:val="top"/>
          </w:tcPr>
          <w:p>
            <w:pPr>
              <w:spacing w:before="179" w:line="220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自评分</w:t>
            </w:r>
          </w:p>
        </w:tc>
        <w:tc>
          <w:tcPr>
            <w:tcW w:w="2457" w:type="dxa"/>
            <w:vAlign w:val="top"/>
          </w:tcPr>
          <w:p>
            <w:pPr>
              <w:spacing w:before="176" w:line="219" w:lineRule="auto"/>
              <w:ind w:left="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0"/>
                <w:sz w:val="18"/>
                <w:szCs w:val="18"/>
              </w:rPr>
              <w:t>指标解释</w:t>
            </w:r>
          </w:p>
        </w:tc>
        <w:tc>
          <w:tcPr>
            <w:tcW w:w="3192" w:type="dxa"/>
            <w:vAlign w:val="top"/>
          </w:tcPr>
          <w:p>
            <w:pPr>
              <w:spacing w:before="176" w:line="219" w:lineRule="auto"/>
              <w:ind w:left="1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说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450" w:lineRule="exact"/>
              <w:ind w:firstLine="75"/>
              <w:textAlignment w:val="center"/>
            </w:pPr>
            <w:r>
              <w:drawing>
                <wp:inline distT="0" distB="0" distL="0" distR="0">
                  <wp:extent cx="468630" cy="285750"/>
                  <wp:effectExtent l="0" t="0" r="1270" b="571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10" cy="28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0" w:lineRule="auto"/>
              <w:ind w:left="151" w:right="128" w:firstLine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设定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83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9" w:line="206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绩效目标</w:t>
            </w:r>
          </w:p>
          <w:p>
            <w:pPr>
              <w:spacing w:line="214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合理性</w:t>
            </w:r>
          </w:p>
          <w:p>
            <w:pPr>
              <w:spacing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(2分)</w:t>
            </w:r>
          </w:p>
        </w:tc>
        <w:tc>
          <w:tcPr>
            <w:tcW w:w="71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before="177" w:line="222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部门所设立的整体绩效目标依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据是否充分，是否符合客观实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际，用以反映和考核部门整体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绩效目标与部门履职、年度工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作任务的相符性情况。</w:t>
            </w:r>
          </w:p>
        </w:tc>
        <w:tc>
          <w:tcPr>
            <w:tcW w:w="3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6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①符合国家法律法规、国民经济和社会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发展总体规划计1分；②符合部门“三定”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方案确定的职责计0.5分；③是否符合部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门制定的中长期实施规划计0.5分。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绩效指标</w:t>
            </w:r>
          </w:p>
          <w:p>
            <w:pPr>
              <w:spacing w:line="19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明确性</w:t>
            </w:r>
          </w:p>
          <w:p>
            <w:pPr>
              <w:spacing w:line="220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(3分)</w:t>
            </w:r>
          </w:p>
        </w:tc>
        <w:tc>
          <w:tcPr>
            <w:tcW w:w="71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2457" w:type="dxa"/>
            <w:vAlign w:val="top"/>
          </w:tcPr>
          <w:p>
            <w:pPr>
              <w:spacing w:before="228" w:line="226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部门依据整体绩效目标所设定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的绩效指标是否清晰、细化、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可衡量，用以反映和考核部门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整体绩效目标的明细化情况。</w:t>
            </w:r>
          </w:p>
        </w:tc>
        <w:tc>
          <w:tcPr>
            <w:tcW w:w="3192" w:type="dxa"/>
            <w:vAlign w:val="top"/>
          </w:tcPr>
          <w:p>
            <w:pPr>
              <w:spacing w:before="38" w:line="210" w:lineRule="auto"/>
              <w:ind w:left="6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①将部门整体的绩效目标细化分解为具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体的工作任务计1分；②通过清晰、可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衡量的指标值予以体现计0.5分。③与部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门年度的任务数或计划数相对应计0.5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分；④与本年度部门预算资金相匹配计1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4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预算</w:t>
            </w:r>
          </w:p>
          <w:p>
            <w:pPr>
              <w:spacing w:line="211" w:lineRule="auto"/>
              <w:ind w:left="110" w:right="78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(15分)</w:t>
            </w:r>
          </w:p>
        </w:tc>
        <w:tc>
          <w:tcPr>
            <w:tcW w:w="8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在职人员</w:t>
            </w:r>
          </w:p>
          <w:p>
            <w:pPr>
              <w:spacing w:line="20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控制率</w:t>
            </w:r>
          </w:p>
          <w:p>
            <w:pPr>
              <w:spacing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71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5 </w:t>
            </w:r>
          </w:p>
        </w:tc>
        <w:tc>
          <w:tcPr>
            <w:tcW w:w="2457" w:type="dxa"/>
            <w:vAlign w:val="top"/>
          </w:tcPr>
          <w:p>
            <w:pPr>
              <w:spacing w:before="241" w:line="226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部门本年度实际在职人员数与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编制数的比率，用以反映和考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核部门对人员成本的控制程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37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。</w:t>
            </w:r>
          </w:p>
        </w:tc>
        <w:tc>
          <w:tcPr>
            <w:tcW w:w="3192" w:type="dxa"/>
            <w:vAlign w:val="top"/>
          </w:tcPr>
          <w:p>
            <w:pPr>
              <w:spacing w:before="57" w:line="212" w:lineRule="auto"/>
              <w:ind w:left="6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在职人员控制率=(在职人员数/编制数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×100%小于或等于1计5分，否则按比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例计分。在职人员数：部门实际在职人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数，以财政部确定的部门决算编制口径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为准。编制数：机构编制部门核定批复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的部门的人员编制数。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35" w:hanging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“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三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费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变动率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(5分)</w:t>
            </w:r>
          </w:p>
        </w:tc>
        <w:tc>
          <w:tcPr>
            <w:tcW w:w="71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457" w:type="dxa"/>
            <w:vAlign w:val="top"/>
          </w:tcPr>
          <w:p>
            <w:pPr>
              <w:spacing w:before="211" w:line="220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部门本年度“三公经费”预算数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与上年度“三公经费”预算数的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变动比率，用以反映和考核部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门对控制重点行政成本的努力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程</w:t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。</w:t>
            </w:r>
          </w:p>
        </w:tc>
        <w:tc>
          <w:tcPr>
            <w:tcW w:w="3192" w:type="dxa"/>
            <w:vAlign w:val="top"/>
          </w:tcPr>
          <w:p>
            <w:pPr>
              <w:spacing w:before="9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“三公经费”变动率=[(本年度“三公经费”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总额-上年度“三公经费”总额)/上年度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“三公经费”总额]×100%。下降的计5分，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增加的按比例扣减。“三公经费”:年度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>预算安排的因公出国(境)费、公务车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辆购置及运行费和公务招待费。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重点支出</w:t>
            </w:r>
          </w:p>
          <w:p>
            <w:pPr>
              <w:spacing w:before="4" w:line="216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安排率</w:t>
            </w:r>
          </w:p>
          <w:p>
            <w:pPr>
              <w:spacing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71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45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部门本年度预算安排的重点项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目支出与部门项目总支出的比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率，用以反映和考核部门对履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行主要职责或完成重点任务的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保障程度。</w:t>
            </w:r>
          </w:p>
        </w:tc>
        <w:tc>
          <w:tcPr>
            <w:tcW w:w="3192" w:type="dxa"/>
            <w:vAlign w:val="top"/>
          </w:tcPr>
          <w:p>
            <w:pPr>
              <w:spacing w:before="43" w:line="211" w:lineRule="auto"/>
              <w:ind w:left="6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重点支出安排率=(重点项目支出/项目总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支出)×100%。实际得分=支出安排率*5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分。重点项目支出：部门年度预算安排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的，与本部门履职和发展密切相关、具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有明显社会和经济影响、党委政府关心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或社会比较关注的项目支出总额。项目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总支出：部门年度预算安排的项目支出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额</w:t>
            </w: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44" w:right="116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(30分)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预算</w:t>
            </w:r>
          </w:p>
          <w:p>
            <w:pPr>
              <w:spacing w:before="1" w:line="212" w:lineRule="auto"/>
              <w:ind w:left="110" w:right="78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执行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(20分)</w:t>
            </w:r>
          </w:p>
        </w:tc>
        <w:tc>
          <w:tcPr>
            <w:tcW w:w="8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42" w:right="155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(4分)</w:t>
            </w:r>
          </w:p>
        </w:tc>
        <w:tc>
          <w:tcPr>
            <w:tcW w:w="71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部门本年度预算完成数与预算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数的比率，用以反映和考核部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门预算完成程度。</w:t>
            </w:r>
          </w:p>
        </w:tc>
        <w:tc>
          <w:tcPr>
            <w:tcW w:w="3192" w:type="dxa"/>
            <w:vAlign w:val="top"/>
          </w:tcPr>
          <w:p>
            <w:pPr>
              <w:spacing w:before="104" w:line="226" w:lineRule="auto"/>
              <w:ind w:left="6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预算完成率=(预算完成数/预算数)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×100%。完成年初预算计4分，未完成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年初预算按比例扣减，预算完成数：部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门本年度实际完成的预算数。预算数：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财政部门批复的本年度部门预算数。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42" w:right="155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调整率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(2分)</w:t>
            </w:r>
          </w:p>
        </w:tc>
        <w:tc>
          <w:tcPr>
            <w:tcW w:w="71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1.25</w:t>
            </w:r>
          </w:p>
        </w:tc>
        <w:tc>
          <w:tcPr>
            <w:tcW w:w="245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部门本年度预算调整数与预算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数的比率，用以反映和考核部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门预算的调整程度。</w:t>
            </w:r>
          </w:p>
        </w:tc>
        <w:tc>
          <w:tcPr>
            <w:tcW w:w="319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6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预算调整率=(预算调整数/预算数)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×100%。未调整的计2分，调整了的除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特殊原因外按比例扣减。预算调整数：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部门在本年度内涉及预算的追加、追减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或结构调整的资金总和(因落实国家政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策、发生不可抗力、上级部门或同级党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委政府临时交办而产生的调整除外)。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1513" w:bottom="1217" w:left="1554" w:header="0" w:footer="951" w:gutter="0"/>
          <w:pgNumType w:fmt="decimal"/>
          <w:cols w:space="720" w:num="1"/>
        </w:sectPr>
      </w:pPr>
    </w:p>
    <w:p/>
    <w:p/>
    <w:p>
      <w:pPr>
        <w:spacing w:line="111" w:lineRule="exact"/>
      </w:pPr>
    </w:p>
    <w:tbl>
      <w:tblPr>
        <w:tblStyle w:val="6"/>
        <w:tblW w:w="881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79"/>
        <w:gridCol w:w="849"/>
        <w:gridCol w:w="709"/>
        <w:gridCol w:w="2457"/>
        <w:gridCol w:w="3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4" w:type="dxa"/>
            <w:textDirection w:val="tbRlV"/>
            <w:vAlign w:val="top"/>
          </w:tcPr>
          <w:p>
            <w:pPr>
              <w:spacing w:before="248" w:line="225" w:lineRule="auto"/>
              <w:ind w:right="96" w:firstLine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级标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指</w:t>
            </w:r>
          </w:p>
        </w:tc>
        <w:tc>
          <w:tcPr>
            <w:tcW w:w="779" w:type="dxa"/>
            <w:vAlign w:val="top"/>
          </w:tcPr>
          <w:p>
            <w:pPr>
              <w:spacing w:before="31" w:line="214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二级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49" w:type="dxa"/>
            <w:textDirection w:val="tbRlV"/>
            <w:vAlign w:val="top"/>
          </w:tcPr>
          <w:p>
            <w:pPr>
              <w:spacing w:before="236" w:line="230" w:lineRule="exac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7"/>
                <w:szCs w:val="17"/>
              </w:rPr>
              <w:t>级标</w:t>
            </w:r>
          </w:p>
          <w:p>
            <w:pPr>
              <w:spacing w:line="228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指</w:t>
            </w:r>
          </w:p>
        </w:tc>
        <w:tc>
          <w:tcPr>
            <w:tcW w:w="709" w:type="dxa"/>
            <w:vAlign w:val="top"/>
          </w:tcPr>
          <w:p>
            <w:pPr>
              <w:spacing w:before="170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自评分</w:t>
            </w:r>
          </w:p>
        </w:tc>
        <w:tc>
          <w:tcPr>
            <w:tcW w:w="2457" w:type="dxa"/>
            <w:vAlign w:val="top"/>
          </w:tcPr>
          <w:p>
            <w:pPr>
              <w:spacing w:before="169" w:line="219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解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释</w:t>
            </w:r>
          </w:p>
        </w:tc>
        <w:tc>
          <w:tcPr>
            <w:tcW w:w="3182" w:type="dxa"/>
            <w:vAlign w:val="top"/>
          </w:tcPr>
          <w:p>
            <w:pPr>
              <w:spacing w:before="169" w:line="219" w:lineRule="auto"/>
              <w:ind w:left="1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7"/>
                <w:sz w:val="18"/>
                <w:szCs w:val="18"/>
              </w:rPr>
              <w:t>指标说明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10" w:lineRule="auto"/>
              <w:ind w:left="132" w:right="162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进度率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(2分)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6" w:line="218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部门实际支付进度与既定支付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进度的比率，用以反映和考核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部门预算执行的及时性和均衡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性程度</w:t>
            </w:r>
            <w:r>
              <w:rPr>
                <w:rFonts w:ascii="宋体" w:hAnsi="宋体" w:eastAsia="宋体" w:cs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。</w:t>
            </w:r>
          </w:p>
        </w:tc>
        <w:tc>
          <w:tcPr>
            <w:tcW w:w="3182" w:type="dxa"/>
            <w:vAlign w:val="top"/>
          </w:tcPr>
          <w:p>
            <w:pPr>
              <w:spacing w:before="35" w:line="212" w:lineRule="auto"/>
              <w:ind w:left="46" w:firstLine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支付进度率=(实际支付进度/既定支付进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度)×100%。完成年终进度的计1分，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按季度完成预算进度的计1分。实际支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付进度：部门在某一时点的支出预算执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行总数与年度支出预算数的比率。既定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支付进度：由部门在申报部门整体绩效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目标时，参照序时支付进度、前三年支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付进度、同级部门平均支付进度水平等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确定的，在某一时点应达到的支付进度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比</w:t>
            </w:r>
            <w:r>
              <w:rPr>
                <w:rFonts w:ascii="宋体" w:hAnsi="宋体" w:eastAsia="宋体" w:cs="宋体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率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结转结余</w:t>
            </w:r>
          </w:p>
          <w:p>
            <w:pPr>
              <w:spacing w:line="19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控制率</w:t>
            </w:r>
          </w:p>
          <w:p>
            <w:pPr>
              <w:spacing w:line="220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(4分)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57" w:type="dxa"/>
            <w:vAlign w:val="top"/>
          </w:tcPr>
          <w:p>
            <w:pPr>
              <w:spacing w:before="230" w:line="214" w:lineRule="auto"/>
              <w:ind w:left="54" w:right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部门本年度结转结余总额与上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年结转结余总额增减比例，用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以反映和考核部门对存量资金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的实际控制程度。</w:t>
            </w:r>
          </w:p>
        </w:tc>
        <w:tc>
          <w:tcPr>
            <w:tcW w:w="3182" w:type="dxa"/>
            <w:vAlign w:val="top"/>
          </w:tcPr>
          <w:p>
            <w:pPr>
              <w:spacing w:before="48" w:line="210" w:lineRule="auto"/>
              <w:ind w:left="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结转结余控制率=(本年结转结余总额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上年结转结余总额)/上年结转结余总额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×100%。低于15%的计4分，每超过5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个百分点扣1分，扣完为止。结转结余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总额：部门本年度的结转资金与结余资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金之和(以决算数为准)。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91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公用经费</w:t>
            </w:r>
          </w:p>
          <w:p>
            <w:pPr>
              <w:spacing w:before="4" w:line="196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控制率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(2分)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before="109" w:line="216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部门本年度实际支出的公用经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费总额与预算安排的公用经费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总额的比率，用以反映和考核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部门对机构运转成本的实际控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>制程度。</w:t>
            </w:r>
          </w:p>
        </w:tc>
        <w:tc>
          <w:tcPr>
            <w:tcW w:w="3182" w:type="dxa"/>
            <w:vAlign w:val="top"/>
          </w:tcPr>
          <w:p>
            <w:pPr>
              <w:spacing w:before="230" w:line="218" w:lineRule="auto"/>
              <w:ind w:left="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公用经费控制率=(实际支出公用经费总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额/预算安排公用经费总额)×100%。为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100%的计2分，每超过1个百分点扣0.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75" w:line="214" w:lineRule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“三公经</w:t>
            </w:r>
          </w:p>
          <w:p>
            <w:pPr>
              <w:spacing w:line="207" w:lineRule="auto"/>
              <w:ind w:left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费”控制率</w:t>
            </w:r>
          </w:p>
          <w:p>
            <w:pPr>
              <w:spacing w:line="22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(2分)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before="161" w:line="229" w:lineRule="auto"/>
              <w:ind w:left="53" w:hanging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部门本年度“三公经费”实际支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出数与预算安排数的比率，用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以反映和考核部门对“三公经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费”的实际控制程度。</w:t>
            </w:r>
          </w:p>
        </w:tc>
        <w:tc>
          <w:tcPr>
            <w:tcW w:w="3182" w:type="dxa"/>
            <w:vAlign w:val="top"/>
          </w:tcPr>
          <w:p>
            <w:pPr>
              <w:spacing w:before="181" w:line="218" w:lineRule="auto"/>
              <w:ind w:left="86" w:hanging="8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“三公经费”控制率=(“三公经费”实际支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出数/“三公经费”预算安排数)×100%。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为100%的计2分，每超过1个百分点扣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0.5分，扣完为止。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06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政府采购</w:t>
            </w:r>
          </w:p>
          <w:p>
            <w:pPr>
              <w:spacing w:line="19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  <w:p>
            <w:pPr>
              <w:spacing w:line="22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(4分)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4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部门本年度实际政府采购金额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与年初政府采购预算的比率，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用以反映和考核部门政府采购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预算执行情况。</w:t>
            </w:r>
          </w:p>
        </w:tc>
        <w:tc>
          <w:tcPr>
            <w:tcW w:w="3182" w:type="dxa"/>
            <w:vAlign w:val="top"/>
          </w:tcPr>
          <w:p>
            <w:pPr>
              <w:spacing w:before="105" w:line="226" w:lineRule="auto"/>
              <w:ind w:left="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政府采购执行率=(实际政府采购金额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政府采购预算数)×100%,为100%的计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2分，每低于1个百分点扣0.5分，扣完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为止；政府采购预算：采购机关根据事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业发展计划和行政任务编制的、并经过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规定程序批准的年度政府采购计划。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50" w:right="128" w:firstLine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84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207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管理制度</w:t>
            </w:r>
          </w:p>
          <w:p>
            <w:pPr>
              <w:spacing w:line="214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健全性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(2分)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before="102" w:line="220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部门为加强预算管理、规范财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务行为而制定的管理制度是否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健全完整，用以反映和考核部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门预算管理制度对完成主要职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>责或促进事业发展的保障情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况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。</w:t>
            </w:r>
          </w:p>
        </w:tc>
        <w:tc>
          <w:tcPr>
            <w:tcW w:w="3182" w:type="dxa"/>
            <w:vAlign w:val="top"/>
          </w:tcPr>
          <w:p>
            <w:pPr>
              <w:spacing w:before="222" w:line="216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已制定或具有预算资金管理办法、内部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财务管理制度、会计核算制度等管理制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度计1分；相关管理制度合法、合规、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完整计0.5分；相关管理制度得到有效执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行计0.5分。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9" w:line="196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资金使用</w:t>
            </w:r>
          </w:p>
          <w:p>
            <w:pPr>
              <w:spacing w:line="194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合规性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(1分)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45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部门使用预算资金是否符合相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>关的预算财务管理制度的规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定，用以反映和考核部门预算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资金的规范运行情况。</w:t>
            </w:r>
          </w:p>
        </w:tc>
        <w:tc>
          <w:tcPr>
            <w:tcW w:w="3182" w:type="dxa"/>
            <w:vAlign w:val="top"/>
          </w:tcPr>
          <w:p>
            <w:pPr>
              <w:spacing w:before="45" w:line="210" w:lineRule="auto"/>
              <w:ind w:left="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①符合国家财经法规和财务管理制度规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定以及有关专项资金管理办法的规定计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0.2分；②资金的拨付有完整的审批程序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和手续计0.2分；③项目的重大开支经过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评估论证计0.2分；④符合部门预算批复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的用途计0.2分；⑤不存在截留、挤占、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挪用、虚列支出等情况计0.2分。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116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预决算信</w:t>
            </w:r>
          </w:p>
          <w:p>
            <w:pPr>
              <w:spacing w:before="17" w:line="204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息公开性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(1分)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457" w:type="dxa"/>
            <w:vAlign w:val="top"/>
          </w:tcPr>
          <w:p>
            <w:pPr>
              <w:spacing w:before="46" w:line="207" w:lineRule="auto"/>
              <w:ind w:left="44" w:firstLine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部门是否按照政府信息公开有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关规定公开相关预决算信息，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用以反映和考核部门预决算管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理的公开透明情况。</w:t>
            </w:r>
          </w:p>
        </w:tc>
        <w:tc>
          <w:tcPr>
            <w:tcW w:w="3182" w:type="dxa"/>
            <w:vAlign w:val="top"/>
          </w:tcPr>
          <w:p>
            <w:pPr>
              <w:spacing w:before="44" w:line="228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①按规定内容公开预决算信息计0.5分；</w:t>
            </w:r>
          </w:p>
          <w:p>
            <w:pPr>
              <w:spacing w:before="10" w:line="197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②按规定时限公开预决算信息计0.5分。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预决算信息是指与部门预算、执行、决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算、监督、绩效等管理相关的信息。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07" w:line="215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基础信息</w:t>
            </w:r>
          </w:p>
          <w:p>
            <w:pPr>
              <w:spacing w:line="20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完善性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(1分)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457" w:type="dxa"/>
            <w:vAlign w:val="top"/>
          </w:tcPr>
          <w:p>
            <w:pPr>
              <w:spacing w:before="225" w:line="222" w:lineRule="auto"/>
              <w:ind w:left="5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部门基础信息是否完善，用以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反映和考核基础信息对预算管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理工作的支撑情况。</w:t>
            </w:r>
          </w:p>
        </w:tc>
        <w:tc>
          <w:tcPr>
            <w:tcW w:w="3182" w:type="dxa"/>
            <w:vAlign w:val="top"/>
          </w:tcPr>
          <w:p>
            <w:pPr>
              <w:spacing w:before="116" w:line="221" w:lineRule="auto"/>
              <w:ind w:left="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①基础数据信息和会计信息资料真实计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0.4分；②基础数据信息和会计信息资料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完整计0.3分；③基础数据信息和会计信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息资料准确计0.3分。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30"/>
          <w:pgMar w:top="1430" w:right="1554" w:bottom="1253" w:left="1509" w:header="0" w:footer="965" w:gutter="0"/>
          <w:pgNumType w:fmt="decimal"/>
          <w:cols w:space="720" w:num="1"/>
        </w:sectPr>
      </w:pPr>
    </w:p>
    <w:p/>
    <w:p/>
    <w:p>
      <w:pPr>
        <w:spacing w:line="101" w:lineRule="exact"/>
      </w:pPr>
    </w:p>
    <w:tbl>
      <w:tblPr>
        <w:tblStyle w:val="6"/>
        <w:tblW w:w="88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89"/>
        <w:gridCol w:w="839"/>
        <w:gridCol w:w="709"/>
        <w:gridCol w:w="2457"/>
        <w:gridCol w:w="3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4" w:type="dxa"/>
            <w:vAlign w:val="top"/>
          </w:tcPr>
          <w:p>
            <w:pPr>
              <w:spacing w:before="51" w:line="204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一级</w:t>
            </w:r>
          </w:p>
          <w:p>
            <w:pPr>
              <w:spacing w:line="220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789" w:type="dxa"/>
            <w:vAlign w:val="top"/>
          </w:tcPr>
          <w:p>
            <w:pPr>
              <w:spacing w:before="41" w:line="204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二级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39" w:type="dxa"/>
            <w:textDirection w:val="tbRlV"/>
            <w:vAlign w:val="top"/>
          </w:tcPr>
          <w:p>
            <w:pPr>
              <w:spacing w:before="257" w:line="19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级标</w:t>
            </w:r>
          </w:p>
          <w:p>
            <w:pPr>
              <w:spacing w:line="217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8"/>
                <w:szCs w:val="18"/>
              </w:rPr>
              <w:t>三指</w:t>
            </w:r>
          </w:p>
        </w:tc>
        <w:tc>
          <w:tcPr>
            <w:tcW w:w="709" w:type="dxa"/>
            <w:vAlign w:val="top"/>
          </w:tcPr>
          <w:p>
            <w:pPr>
              <w:spacing w:before="170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自评分</w:t>
            </w:r>
          </w:p>
        </w:tc>
        <w:tc>
          <w:tcPr>
            <w:tcW w:w="2457" w:type="dxa"/>
            <w:vAlign w:val="top"/>
          </w:tcPr>
          <w:p>
            <w:pPr>
              <w:spacing w:before="170" w:line="219" w:lineRule="auto"/>
              <w:ind w:left="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0"/>
                <w:sz w:val="18"/>
                <w:szCs w:val="18"/>
              </w:rPr>
              <w:t>指标解释</w:t>
            </w:r>
          </w:p>
        </w:tc>
        <w:tc>
          <w:tcPr>
            <w:tcW w:w="3215" w:type="dxa"/>
            <w:vAlign w:val="top"/>
          </w:tcPr>
          <w:p>
            <w:pPr>
              <w:spacing w:before="170" w:line="219" w:lineRule="auto"/>
              <w:ind w:left="1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7"/>
                <w:sz w:val="18"/>
                <w:szCs w:val="18"/>
              </w:rPr>
              <w:t>指标说明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61" w:right="128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资产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8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管理制度</w:t>
            </w:r>
          </w:p>
          <w:p>
            <w:pPr>
              <w:spacing w:before="7" w:line="21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健全性</w:t>
            </w:r>
          </w:p>
          <w:p>
            <w:pPr>
              <w:spacing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(2分)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before="49" w:line="221" w:lineRule="auto"/>
              <w:ind w:left="44" w:firstLine="1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部门为加强资产管理、规范资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产管理行为而制定的管理制度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是否健全完整，用以反映和考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核部门资产管理制度对完成主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要职责或促进社会发展的保障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情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况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。</w:t>
            </w:r>
          </w:p>
        </w:tc>
        <w:tc>
          <w:tcPr>
            <w:tcW w:w="3215" w:type="dxa"/>
            <w:vAlign w:val="top"/>
          </w:tcPr>
          <w:p>
            <w:pPr>
              <w:spacing w:before="265" w:line="212" w:lineRule="auto"/>
              <w:ind w:left="56" w:right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①制定或具有资产管理制度计1分；②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相关资金管理制度合法、合规、完整计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0.5分；③相关资产管理制度得到有效执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行计0.5分。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38" w:line="217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资产管理</w:t>
            </w:r>
          </w:p>
          <w:p>
            <w:pPr>
              <w:spacing w:line="207" w:lineRule="auto"/>
              <w:ind w:left="122" w:right="157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安全性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(2分)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before="47" w:line="216" w:lineRule="auto"/>
              <w:ind w:left="34" w:firstLine="2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部门的资产是否保存完整、使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用合规、配置合理、处置规范、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收入及时足额上缴，用以反映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和考核部门资产安全运行情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况</w:t>
            </w:r>
            <w:r>
              <w:rPr>
                <w:rFonts w:ascii="宋体" w:hAnsi="宋体" w:eastAsia="宋体" w:cs="宋体"/>
                <w:spacing w:val="3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。</w:t>
            </w:r>
          </w:p>
        </w:tc>
        <w:tc>
          <w:tcPr>
            <w:tcW w:w="3215" w:type="dxa"/>
            <w:vAlign w:val="top"/>
          </w:tcPr>
          <w:p>
            <w:pPr>
              <w:spacing w:before="56" w:line="217" w:lineRule="auto"/>
              <w:ind w:left="46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①资产保存完整计0.4分；②资产配置合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理计0.4分；③资产处置规范计0.4分；</w:t>
            </w:r>
          </w:p>
          <w:p>
            <w:pPr>
              <w:spacing w:before="1" w:line="202" w:lineRule="auto"/>
              <w:ind w:left="56" w:righ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④资产账务管理合规、帐实相符计0.4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分；⑤资产有偿使用及处置收入及时足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额上缴计0.4分。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49" w:line="215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固定资产</w:t>
            </w:r>
          </w:p>
          <w:p>
            <w:pPr>
              <w:spacing w:line="216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利用率</w:t>
            </w:r>
          </w:p>
          <w:p>
            <w:pPr>
              <w:spacing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(1分)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457" w:type="dxa"/>
            <w:vAlign w:val="top"/>
          </w:tcPr>
          <w:p>
            <w:pPr>
              <w:spacing w:before="67" w:line="223" w:lineRule="auto"/>
              <w:ind w:left="6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部门实际在用固定资产总额与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所有固定资产总额的比率，用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以反映和考核部门固定资产使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用效率程度。</w:t>
            </w:r>
          </w:p>
        </w:tc>
        <w:tc>
          <w:tcPr>
            <w:tcW w:w="3215" w:type="dxa"/>
            <w:vAlign w:val="top"/>
          </w:tcPr>
          <w:p>
            <w:pPr>
              <w:spacing w:before="70" w:line="210" w:lineRule="auto"/>
              <w:ind w:left="56" w:right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固定资产利用率=(实际在用固定资产总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额/所有固定资产总额)×100%。利用率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为100%的计1分，每降1个百分点扣0.1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auto"/>
              <w:ind w:left="155" w:righ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(30分)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职责</w:t>
            </w:r>
          </w:p>
          <w:p>
            <w:pPr>
              <w:spacing w:line="220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履行</w:t>
            </w:r>
          </w:p>
        </w:tc>
        <w:tc>
          <w:tcPr>
            <w:tcW w:w="83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42" w:right="155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(8分)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24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6" w:line="221" w:lineRule="auto"/>
              <w:ind w:left="6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部门履行职责而实际完成工作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数与计划工作数的比率，用以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反映和考核部门履职工作任务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目标的实现程度。</w:t>
            </w:r>
          </w:p>
        </w:tc>
        <w:tc>
          <w:tcPr>
            <w:tcW w:w="321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56" w:right="2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实际完成率得分=完成市委市政府绩效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考核得分或上级主管部门考核指标得分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指标分值*8分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9" w:line="210" w:lineRule="auto"/>
              <w:ind w:left="142" w:right="153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完成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(4分)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45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 w:line="218" w:lineRule="auto"/>
              <w:ind w:left="6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部门在规定时限内及时完成的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实际工作数与计划工作数的比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率，用以反映和考核部门履职时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效目标的实现程度。</w:t>
            </w:r>
          </w:p>
        </w:tc>
        <w:tc>
          <w:tcPr>
            <w:tcW w:w="321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6" w:righ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完成及时率=(及时完成实际工作数/计划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工作数)×100%。1-4季度各得1分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32" w:right="153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达标率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(8分)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24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63" w:hanging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达到质量标准(绩效标准值)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的实际工作数与计划工作数的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比率，用以反映和考核部门履职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质量目标的实现程度。</w:t>
            </w:r>
          </w:p>
        </w:tc>
        <w:tc>
          <w:tcPr>
            <w:tcW w:w="321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58" w:line="212" w:lineRule="auto"/>
              <w:ind w:left="56" w:righ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质量达标率=(质量达标实际工作数/计划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工作数)×100%。实际得分=达标率*8分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04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重点工作</w:t>
            </w:r>
          </w:p>
          <w:p>
            <w:pPr>
              <w:spacing w:line="20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办结率</w:t>
            </w:r>
          </w:p>
          <w:p>
            <w:pPr>
              <w:spacing w:line="220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(10分)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2457" w:type="dxa"/>
            <w:vAlign w:val="top"/>
          </w:tcPr>
          <w:p>
            <w:pPr>
              <w:spacing w:before="243" w:line="218" w:lineRule="auto"/>
              <w:ind w:left="6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部门年度重点工作实际完成数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与交办或下达数的比率，用以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反映部门对重点工作的办理落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程</w:t>
            </w:r>
            <w:r>
              <w:rPr>
                <w:rFonts w:ascii="宋体" w:hAnsi="宋体" w:eastAsia="宋体" w:cs="宋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。</w:t>
            </w:r>
          </w:p>
        </w:tc>
        <w:tc>
          <w:tcPr>
            <w:tcW w:w="321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210" w:lineRule="auto"/>
              <w:ind w:left="56" w:right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重点工作办结率=(重点工作实际完成数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/交办或下达数)×100%。实际得分=办结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率*10分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55" w:righ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20分)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04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履职</w:t>
            </w:r>
          </w:p>
          <w:p>
            <w:pPr>
              <w:spacing w:before="1" w:line="217" w:lineRule="auto"/>
              <w:ind w:left="110" w:right="88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(20分)</w:t>
            </w:r>
          </w:p>
        </w:tc>
        <w:tc>
          <w:tcPr>
            <w:tcW w:w="839" w:type="dxa"/>
            <w:vAlign w:val="top"/>
          </w:tcPr>
          <w:p>
            <w:pPr>
              <w:spacing w:before="275" w:line="228" w:lineRule="auto"/>
              <w:ind w:left="181" w:right="65" w:hanging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457" w:type="dxa"/>
            <w:vAlign w:val="top"/>
          </w:tcPr>
          <w:p>
            <w:pPr>
              <w:spacing w:before="295" w:line="217" w:lineRule="auto"/>
              <w:ind w:left="64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部门履行职责对经济发展所带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来的直接或间接影响。</w:t>
            </w:r>
          </w:p>
        </w:tc>
        <w:tc>
          <w:tcPr>
            <w:tcW w:w="321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按经济效益实现程度计算得分(5分);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按社会效益实现程度计算得分(5分);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按生态效益实现程度计算得分(5分)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44" w:line="208" w:lineRule="auto"/>
              <w:ind w:left="131" w:right="65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457" w:type="dxa"/>
            <w:vAlign w:val="top"/>
          </w:tcPr>
          <w:p>
            <w:pPr>
              <w:spacing w:before="234" w:line="223" w:lineRule="auto"/>
              <w:ind w:left="64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部门履行职责对社会发展所带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来的直接或间接影响。</w:t>
            </w:r>
          </w:p>
        </w:tc>
        <w:tc>
          <w:tcPr>
            <w:tcW w:w="32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7" w:line="196" w:lineRule="auto"/>
              <w:ind w:left="111" w:right="65" w:hanging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457" w:type="dxa"/>
            <w:vAlign w:val="top"/>
          </w:tcPr>
          <w:p>
            <w:pPr>
              <w:spacing w:before="36" w:line="203" w:lineRule="auto"/>
              <w:ind w:left="64" w:righ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部门履行职责对生态环境所带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来的直接或间接影响。</w:t>
            </w:r>
          </w:p>
        </w:tc>
        <w:tc>
          <w:tcPr>
            <w:tcW w:w="3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85" w:line="216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社会公众</w:t>
            </w:r>
          </w:p>
          <w:p>
            <w:pPr>
              <w:spacing w:line="194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或服务对</w:t>
            </w:r>
          </w:p>
          <w:p>
            <w:pPr>
              <w:spacing w:line="205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象满意度</w:t>
            </w:r>
          </w:p>
          <w:p>
            <w:pPr>
              <w:spacing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(5分)</w:t>
            </w:r>
          </w:p>
        </w:tc>
        <w:tc>
          <w:tcPr>
            <w:tcW w:w="70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45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9" w:line="218" w:lineRule="auto"/>
              <w:ind w:left="64" w:righ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社会公众或部门的服务对象对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部门履职效果的满意程度。</w:t>
            </w:r>
          </w:p>
        </w:tc>
        <w:tc>
          <w:tcPr>
            <w:tcW w:w="3215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56" w:righ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按收集到的服务对象的满意率计算得分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)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ind w:firstLine="2520" w:firstLineChars="1200"/>
        <w:rPr>
          <w:rFonts w:hint="default" w:ascii="Arial" w:eastAsia="宋体"/>
          <w:sz w:val="21"/>
          <w:lang w:val="en-US" w:eastAsia="zh-CN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4" w:line="183" w:lineRule="auto"/>
        <w:jc w:val="right"/>
        <w:sectPr>
          <w:footerReference r:id="rId7" w:type="default"/>
          <w:pgSz w:w="11900" w:h="16830"/>
          <w:pgMar w:top="1430" w:right="1483" w:bottom="400" w:left="1554" w:header="0" w:footer="0" w:gutter="0"/>
          <w:pgNumType w:fmt="decimal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center"/>
      <w:rPr>
        <w:rFonts w:hint="eastAsia" w:ascii="宋体" w:hAnsi="宋体" w:eastAsia="宋体" w:cs="宋体"/>
        <w:sz w:val="27"/>
        <w:szCs w:val="27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hint="default" w:ascii="宋体" w:hAnsi="宋体" w:eastAsia="宋体" w:cs="宋体"/>
        <w:sz w:val="29"/>
        <w:szCs w:val="29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WM4ZGIzNzU1NzRmMWU0ZTgwZmIzN2YzZWNjNjkifQ=="/>
  </w:docVars>
  <w:rsids>
    <w:rsidRoot w:val="0DB62FFF"/>
    <w:rsid w:val="0CA6220D"/>
    <w:rsid w:val="0DB62FFF"/>
    <w:rsid w:val="26795D9E"/>
    <w:rsid w:val="4E346E10"/>
    <w:rsid w:val="656C68AE"/>
    <w:rsid w:val="69E031FB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4882</Words>
  <Characters>5167</Characters>
  <Lines>0</Lines>
  <Paragraphs>0</Paragraphs>
  <TotalTime>15</TotalTime>
  <ScaleCrop>false</ScaleCrop>
  <LinksUpToDate>false</LinksUpToDate>
  <CharactersWithSpaces>5651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2023-03-28T12:57:00Z</dcterms:created>
  <dc:creator>妞妞球</dc:creator>
  <cp:lastModifiedBy>妞妞球</cp:lastModifiedBy>
  <dcterms:modified xsi:type="dcterms:W3CDTF">2023-06-14T08:10:10Z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EA94A3C01353404C9A968E03129DD98A_13</vt:lpwstr>
  </property>
</Properties>
</file>