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900" w:lineRule="atLeast"/>
        <w:jc w:val="center"/>
        <w:outlineLvl w:val="0"/>
        <w:rPr>
          <w:rFonts w:ascii="仿宋" w:hAnsi="仿宋" w:eastAsia="仿宋" w:cs="宋体"/>
          <w:b/>
          <w:bCs/>
          <w:color w:val="333333"/>
          <w:kern w:val="36"/>
          <w:sz w:val="36"/>
          <w:szCs w:val="36"/>
        </w:rPr>
      </w:pPr>
    </w:p>
    <w:p>
      <w:pPr>
        <w:shd w:val="clear" w:color="auto" w:fill="FFFFFF"/>
        <w:spacing w:line="900" w:lineRule="atLeast"/>
        <w:jc w:val="center"/>
        <w:outlineLvl w:val="0"/>
        <w:rPr>
          <w:rFonts w:ascii="仿宋" w:hAnsi="仿宋" w:eastAsia="仿宋" w:cs="宋体"/>
          <w:b/>
          <w:bCs/>
          <w:color w:val="333333"/>
          <w:kern w:val="36"/>
          <w:sz w:val="36"/>
          <w:szCs w:val="36"/>
        </w:rPr>
      </w:pPr>
    </w:p>
    <w:p>
      <w:pPr>
        <w:shd w:val="clear" w:color="auto" w:fill="FFFFFF"/>
        <w:spacing w:line="480" w:lineRule="exact"/>
        <w:jc w:val="center"/>
        <w:outlineLvl w:val="0"/>
        <w:rPr>
          <w:rFonts w:ascii="仿宋" w:hAnsi="仿宋" w:eastAsia="仿宋" w:cs="宋体"/>
          <w:b/>
          <w:bCs/>
          <w:color w:val="333333"/>
          <w:kern w:val="36"/>
          <w:sz w:val="36"/>
          <w:szCs w:val="36"/>
        </w:rPr>
      </w:pPr>
    </w:p>
    <w:p>
      <w:pPr>
        <w:shd w:val="clear" w:color="auto" w:fill="FFFFFF"/>
        <w:spacing w:line="480" w:lineRule="exact"/>
        <w:jc w:val="center"/>
        <w:outlineLvl w:val="0"/>
        <w:rPr>
          <w:rFonts w:ascii="仿宋" w:hAnsi="仿宋" w:eastAsia="仿宋" w:cs="宋体"/>
          <w:b/>
          <w:bCs/>
          <w:color w:val="333333"/>
          <w:kern w:val="36"/>
          <w:sz w:val="30"/>
          <w:szCs w:val="30"/>
        </w:rPr>
      </w:pPr>
      <w:r>
        <w:rPr>
          <w:rFonts w:hint="eastAsia" w:ascii="仿宋" w:hAnsi="仿宋" w:eastAsia="仿宋" w:cs="宋体"/>
          <w:b/>
          <w:bCs/>
          <w:color w:val="333333"/>
          <w:kern w:val="36"/>
          <w:sz w:val="30"/>
          <w:szCs w:val="30"/>
        </w:rPr>
        <w:t>南县农业农村局</w:t>
      </w:r>
    </w:p>
    <w:p>
      <w:pPr>
        <w:shd w:val="clear" w:color="auto" w:fill="FFFFFF"/>
        <w:spacing w:line="480" w:lineRule="exact"/>
        <w:jc w:val="center"/>
        <w:outlineLvl w:val="0"/>
        <w:rPr>
          <w:rFonts w:ascii="仿宋" w:hAnsi="仿宋" w:eastAsia="仿宋" w:cs="宋体"/>
          <w:b/>
          <w:bCs/>
          <w:color w:val="333333"/>
          <w:kern w:val="36"/>
          <w:sz w:val="30"/>
          <w:szCs w:val="30"/>
        </w:rPr>
      </w:pPr>
      <w:bookmarkStart w:id="1" w:name="_GoBack"/>
      <w:r>
        <w:rPr>
          <w:rFonts w:hint="eastAsia" w:ascii="仿宋" w:hAnsi="仿宋" w:eastAsia="仿宋" w:cs="宋体"/>
          <w:b/>
          <w:bCs/>
          <w:color w:val="333333"/>
          <w:kern w:val="36"/>
          <w:sz w:val="30"/>
          <w:szCs w:val="30"/>
        </w:rPr>
        <w:t>2021年“农村清洁工程服务外包项目”</w:t>
      </w:r>
    </w:p>
    <w:bookmarkEnd w:id="1"/>
    <w:p>
      <w:pPr>
        <w:shd w:val="clear" w:color="auto" w:fill="FFFFFF"/>
        <w:spacing w:line="480" w:lineRule="exact"/>
        <w:jc w:val="center"/>
        <w:outlineLvl w:val="0"/>
        <w:rPr>
          <w:rFonts w:ascii="仿宋" w:hAnsi="仿宋" w:eastAsia="仿宋" w:cs="宋体"/>
          <w:b/>
          <w:bCs/>
          <w:color w:val="333333"/>
          <w:kern w:val="36"/>
          <w:sz w:val="30"/>
          <w:szCs w:val="30"/>
        </w:rPr>
      </w:pPr>
      <w:r>
        <w:rPr>
          <w:rFonts w:hint="eastAsia" w:ascii="仿宋" w:hAnsi="仿宋" w:eastAsia="仿宋" w:cs="宋体"/>
          <w:b/>
          <w:bCs/>
          <w:color w:val="333333"/>
          <w:kern w:val="36"/>
          <w:sz w:val="30"/>
          <w:szCs w:val="30"/>
        </w:rPr>
        <w:t>绩效评价报告</w:t>
      </w:r>
    </w:p>
    <w:p>
      <w:pPr>
        <w:tabs>
          <w:tab w:val="left" w:pos="1260"/>
          <w:tab w:val="left" w:pos="6090"/>
        </w:tabs>
        <w:spacing w:line="480" w:lineRule="exact"/>
        <w:jc w:val="center"/>
        <w:rPr>
          <w:rFonts w:ascii="仿宋" w:hAnsi="仿宋" w:eastAsia="仿宋"/>
          <w:b/>
          <w:spacing w:val="24"/>
          <w:sz w:val="24"/>
          <w:szCs w:val="24"/>
        </w:rPr>
      </w:pPr>
      <w:r>
        <w:rPr>
          <w:rFonts w:hint="eastAsia" w:ascii="仿宋" w:hAnsi="仿宋" w:eastAsia="仿宋"/>
          <w:b/>
          <w:spacing w:val="24"/>
          <w:sz w:val="24"/>
          <w:szCs w:val="24"/>
        </w:rPr>
        <w:t xml:space="preserve"> 湘财苑绩评字[2022]1-010号</w:t>
      </w:r>
    </w:p>
    <w:p>
      <w:pPr>
        <w:tabs>
          <w:tab w:val="left" w:pos="1260"/>
          <w:tab w:val="left" w:pos="6090"/>
        </w:tabs>
        <w:spacing w:line="740" w:lineRule="exact"/>
        <w:jc w:val="center"/>
        <w:rPr>
          <w:rFonts w:ascii="仿宋" w:hAnsi="仿宋" w:eastAsia="仿宋"/>
          <w:b/>
          <w:spacing w:val="24"/>
          <w:sz w:val="52"/>
          <w:szCs w:val="52"/>
        </w:rPr>
      </w:pPr>
    </w:p>
    <w:p>
      <w:pPr>
        <w:tabs>
          <w:tab w:val="left" w:pos="1260"/>
          <w:tab w:val="left" w:pos="6090"/>
        </w:tabs>
        <w:spacing w:line="740" w:lineRule="exact"/>
        <w:jc w:val="center"/>
        <w:rPr>
          <w:rFonts w:ascii="仿宋" w:hAnsi="仿宋" w:eastAsia="仿宋"/>
          <w:b/>
          <w:spacing w:val="24"/>
          <w:sz w:val="52"/>
          <w:szCs w:val="52"/>
        </w:rPr>
      </w:pPr>
    </w:p>
    <w:p>
      <w:pPr>
        <w:tabs>
          <w:tab w:val="left" w:pos="1260"/>
          <w:tab w:val="left" w:pos="6090"/>
        </w:tabs>
        <w:spacing w:line="740" w:lineRule="exact"/>
        <w:jc w:val="center"/>
        <w:rPr>
          <w:rFonts w:ascii="仿宋" w:hAnsi="仿宋" w:eastAsia="仿宋"/>
          <w:b/>
          <w:spacing w:val="24"/>
          <w:sz w:val="52"/>
          <w:szCs w:val="52"/>
        </w:rPr>
      </w:pPr>
    </w:p>
    <w:p>
      <w:pPr>
        <w:tabs>
          <w:tab w:val="left" w:pos="1260"/>
          <w:tab w:val="left" w:pos="6090"/>
        </w:tabs>
        <w:spacing w:line="740" w:lineRule="exact"/>
        <w:jc w:val="center"/>
        <w:rPr>
          <w:rFonts w:ascii="仿宋" w:hAnsi="仿宋" w:eastAsia="仿宋"/>
          <w:b/>
          <w:spacing w:val="24"/>
          <w:sz w:val="52"/>
          <w:szCs w:val="52"/>
        </w:rPr>
      </w:pPr>
    </w:p>
    <w:p>
      <w:pPr>
        <w:tabs>
          <w:tab w:val="left" w:pos="1260"/>
          <w:tab w:val="left" w:pos="6090"/>
        </w:tabs>
        <w:spacing w:line="740" w:lineRule="exact"/>
        <w:jc w:val="center"/>
        <w:rPr>
          <w:rFonts w:ascii="仿宋" w:hAnsi="仿宋" w:eastAsia="仿宋"/>
          <w:b/>
          <w:spacing w:val="24"/>
          <w:sz w:val="52"/>
          <w:szCs w:val="52"/>
        </w:rPr>
      </w:pPr>
    </w:p>
    <w:p>
      <w:pPr>
        <w:tabs>
          <w:tab w:val="left" w:pos="1260"/>
          <w:tab w:val="left" w:pos="6090"/>
        </w:tabs>
        <w:spacing w:line="740" w:lineRule="exact"/>
        <w:jc w:val="center"/>
        <w:rPr>
          <w:rFonts w:ascii="仿宋" w:hAnsi="仿宋" w:eastAsia="仿宋"/>
          <w:b/>
          <w:spacing w:val="24"/>
          <w:sz w:val="52"/>
          <w:szCs w:val="52"/>
        </w:rPr>
      </w:pPr>
    </w:p>
    <w:p>
      <w:pPr>
        <w:tabs>
          <w:tab w:val="left" w:pos="1260"/>
          <w:tab w:val="left" w:pos="6090"/>
        </w:tabs>
        <w:spacing w:line="740" w:lineRule="exact"/>
        <w:jc w:val="center"/>
        <w:rPr>
          <w:rFonts w:ascii="仿宋" w:hAnsi="仿宋" w:eastAsia="仿宋"/>
          <w:b/>
          <w:spacing w:val="24"/>
          <w:sz w:val="52"/>
          <w:szCs w:val="52"/>
        </w:rPr>
      </w:pPr>
    </w:p>
    <w:p>
      <w:pPr>
        <w:tabs>
          <w:tab w:val="left" w:pos="1260"/>
          <w:tab w:val="left" w:pos="6090"/>
        </w:tabs>
        <w:spacing w:line="740" w:lineRule="exact"/>
        <w:jc w:val="center"/>
        <w:rPr>
          <w:rFonts w:ascii="仿宋" w:hAnsi="仿宋" w:eastAsia="仿宋"/>
          <w:b/>
          <w:spacing w:val="24"/>
          <w:sz w:val="52"/>
          <w:szCs w:val="52"/>
        </w:rPr>
      </w:pPr>
    </w:p>
    <w:p>
      <w:pPr>
        <w:tabs>
          <w:tab w:val="left" w:pos="1260"/>
          <w:tab w:val="left" w:pos="6090"/>
        </w:tabs>
        <w:spacing w:line="740" w:lineRule="exact"/>
        <w:jc w:val="center"/>
        <w:rPr>
          <w:rFonts w:ascii="仿宋" w:hAnsi="仿宋" w:eastAsia="仿宋"/>
          <w:b/>
          <w:spacing w:val="24"/>
          <w:sz w:val="32"/>
          <w:szCs w:val="32"/>
        </w:rPr>
      </w:pPr>
      <w:r>
        <w:rPr>
          <w:rFonts w:hint="eastAsia" w:ascii="仿宋" w:hAnsi="仿宋" w:eastAsia="仿宋"/>
          <w:b/>
          <w:spacing w:val="24"/>
          <w:sz w:val="32"/>
          <w:szCs w:val="32"/>
        </w:rPr>
        <w:t>湖南新财苑会计师事务所有限公司</w:t>
      </w:r>
    </w:p>
    <w:p>
      <w:pPr>
        <w:tabs>
          <w:tab w:val="left" w:pos="1260"/>
          <w:tab w:val="left" w:pos="6090"/>
        </w:tabs>
        <w:spacing w:line="740" w:lineRule="exact"/>
        <w:jc w:val="center"/>
        <w:rPr>
          <w:rFonts w:ascii="仿宋" w:hAnsi="仿宋" w:eastAsia="仿宋"/>
          <w:b/>
          <w:spacing w:val="24"/>
          <w:sz w:val="32"/>
          <w:szCs w:val="32"/>
        </w:rPr>
      </w:pPr>
    </w:p>
    <w:p>
      <w:pPr>
        <w:tabs>
          <w:tab w:val="left" w:pos="1260"/>
          <w:tab w:val="left" w:pos="6090"/>
        </w:tabs>
        <w:spacing w:line="740" w:lineRule="exact"/>
        <w:jc w:val="center"/>
        <w:rPr>
          <w:rFonts w:ascii="仿宋" w:hAnsi="仿宋" w:eastAsia="仿宋"/>
          <w:b/>
          <w:spacing w:val="24"/>
          <w:sz w:val="32"/>
          <w:szCs w:val="32"/>
        </w:rPr>
      </w:pPr>
    </w:p>
    <w:p>
      <w:pPr>
        <w:tabs>
          <w:tab w:val="left" w:pos="1260"/>
          <w:tab w:val="left" w:pos="6090"/>
        </w:tabs>
        <w:spacing w:line="740" w:lineRule="exact"/>
        <w:jc w:val="distribute"/>
        <w:rPr>
          <w:rFonts w:ascii="宋体" w:hAnsi="宋体"/>
          <w:b/>
          <w:spacing w:val="24"/>
          <w:sz w:val="48"/>
          <w:szCs w:val="48"/>
        </w:rPr>
      </w:pPr>
    </w:p>
    <w:p>
      <w:pPr>
        <w:tabs>
          <w:tab w:val="left" w:pos="1260"/>
          <w:tab w:val="left" w:pos="6090"/>
        </w:tabs>
        <w:spacing w:line="740" w:lineRule="exact"/>
        <w:jc w:val="distribute"/>
        <w:rPr>
          <w:rFonts w:ascii="宋体" w:hAnsi="宋体"/>
          <w:b/>
          <w:spacing w:val="24"/>
          <w:sz w:val="48"/>
          <w:szCs w:val="48"/>
        </w:rPr>
      </w:pPr>
    </w:p>
    <w:p>
      <w:pPr>
        <w:tabs>
          <w:tab w:val="left" w:pos="1260"/>
          <w:tab w:val="left" w:pos="6090"/>
        </w:tabs>
        <w:spacing w:line="740" w:lineRule="exact"/>
        <w:jc w:val="distribute"/>
        <w:rPr>
          <w:rFonts w:ascii="宋体" w:hAnsi="宋体"/>
          <w:b/>
          <w:spacing w:val="24"/>
          <w:sz w:val="48"/>
          <w:szCs w:val="48"/>
        </w:rPr>
      </w:pPr>
      <w:r>
        <w:rPr>
          <w:rFonts w:hint="eastAsia" w:ascii="宋体" w:hAnsi="宋体"/>
          <w:b/>
          <w:spacing w:val="24"/>
          <w:sz w:val="48"/>
          <w:szCs w:val="48"/>
        </w:rPr>
        <w:t>湖南新财苑会计师事务所有限公司</w:t>
      </w:r>
    </w:p>
    <w:p>
      <w:pPr>
        <w:jc w:val="distribute"/>
        <w:rPr>
          <w:rFonts w:ascii="宋体" w:hAnsi="宋体"/>
          <w:spacing w:val="40"/>
          <w:sz w:val="28"/>
          <w:szCs w:val="28"/>
        </w:rPr>
      </w:pPr>
      <w:r>
        <w:rPr>
          <w:rFonts w:hint="eastAsia" w:ascii="宋体" w:hAnsi="宋体"/>
          <w:spacing w:val="9"/>
          <w:w w:val="83"/>
          <w:kern w:val="0"/>
          <w:sz w:val="28"/>
          <w:szCs w:val="28"/>
        </w:rPr>
        <w:t>HUNAN   XINCAIYUAN   PUBLIC   ACCOUNTANTS   CO.   LTD</w:t>
      </w:r>
      <w:r>
        <w:rPr>
          <w:rFonts w:hint="eastAsia" w:ascii="宋体" w:hAnsi="宋体"/>
          <w:spacing w:val="-11"/>
          <w:w w:val="83"/>
          <w:kern w:val="0"/>
          <w:sz w:val="28"/>
          <w:szCs w:val="28"/>
        </w:rPr>
        <w:t>.</w:t>
      </w:r>
    </w:p>
    <w:p>
      <w:pPr>
        <w:jc w:val="distribute"/>
        <w:rPr>
          <w:rFonts w:ascii="宋体" w:hAnsi="宋体"/>
          <w:spacing w:val="40"/>
          <w:sz w:val="28"/>
          <w:szCs w:val="28"/>
        </w:rPr>
      </w:pPr>
      <w:r>
        <w:rPr>
          <w:rFonts w:hint="eastAsia" w:ascii="宋体" w:hAnsi="宋体"/>
          <w:szCs w:val="21"/>
        </w:rPr>
        <w:t>地址:长沙市芙蓉区马王堆街道紫微路号华泰大厦20层 邮编410011 电话：0731-84885348</w:t>
      </w:r>
    </w:p>
    <w:tbl>
      <w:tblPr>
        <w:tblStyle w:val="8"/>
        <w:tblpPr w:leftFromText="180" w:rightFromText="180" w:vertAnchor="text" w:horzAnchor="margin" w:tblpXSpec="center" w:tblpY="51"/>
        <w:tblW w:w="94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7" w:type="dxa"/>
            <w:tcBorders>
              <w:top w:val="single" w:color="auto" w:sz="4" w:space="0"/>
              <w:left w:val="nil"/>
              <w:bottom w:val="nil"/>
              <w:right w:val="nil"/>
            </w:tcBorders>
          </w:tcPr>
          <w:p>
            <w:pPr>
              <w:shd w:val="clear" w:color="auto" w:fill="FFFFFF"/>
              <w:spacing w:line="520" w:lineRule="exact"/>
              <w:jc w:val="center"/>
              <w:outlineLvl w:val="0"/>
              <w:rPr>
                <w:rFonts w:ascii="仿宋" w:hAnsi="仿宋" w:eastAsia="仿宋"/>
                <w:b/>
                <w:sz w:val="30"/>
                <w:szCs w:val="30"/>
              </w:rPr>
            </w:pPr>
            <w:r>
              <w:rPr>
                <w:rFonts w:hint="eastAsia" w:ascii="仿宋" w:hAnsi="仿宋" w:eastAsia="仿宋"/>
                <w:b/>
                <w:sz w:val="30"/>
                <w:szCs w:val="30"/>
              </w:rPr>
              <w:t>南县农业农村局</w:t>
            </w:r>
          </w:p>
          <w:p>
            <w:pPr>
              <w:shd w:val="clear" w:color="auto" w:fill="FFFFFF"/>
              <w:spacing w:line="520" w:lineRule="exact"/>
              <w:jc w:val="center"/>
              <w:outlineLvl w:val="0"/>
              <w:rPr>
                <w:rFonts w:ascii="仿宋" w:hAnsi="仿宋" w:eastAsia="仿宋"/>
                <w:b/>
                <w:sz w:val="30"/>
                <w:szCs w:val="30"/>
              </w:rPr>
            </w:pPr>
            <w:r>
              <w:rPr>
                <w:rFonts w:hint="eastAsia" w:ascii="仿宋" w:hAnsi="仿宋" w:eastAsia="仿宋"/>
                <w:b/>
                <w:sz w:val="30"/>
                <w:szCs w:val="30"/>
              </w:rPr>
              <w:t xml:space="preserve"> 2021年“农村清洁工程服务外包项目”</w:t>
            </w:r>
          </w:p>
          <w:p>
            <w:pPr>
              <w:spacing w:line="520" w:lineRule="exact"/>
              <w:ind w:left="3045" w:leftChars="1450" w:firstLine="602" w:firstLineChars="200"/>
              <w:rPr>
                <w:rFonts w:eastAsia="仿宋_GB2312"/>
                <w:szCs w:val="21"/>
                <w:u w:val="single"/>
                <w:bdr w:val="single" w:color="auto" w:sz="4" w:space="0"/>
              </w:rPr>
            </w:pPr>
            <w:r>
              <w:rPr>
                <w:rFonts w:hint="eastAsia" w:ascii="仿宋" w:hAnsi="仿宋" w:eastAsia="仿宋"/>
                <w:b/>
                <w:sz w:val="30"/>
                <w:szCs w:val="30"/>
              </w:rPr>
              <w:t>绩效评价报告</w:t>
            </w:r>
          </w:p>
        </w:tc>
      </w:tr>
    </w:tbl>
    <w:p>
      <w:pPr>
        <w:spacing w:line="520" w:lineRule="exact"/>
        <w:ind w:firstLine="2304" w:firstLineChars="800"/>
        <w:rPr>
          <w:rFonts w:ascii="仿宋" w:hAnsi="仿宋" w:eastAsia="仿宋"/>
          <w:spacing w:val="24"/>
          <w:sz w:val="24"/>
          <w:szCs w:val="24"/>
        </w:rPr>
      </w:pPr>
      <w:r>
        <w:rPr>
          <w:rFonts w:hint="eastAsia" w:ascii="仿宋" w:hAnsi="仿宋" w:eastAsia="仿宋"/>
          <w:spacing w:val="24"/>
          <w:sz w:val="24"/>
          <w:szCs w:val="24"/>
        </w:rPr>
        <w:t>湘财苑绩评字[2022]1-010号</w:t>
      </w:r>
    </w:p>
    <w:p>
      <w:pPr>
        <w:pStyle w:val="6"/>
        <w:shd w:val="clear" w:color="auto" w:fill="FFFFFF"/>
        <w:spacing w:before="0" w:beforeAutospacing="0" w:after="0" w:afterAutospacing="0"/>
        <w:ind w:firstLine="480" w:firstLineChars="200"/>
        <w:rPr>
          <w:rFonts w:ascii="仿宋" w:hAnsi="仿宋" w:eastAsia="仿宋"/>
        </w:rPr>
      </w:pPr>
      <w:r>
        <w:rPr>
          <w:rFonts w:hint="eastAsia" w:ascii="仿宋" w:hAnsi="仿宋" w:eastAsia="仿宋"/>
        </w:rPr>
        <w:t>为进一步规范财政资金管理，强化财政资金支出绩效理念，切实提高财政资金使用效益，根据《中共中央国务院关于全面实施预算绩效管理的意见》（中发〔2018〕34号）、《中共湖南省委办公厅 湖南省人民政府办公厅关于全面实施绩效管理的实施意见》（湘办发〔2019〕10号）、《湖南省财政厅关于印发&lt;湖南省预算支出绩效评价管理办法&gt;的通知》（湘财绩〔2020〕7号）、《益阳市人民政府办公室关于印发益阳市农村人居环境整治三年行动实施方案（2018年-2020年）的通知 》益办发[2018]27号、《南县财政局关于对2021年度部分专项资金开展重点绩效评价工作的通知》（南财绩函[2022]43号）等文件要求，受南县财政局的委托，我所成立专项资金绩效评价工作组，于2022年8月1日—8月31日对南县农业农村局2021年度“农村清洁工程服务外包项目资金”（以下简称项目资金）开展了绩效评价。现将有关情况报告如下：</w:t>
      </w:r>
    </w:p>
    <w:p>
      <w:pPr>
        <w:pStyle w:val="11"/>
        <w:ind w:firstLine="803" w:firstLineChars="250"/>
        <w:rPr>
          <w:rFonts w:ascii="仿宋" w:hAnsi="仿宋" w:eastAsia="仿宋"/>
          <w:b/>
          <w:sz w:val="32"/>
          <w:szCs w:val="32"/>
        </w:rPr>
      </w:pPr>
      <w:r>
        <w:rPr>
          <w:rFonts w:hint="eastAsia" w:ascii="仿宋" w:hAnsi="仿宋" w:eastAsia="仿宋"/>
          <w:b/>
          <w:sz w:val="32"/>
          <w:szCs w:val="32"/>
        </w:rPr>
        <w:t>一、基本情况</w:t>
      </w:r>
    </w:p>
    <w:p>
      <w:pPr>
        <w:pStyle w:val="6"/>
        <w:shd w:val="clear" w:color="auto" w:fill="FFFFFF"/>
        <w:spacing w:before="0" w:beforeAutospacing="0" w:after="0" w:afterAutospacing="0"/>
        <w:ind w:firstLine="482"/>
        <w:rPr>
          <w:rFonts w:ascii="仿宋" w:hAnsi="仿宋" w:eastAsia="仿宋"/>
        </w:rPr>
      </w:pPr>
      <w:r>
        <w:rPr>
          <w:rFonts w:hint="eastAsia" w:ascii="仿宋" w:hAnsi="仿宋" w:eastAsia="仿宋"/>
        </w:rPr>
        <w:t>（一）项目单位基本情况。南县农业农村局（以下简称该局）是县政府工作部门，加挂南县农业综合行政执法局牌子，内设办公室、财务股、乡村产业发展股、农村社会事业促进股、农田建设股等15个股室，下设县农村综合检验检测中心、县种植业技术推广中心、县农业环境保护监测站等10个二级单位。主要负责统筹研究和组织实施“三农”工作的发展战略、长期规划和重大政策；推动发展农村社会事业、农村公共服务、农村基础设施和乡村治理；负责种植业、畜牧业、渔业、农垦、农业机械化等农业各产业的监督管理；负责农产品质量安全监督管理；负责有关农业生产资料和农业投入品的监督管理；负责农业防灾减灾、农作物重大病虫害防治工作；负责农业投资管理；指导农业农村人才工作等等。现有编制人数209人，实际人数361人,其中在职211人，离退休150人。</w:t>
      </w:r>
    </w:p>
    <w:p>
      <w:pPr>
        <w:pStyle w:val="6"/>
        <w:shd w:val="clear" w:color="auto" w:fill="FFFFFF"/>
        <w:spacing w:before="0" w:beforeAutospacing="0" w:after="0" w:afterAutospacing="0"/>
        <w:ind w:firstLine="480" w:firstLineChars="200"/>
        <w:rPr>
          <w:rFonts w:ascii="仿宋" w:hAnsi="仿宋" w:eastAsia="仿宋"/>
        </w:rPr>
      </w:pPr>
      <w:r>
        <w:rPr>
          <w:rFonts w:hint="eastAsia" w:ascii="仿宋" w:hAnsi="仿宋" w:eastAsia="仿宋"/>
        </w:rPr>
        <w:t>（二）项目基本情况。为进一步提升南县农村人居环境质量，完善农村环保、公用基础设施体系，加快农村环境保护基础设施建设，促进环境保护与经济建设协调发展，加快建设两型社会。根据《益阳市农村清洁工程实施方案》（益办 [2017]10号）、《南县人民政府县长办公会议纪要》[2018]8号文件和各级农村人居环境整治实施方案要求，决定在全县范围内全面推行实施农村清洁工程整体服务外包项目，南县农业农村局分河东片（华阁镇、明山头镇、乌嘴乡、青树嘴镇）、河中片（南洲镇、中鱼口镇、三仙湖镇、茅草街镇）和河西片（浪拔湖镇、麻河口镇、武圣宫镇、厂窖镇）三个标段进行公开招投标，分别与中标企业长沙玉诚环境景观工程有限公司南县城乡分公司、湖南鹤成环境管理有限公司南县分公司、湖南仁仁洁国际清洁科技集团股份有限公司南县河西分公司签定了《南县农村清洁工程服务项目承包合同》，印发了《南县农村清洁工程整体服务外包实施方案》。由南县农业农村局组织检查组会同乡镇工作人员每月对公司进行考核，并按月拨付项目服务费。</w:t>
      </w:r>
    </w:p>
    <w:p>
      <w:pPr>
        <w:pStyle w:val="6"/>
        <w:shd w:val="clear" w:color="auto" w:fill="FFFFFF"/>
        <w:spacing w:before="0" w:beforeAutospacing="0" w:after="0" w:afterAutospacing="0"/>
        <w:ind w:firstLine="480" w:firstLineChars="200"/>
        <w:rPr>
          <w:rFonts w:ascii="仿宋" w:hAnsi="仿宋" w:eastAsia="仿宋"/>
        </w:rPr>
      </w:pPr>
      <w:r>
        <w:rPr>
          <w:rFonts w:hint="eastAsia" w:ascii="仿宋" w:hAnsi="仿宋" w:eastAsia="仿宋"/>
        </w:rPr>
        <w:t>(三)项目绩效目标完成情况。通过实施相关项目，2021年在全县12个乡镇、132个行政村和25个乡镇集镇范围内对县内国道、省道、县道、乡道、村级公路和居民线路面进行清扫保洁，对县域所有河（湖）、沟渠、防洪大堤及两岸可视河（湖）面、路面与坡面的清扫保洁，对所有农村垃圾池（桶）的清掏、收集、转运。全年收集转运43,800吨农村垃圾交由南县环卫处运送到县外进行无害化处理，从根本上解决了农村生活垃圾治理难题，减少了农村垃圾对水环境的污染，有力促进了农村生态环境改善，提升了农村环境卫生。</w:t>
      </w:r>
    </w:p>
    <w:p>
      <w:pPr>
        <w:ind w:firstLine="482" w:firstLineChars="150"/>
        <w:rPr>
          <w:rFonts w:ascii="仿宋" w:hAnsi="仿宋" w:eastAsia="仿宋"/>
          <w:b/>
          <w:sz w:val="32"/>
          <w:szCs w:val="32"/>
        </w:rPr>
      </w:pPr>
      <w:r>
        <w:rPr>
          <w:rFonts w:hint="eastAsia" w:ascii="仿宋" w:hAnsi="仿宋" w:eastAsia="仿宋"/>
          <w:b/>
          <w:sz w:val="32"/>
          <w:szCs w:val="32"/>
        </w:rPr>
        <w:t>二、项目资金使用及管理情况</w:t>
      </w:r>
    </w:p>
    <w:p>
      <w:pPr>
        <w:ind w:firstLine="480" w:firstLineChars="200"/>
        <w:rPr>
          <w:rFonts w:ascii="仿宋" w:hAnsi="仿宋" w:eastAsia="仿宋"/>
          <w:sz w:val="24"/>
          <w:szCs w:val="24"/>
        </w:rPr>
      </w:pPr>
      <w:r>
        <w:rPr>
          <w:rFonts w:hint="eastAsia" w:ascii="仿宋" w:hAnsi="仿宋" w:eastAsia="仿宋"/>
          <w:sz w:val="24"/>
          <w:szCs w:val="24"/>
        </w:rPr>
        <w:t>（一）项目资金到位情况。“2021年农村清洁工程服务外包项目”县级财政预算安排项目资金2,510万元，县财政实际拨款金额2,510万元，资金到位率100%。</w:t>
      </w:r>
    </w:p>
    <w:p>
      <w:pPr>
        <w:ind w:firstLine="480" w:firstLineChars="200"/>
        <w:rPr>
          <w:rFonts w:ascii="仿宋" w:hAnsi="仿宋" w:eastAsia="仿宋"/>
          <w:sz w:val="24"/>
          <w:szCs w:val="24"/>
        </w:rPr>
      </w:pPr>
      <w:r>
        <w:rPr>
          <w:rFonts w:hint="eastAsia" w:ascii="仿宋" w:hAnsi="仿宋" w:eastAsia="仿宋"/>
          <w:color w:val="000000" w:themeColor="text1"/>
          <w:sz w:val="24"/>
          <w:szCs w:val="24"/>
        </w:rPr>
        <w:t>（二）项目资金</w:t>
      </w:r>
      <w:r>
        <w:rPr>
          <w:rFonts w:hint="eastAsia" w:ascii="仿宋" w:hAnsi="仿宋" w:eastAsia="仿宋"/>
          <w:sz w:val="24"/>
          <w:szCs w:val="24"/>
        </w:rPr>
        <w:t>使用</w:t>
      </w:r>
      <w:r>
        <w:rPr>
          <w:rFonts w:hint="eastAsia" w:ascii="仿宋" w:hAnsi="仿宋" w:eastAsia="仿宋"/>
          <w:color w:val="000000" w:themeColor="text1"/>
          <w:sz w:val="24"/>
          <w:szCs w:val="24"/>
        </w:rPr>
        <w:t>情况。“2021年</w:t>
      </w:r>
      <w:r>
        <w:rPr>
          <w:rFonts w:hint="eastAsia" w:ascii="仿宋" w:hAnsi="仿宋" w:eastAsia="仿宋"/>
          <w:sz w:val="24"/>
          <w:szCs w:val="24"/>
        </w:rPr>
        <w:t>农村清洁工程服务外包</w:t>
      </w:r>
      <w:r>
        <w:rPr>
          <w:rFonts w:hint="eastAsia" w:ascii="仿宋" w:hAnsi="仿宋" w:eastAsia="仿宋"/>
          <w:color w:val="000000" w:themeColor="text1"/>
          <w:sz w:val="24"/>
          <w:szCs w:val="24"/>
        </w:rPr>
        <w:t>项目资金”</w:t>
      </w:r>
      <w:r>
        <w:rPr>
          <w:rFonts w:hint="eastAsia" w:ascii="仿宋" w:hAnsi="仿宋" w:eastAsia="仿宋"/>
          <w:sz w:val="24"/>
          <w:szCs w:val="24"/>
        </w:rPr>
        <w:t>实际使用2,256.34万元，结余项目资金253.66万元。资金明细情况如下：</w:t>
      </w:r>
    </w:p>
    <w:tbl>
      <w:tblPr>
        <w:tblStyle w:val="8"/>
        <w:tblW w:w="8720" w:type="dxa"/>
        <w:tblInd w:w="93" w:type="dxa"/>
        <w:tblLayout w:type="fixed"/>
        <w:tblCellMar>
          <w:top w:w="0" w:type="dxa"/>
          <w:left w:w="108" w:type="dxa"/>
          <w:bottom w:w="0" w:type="dxa"/>
          <w:right w:w="108" w:type="dxa"/>
        </w:tblCellMar>
      </w:tblPr>
      <w:tblGrid>
        <w:gridCol w:w="656"/>
        <w:gridCol w:w="1202"/>
        <w:gridCol w:w="3452"/>
        <w:gridCol w:w="1327"/>
        <w:gridCol w:w="1047"/>
        <w:gridCol w:w="1036"/>
      </w:tblGrid>
      <w:tr>
        <w:tblPrEx>
          <w:tblCellMar>
            <w:top w:w="0" w:type="dxa"/>
            <w:left w:w="108" w:type="dxa"/>
            <w:bottom w:w="0" w:type="dxa"/>
            <w:right w:w="108" w:type="dxa"/>
          </w:tblCellMar>
        </w:tblPrEx>
        <w:trPr>
          <w:trHeight w:val="70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序号</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年初预算（万元）</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本年开支项目</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本年支出金额（万元）</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占支出资金比例</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预算执行率%</w:t>
            </w:r>
          </w:p>
        </w:tc>
      </w:tr>
      <w:tr>
        <w:tblPrEx>
          <w:tblCellMar>
            <w:top w:w="0" w:type="dxa"/>
            <w:left w:w="108" w:type="dxa"/>
            <w:bottom w:w="0" w:type="dxa"/>
            <w:right w:w="108" w:type="dxa"/>
          </w:tblCellMar>
        </w:tblPrEx>
        <w:trPr>
          <w:trHeight w:val="55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20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2,510.00 </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color w:val="000000"/>
                <w:sz w:val="22"/>
              </w:rPr>
            </w:pPr>
            <w:r>
              <w:rPr>
                <w:rFonts w:hint="eastAsia" w:ascii="宋体" w:hAnsi="宋体" w:eastAsia="宋体" w:cs="宋体"/>
                <w:color w:val="000000"/>
                <w:kern w:val="0"/>
                <w:sz w:val="22"/>
              </w:rPr>
              <w:t>劳务费</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ascii="宋体" w:hAnsi="宋体" w:eastAsia="宋体" w:cs="宋体"/>
                <w:color w:val="000000"/>
                <w:sz w:val="22"/>
              </w:rPr>
            </w:pPr>
            <w:r>
              <w:rPr>
                <w:rFonts w:hint="eastAsia" w:ascii="宋体" w:hAnsi="宋体" w:eastAsia="宋体" w:cs="宋体"/>
                <w:color w:val="000000"/>
                <w:kern w:val="0"/>
                <w:sz w:val="22"/>
              </w:rPr>
              <w:t xml:space="preserve">698.95 </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2"/>
              </w:rPr>
            </w:pPr>
            <w:r>
              <w:rPr>
                <w:rFonts w:hint="eastAsia" w:ascii="宋体" w:hAnsi="宋体" w:eastAsia="宋体" w:cs="宋体"/>
                <w:color w:val="000000"/>
                <w:kern w:val="0"/>
                <w:sz w:val="22"/>
              </w:rPr>
              <w:t>30.98%</w:t>
            </w:r>
          </w:p>
        </w:tc>
        <w:tc>
          <w:tcPr>
            <w:tcW w:w="10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2"/>
              </w:rPr>
            </w:pPr>
            <w:r>
              <w:rPr>
                <w:rFonts w:hint="eastAsia" w:ascii="宋体" w:hAnsi="宋体" w:eastAsia="宋体" w:cs="宋体"/>
                <w:color w:val="000000"/>
                <w:kern w:val="0"/>
                <w:sz w:val="22"/>
              </w:rPr>
              <w:t>89.89%</w:t>
            </w:r>
          </w:p>
        </w:tc>
      </w:tr>
      <w:tr>
        <w:tblPrEx>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color w:val="000000"/>
                <w:sz w:val="22"/>
              </w:rPr>
            </w:pPr>
            <w:r>
              <w:rPr>
                <w:rFonts w:hint="eastAsia" w:ascii="宋体" w:hAnsi="宋体" w:eastAsia="宋体" w:cs="宋体"/>
                <w:color w:val="000000"/>
                <w:kern w:val="0"/>
                <w:sz w:val="22"/>
              </w:rPr>
              <w:t>垃圾装卸运输费</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ascii="宋体" w:hAnsi="宋体" w:eastAsia="宋体" w:cs="宋体"/>
                <w:color w:val="000000"/>
                <w:sz w:val="22"/>
              </w:rPr>
            </w:pPr>
            <w:r>
              <w:rPr>
                <w:rFonts w:hint="eastAsia" w:ascii="宋体" w:hAnsi="宋体" w:eastAsia="宋体" w:cs="宋体"/>
                <w:color w:val="000000"/>
                <w:kern w:val="0"/>
                <w:sz w:val="22"/>
              </w:rPr>
              <w:t xml:space="preserve">1,557.39 </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2"/>
              </w:rPr>
            </w:pPr>
            <w:r>
              <w:rPr>
                <w:rFonts w:hint="eastAsia" w:ascii="宋体" w:hAnsi="宋体" w:eastAsia="宋体" w:cs="宋体"/>
                <w:color w:val="000000"/>
                <w:kern w:val="0"/>
                <w:sz w:val="22"/>
              </w:rPr>
              <w:t>69.02%</w:t>
            </w: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r>
      <w:tr>
        <w:tblPrEx>
          <w:tblCellMar>
            <w:top w:w="0" w:type="dxa"/>
            <w:left w:w="108" w:type="dxa"/>
            <w:bottom w:w="0" w:type="dxa"/>
            <w:right w:w="108" w:type="dxa"/>
          </w:tblCellMar>
        </w:tblPrEx>
        <w:trPr>
          <w:trHeight w:val="4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ascii="宋体" w:hAnsi="宋体" w:eastAsia="宋体" w:cs="宋体"/>
                <w:color w:val="000000"/>
                <w:sz w:val="22"/>
              </w:rPr>
            </w:pPr>
            <w:r>
              <w:rPr>
                <w:rFonts w:hint="eastAsia" w:ascii="宋体" w:hAnsi="宋体" w:eastAsia="宋体" w:cs="宋体"/>
                <w:color w:val="000000"/>
                <w:kern w:val="0"/>
                <w:sz w:val="22"/>
              </w:rPr>
              <w:t>2,510.00</w:t>
            </w: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ascii="宋体" w:hAnsi="宋体" w:eastAsia="宋体" w:cs="宋体"/>
                <w:color w:val="000000"/>
                <w:sz w:val="22"/>
              </w:rPr>
            </w:pPr>
            <w:r>
              <w:rPr>
                <w:rFonts w:ascii="宋体" w:hAnsi="宋体" w:eastAsia="宋体" w:cs="宋体"/>
                <w:color w:val="000000"/>
                <w:kern w:val="0"/>
                <w:sz w:val="22"/>
              </w:rPr>
              <w:fldChar w:fldCharType="begin"/>
            </w:r>
            <w:r>
              <w:rPr>
                <w:rFonts w:ascii="宋体" w:hAnsi="宋体" w:eastAsia="宋体" w:cs="宋体"/>
                <w:color w:val="000000"/>
                <w:kern w:val="0"/>
                <w:sz w:val="22"/>
              </w:rPr>
              <w:instrText xml:space="preserve"> =SUM(ABOVE) </w:instrText>
            </w:r>
            <w:r>
              <w:rPr>
                <w:rFonts w:ascii="宋体" w:hAnsi="宋体" w:eastAsia="宋体" w:cs="宋体"/>
                <w:color w:val="000000"/>
                <w:kern w:val="0"/>
                <w:sz w:val="22"/>
              </w:rPr>
              <w:fldChar w:fldCharType="separate"/>
            </w:r>
            <w:r>
              <w:rPr>
                <w:rFonts w:ascii="宋体" w:hAnsi="宋体" w:eastAsia="宋体" w:cs="宋体"/>
                <w:color w:val="000000"/>
                <w:kern w:val="0"/>
                <w:sz w:val="22"/>
              </w:rPr>
              <w:t>2,256.34</w:t>
            </w:r>
            <w:r>
              <w:rPr>
                <w:rFonts w:ascii="宋体" w:hAnsi="宋体" w:eastAsia="宋体" w:cs="宋体"/>
                <w:color w:val="000000"/>
                <w:kern w:val="0"/>
                <w:sz w:val="22"/>
              </w:rPr>
              <w:fldChar w:fldCharType="end"/>
            </w:r>
            <w:r>
              <w:rPr>
                <w:rFonts w:hint="eastAsia" w:ascii="宋体" w:hAnsi="宋体" w:eastAsia="宋体" w:cs="宋体"/>
                <w:color w:val="000000"/>
                <w:kern w:val="0"/>
                <w:sz w:val="22"/>
              </w:rPr>
              <w:t xml:space="preserve"> </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2"/>
              </w:rPr>
            </w:pPr>
            <w:r>
              <w:rPr>
                <w:rFonts w:ascii="宋体" w:hAnsi="宋体" w:eastAsia="宋体" w:cs="宋体"/>
                <w:color w:val="000000"/>
                <w:kern w:val="0"/>
                <w:sz w:val="22"/>
              </w:rPr>
              <w:fldChar w:fldCharType="begin"/>
            </w:r>
            <w:r>
              <w:rPr>
                <w:rFonts w:ascii="宋体" w:hAnsi="宋体" w:eastAsia="宋体" w:cs="宋体"/>
                <w:color w:val="000000"/>
                <w:kern w:val="0"/>
                <w:sz w:val="22"/>
              </w:rPr>
              <w:instrText xml:space="preserve"> =SUM(ABOVE)*100 \# "0.00%" </w:instrText>
            </w:r>
            <w:r>
              <w:rPr>
                <w:rFonts w:ascii="宋体" w:hAnsi="宋体" w:eastAsia="宋体" w:cs="宋体"/>
                <w:color w:val="000000"/>
                <w:kern w:val="0"/>
                <w:sz w:val="22"/>
              </w:rPr>
              <w:fldChar w:fldCharType="separate"/>
            </w:r>
            <w:r>
              <w:rPr>
                <w:rFonts w:ascii="宋体" w:hAnsi="宋体" w:eastAsia="宋体" w:cs="宋体"/>
                <w:color w:val="000000"/>
                <w:kern w:val="0"/>
                <w:sz w:val="22"/>
              </w:rPr>
              <w:t>100.00%</w:t>
            </w:r>
            <w:r>
              <w:rPr>
                <w:rFonts w:ascii="宋体" w:hAnsi="宋体" w:eastAsia="宋体" w:cs="宋体"/>
                <w:color w:val="000000"/>
                <w:kern w:val="0"/>
                <w:sz w:val="22"/>
              </w:rPr>
              <w:fldChar w:fldCharType="end"/>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sz w:val="22"/>
              </w:rPr>
            </w:pPr>
            <w:r>
              <w:rPr>
                <w:rFonts w:hint="eastAsia" w:ascii="宋体" w:hAnsi="宋体" w:eastAsia="宋体" w:cs="宋体"/>
                <w:color w:val="000000"/>
                <w:kern w:val="0"/>
                <w:sz w:val="22"/>
              </w:rPr>
              <w:t>89.89%</w:t>
            </w:r>
          </w:p>
        </w:tc>
      </w:tr>
    </w:tbl>
    <w:p>
      <w:pPr>
        <w:ind w:firstLine="480" w:firstLineChars="200"/>
        <w:rPr>
          <w:rFonts w:ascii="仿宋" w:hAnsi="仿宋" w:eastAsia="仿宋"/>
          <w:color w:val="000000" w:themeColor="text1"/>
          <w:sz w:val="24"/>
          <w:szCs w:val="24"/>
        </w:rPr>
      </w:pPr>
      <w:r>
        <w:rPr>
          <w:rFonts w:hint="eastAsia" w:ascii="仿宋" w:hAnsi="仿宋" w:eastAsia="仿宋"/>
          <w:color w:val="000000" w:themeColor="text1"/>
          <w:sz w:val="24"/>
          <w:szCs w:val="24"/>
        </w:rPr>
        <w:t>（三）项目资金管理情况。</w:t>
      </w:r>
      <w:r>
        <w:rPr>
          <w:rFonts w:hint="eastAsia" w:ascii="仿宋" w:hAnsi="仿宋" w:eastAsia="仿宋"/>
          <w:sz w:val="24"/>
          <w:szCs w:val="24"/>
        </w:rPr>
        <w:t>项目资金由南县财政局将南县农业农村局的预算经费分季度下达指标支付令，南县农业农村局根据考核后核定的工程量确定支付金额，向南县财政局申请拨款，再由南县财政局国库集中支付，费用报销程序基本合规，相关手续较完善。</w:t>
      </w:r>
    </w:p>
    <w:p>
      <w:pPr>
        <w:tabs>
          <w:tab w:val="left" w:pos="5567"/>
        </w:tabs>
        <w:ind w:left="760"/>
        <w:rPr>
          <w:rFonts w:ascii="仿宋" w:hAnsi="仿宋" w:eastAsia="仿宋"/>
          <w:b/>
          <w:sz w:val="32"/>
          <w:szCs w:val="32"/>
        </w:rPr>
      </w:pPr>
      <w:r>
        <w:rPr>
          <w:rFonts w:hint="eastAsia" w:ascii="仿宋" w:hAnsi="仿宋" w:eastAsia="仿宋"/>
          <w:b/>
          <w:sz w:val="32"/>
          <w:szCs w:val="32"/>
        </w:rPr>
        <w:t>三、项目组织实施情况</w:t>
      </w:r>
      <w:r>
        <w:rPr>
          <w:rFonts w:hint="eastAsia" w:ascii="仿宋" w:hAnsi="仿宋" w:eastAsia="仿宋"/>
          <w:b/>
          <w:sz w:val="32"/>
          <w:szCs w:val="32"/>
        </w:rPr>
        <w:tab/>
      </w:r>
    </w:p>
    <w:p>
      <w:pPr>
        <w:ind w:firstLine="480"/>
        <w:rPr>
          <w:rFonts w:ascii="仿宋" w:hAnsi="仿宋" w:eastAsia="仿宋"/>
          <w:sz w:val="24"/>
          <w:szCs w:val="24"/>
        </w:rPr>
      </w:pPr>
      <w:r>
        <w:rPr>
          <w:rFonts w:hint="eastAsia" w:ascii="仿宋" w:hAnsi="仿宋" w:eastAsia="仿宋"/>
          <w:sz w:val="24"/>
          <w:szCs w:val="24"/>
        </w:rPr>
        <w:t>（一）制度建设情况。为进一步规范财政资金管理，强化财政资金支出绩效理念，切实提高财政资金使用效益，南县农业农村局制订了《南县农业局专项资金管理办法》，规定农业专项资金管理实行行政领导责任制，按局领导班子成员职责分工，各项专项资金由局长负总责，分管业务的局领导负主要责任，股室负责人负直接责任。管理办法对项目的申报与审批、项目的管理与验收、资金的拨付、项目资金的检查与监督、项目资金的奖惩制度作了明确的规定。明确资金拨付流程，按照国库集中支付管理要求，指定专人负责项目资金的支出审核与监管，提高财政资金使用效益。</w:t>
      </w:r>
    </w:p>
    <w:p>
      <w:pPr>
        <w:pStyle w:val="6"/>
        <w:shd w:val="clear" w:color="auto" w:fill="FFFFFF"/>
        <w:spacing w:before="0" w:beforeAutospacing="0" w:after="0" w:afterAutospacing="0"/>
        <w:ind w:firstLine="480" w:firstLineChars="200"/>
        <w:rPr>
          <w:rFonts w:ascii="仿宋" w:hAnsi="仿宋" w:eastAsia="仿宋"/>
        </w:rPr>
      </w:pPr>
      <w:r>
        <w:rPr>
          <w:rFonts w:hint="eastAsia" w:ascii="仿宋" w:hAnsi="仿宋" w:eastAsia="仿宋"/>
        </w:rPr>
        <w:t>（二）项目实施情况。一是明确责任。由南县财政局、南县农业农村局、南县住房和城乡建设局研究确定农村清洁工程服务外包项目中分标段、外包时限等问题，由南县财政局负责农村生活垃圾转运费和劳务费的筹集，由南县农业农村局牵头制定农村清洁工程服务外包项目实施方案，并依法按规定的程序遴选代理机构，启动招投标程序。二是招标施工单位 ，组织项目建设。根据《南县农村清洁工程整体服务外包实施方案》，分河东片（华阁镇、明山头镇、乌嘴乡、青树嘴镇）、河中片（南洲镇、中鱼口镇、三仙湖镇、茅草街镇）和河西片（浪拔湖镇、麻河口镇、武圣宫镇、厂窖镇）三个标段进行公开招投标，确定中标单位，并签定《南县农村清洁工程服务项目承包合同》，根据合同组织项目建设。三是加强内部控制建设，规范内控工作。进一步健全“户分类、村收集、乡镇转运、县处理”的城乡生活垃圾一体化处理体系，发放生活垃圾分类宣传手册，制定村规民约，每月由南县农业农村局组织检查组和乡镇对公司进行考核，并按月拨付项目服务费。四是妥善保管资料，对项目申报、备案等相关资料及时整理并归档。</w:t>
      </w:r>
    </w:p>
    <w:p>
      <w:pPr>
        <w:ind w:firstLine="480"/>
        <w:rPr>
          <w:rFonts w:ascii="仿宋" w:hAnsi="仿宋" w:eastAsia="仿宋"/>
          <w:b/>
          <w:sz w:val="32"/>
          <w:szCs w:val="32"/>
        </w:rPr>
      </w:pPr>
      <w:r>
        <w:rPr>
          <w:rFonts w:hint="eastAsia" w:ascii="仿宋" w:hAnsi="仿宋" w:eastAsia="仿宋"/>
          <w:b/>
          <w:sz w:val="32"/>
          <w:szCs w:val="32"/>
        </w:rPr>
        <w:t>四、绩效评价工作情况</w:t>
      </w:r>
    </w:p>
    <w:p>
      <w:pPr>
        <w:ind w:firstLine="480"/>
        <w:rPr>
          <w:rFonts w:ascii="仿宋" w:hAnsi="仿宋" w:eastAsia="仿宋" w:cs="仿宋"/>
          <w:sz w:val="24"/>
          <w:szCs w:val="24"/>
        </w:rPr>
      </w:pPr>
      <w:r>
        <w:rPr>
          <w:rFonts w:hint="eastAsia" w:ascii="仿宋" w:hAnsi="仿宋" w:eastAsia="仿宋" w:cs="仿宋"/>
          <w:sz w:val="24"/>
          <w:szCs w:val="24"/>
        </w:rPr>
        <w:t>（一）绩效评价目的</w:t>
      </w:r>
    </w:p>
    <w:p>
      <w:pPr>
        <w:pStyle w:val="15"/>
        <w:wordWrap w:val="0"/>
        <w:spacing w:before="0" w:beforeAutospacing="0" w:after="0" w:afterAutospacing="0" w:line="560" w:lineRule="atLeast"/>
        <w:ind w:firstLine="560"/>
        <w:rPr>
          <w:rFonts w:ascii="仿宋" w:hAnsi="仿宋" w:eastAsia="仿宋" w:cs="仿宋"/>
          <w:color w:val="auto"/>
          <w:kern w:val="2"/>
          <w:sz w:val="24"/>
          <w:szCs w:val="24"/>
        </w:rPr>
      </w:pPr>
      <w:r>
        <w:rPr>
          <w:rFonts w:hint="eastAsia" w:ascii="仿宋" w:hAnsi="仿宋" w:eastAsia="仿宋" w:cs="仿宋"/>
          <w:color w:val="auto"/>
          <w:kern w:val="2"/>
          <w:sz w:val="24"/>
          <w:szCs w:val="24"/>
        </w:rPr>
        <w:t>通过绩效评价全面分析该项目资金使用、管理和项目实施情况，进一步规范</w:t>
      </w:r>
      <w:r>
        <w:rPr>
          <w:rFonts w:hint="eastAsia" w:ascii="仿宋" w:hAnsi="仿宋" w:eastAsia="仿宋"/>
          <w:sz w:val="24"/>
          <w:szCs w:val="24"/>
        </w:rPr>
        <w:t>南县农业农村局 “2021年度农村清洁工程服务外包项目”资金</w:t>
      </w:r>
      <w:r>
        <w:rPr>
          <w:rFonts w:hint="eastAsia" w:ascii="仿宋" w:hAnsi="仿宋" w:eastAsia="仿宋" w:cs="仿宋"/>
          <w:color w:val="auto"/>
          <w:kern w:val="2"/>
          <w:sz w:val="24"/>
          <w:szCs w:val="24"/>
        </w:rPr>
        <w:t>的使用，强化财政资金支出绩效理念，切实提高财政资金使用效益。</w:t>
      </w:r>
    </w:p>
    <w:p>
      <w:pPr>
        <w:ind w:firstLine="480" w:firstLineChars="200"/>
        <w:rPr>
          <w:rFonts w:ascii="仿宋" w:hAnsi="仿宋" w:eastAsia="仿宋"/>
          <w:sz w:val="24"/>
          <w:szCs w:val="24"/>
        </w:rPr>
      </w:pPr>
      <w:r>
        <w:rPr>
          <w:rFonts w:hint="eastAsia" w:ascii="仿宋" w:hAnsi="仿宋" w:eastAsia="仿宋" w:cs="仿宋"/>
          <w:sz w:val="24"/>
          <w:szCs w:val="24"/>
        </w:rPr>
        <w:t>（二）</w:t>
      </w:r>
      <w:r>
        <w:rPr>
          <w:rFonts w:hint="eastAsia" w:ascii="仿宋" w:hAnsi="仿宋" w:eastAsia="仿宋"/>
          <w:sz w:val="24"/>
          <w:szCs w:val="24"/>
        </w:rPr>
        <w:t>绩效评价工作过程</w:t>
      </w:r>
    </w:p>
    <w:p>
      <w:pPr>
        <w:ind w:firstLine="480"/>
        <w:rPr>
          <w:rFonts w:ascii="仿宋" w:hAnsi="仿宋" w:eastAsia="仿宋"/>
          <w:sz w:val="24"/>
          <w:szCs w:val="24"/>
        </w:rPr>
      </w:pPr>
      <w:r>
        <w:rPr>
          <w:rFonts w:hint="eastAsia" w:ascii="仿宋" w:hAnsi="仿宋" w:eastAsia="仿宋"/>
          <w:sz w:val="24"/>
          <w:szCs w:val="24"/>
        </w:rPr>
        <w:t>根据南县财政局《关于对2021年度部分专项资金开展重点绩效评价工作的通知》(南财绩函[2022]43号)文件要求，我所按下列步骤开展了绩效评价工作：</w:t>
      </w:r>
    </w:p>
    <w:p>
      <w:pPr>
        <w:ind w:firstLine="480" w:firstLineChars="200"/>
        <w:rPr>
          <w:rFonts w:ascii="仿宋" w:hAnsi="仿宋" w:eastAsia="仿宋"/>
          <w:sz w:val="24"/>
          <w:szCs w:val="24"/>
        </w:rPr>
      </w:pPr>
      <w:r>
        <w:rPr>
          <w:rFonts w:hint="eastAsia" w:ascii="仿宋" w:hAnsi="仿宋" w:eastAsia="仿宋"/>
          <w:sz w:val="24"/>
          <w:szCs w:val="24"/>
        </w:rPr>
        <w:t>1.前期准备。我所抽调专人成立了绩效评价工作组，明确了工作职责，制定了现场评价方案，设计了相关表格，联系了相关部门和单位，确定了实施时间。</w:t>
      </w:r>
    </w:p>
    <w:p>
      <w:pPr>
        <w:ind w:firstLine="480" w:firstLineChars="200"/>
        <w:rPr>
          <w:rFonts w:ascii="仿宋" w:hAnsi="仿宋" w:eastAsia="仿宋"/>
          <w:sz w:val="24"/>
          <w:szCs w:val="24"/>
        </w:rPr>
      </w:pPr>
      <w:r>
        <w:rPr>
          <w:rFonts w:hint="eastAsia" w:ascii="仿宋" w:hAnsi="仿宋" w:eastAsia="仿宋"/>
          <w:sz w:val="24"/>
          <w:szCs w:val="24"/>
        </w:rPr>
        <w:t>2.实施情况。项目绩效评价实施步骤：（1）召开座谈会。组织项目单位管理层、责任人员及相关代表召开座谈会，听取该项目有关情况介绍；（2）收集核查资料。收集该项目相关文件和项目单位相关制度等资料；核查相关制度是否完善，项目支出是否合规，资金拨付手续是否齐全，是否存在截留、挪用等情况；（3）现场查看。进入实地查看，拍照取证，调查走访，发放问卷调查。（4）归纳汇总。对提供材料及自评报告，结合现场评价情况进行综合分析、归纳汇总；（5）得出评价结论，形成绩效评价报告。</w:t>
      </w:r>
    </w:p>
    <w:p>
      <w:pPr>
        <w:pStyle w:val="11"/>
        <w:ind w:firstLine="482" w:firstLineChars="150"/>
        <w:rPr>
          <w:rFonts w:ascii="仿宋" w:hAnsi="仿宋" w:eastAsia="仿宋"/>
          <w:b/>
          <w:sz w:val="32"/>
          <w:szCs w:val="32"/>
        </w:rPr>
      </w:pPr>
      <w:r>
        <w:rPr>
          <w:rFonts w:hint="eastAsia" w:ascii="仿宋" w:hAnsi="仿宋" w:eastAsia="仿宋"/>
          <w:b/>
          <w:sz w:val="32"/>
          <w:szCs w:val="32"/>
        </w:rPr>
        <w:t>五、绩效评价结果和绩效分析</w:t>
      </w:r>
    </w:p>
    <w:p>
      <w:pPr>
        <w:pStyle w:val="11"/>
        <w:ind w:firstLine="480" w:firstLineChars="200"/>
        <w:rPr>
          <w:rFonts w:ascii="仿宋" w:hAnsi="仿宋" w:eastAsia="仿宋"/>
          <w:sz w:val="24"/>
          <w:szCs w:val="24"/>
        </w:rPr>
      </w:pPr>
      <w:r>
        <w:rPr>
          <w:rFonts w:hint="eastAsia" w:ascii="仿宋" w:hAnsi="仿宋" w:eastAsia="仿宋"/>
          <w:sz w:val="24"/>
          <w:szCs w:val="24"/>
        </w:rPr>
        <w:t>根据该项目资金绩效评价指标体系和绩效检查情况，该项目整体绩效分值100分，实得87.5分，被评为“良好”等级(详见：南县农业农村局2021年度“农村清洁工程服务外包项目”绩效评价指标评分表)。主要绩效表现在以下几个方面：</w:t>
      </w:r>
    </w:p>
    <w:p>
      <w:pPr>
        <w:pStyle w:val="11"/>
        <w:ind w:firstLine="480" w:firstLineChars="200"/>
        <w:rPr>
          <w:rFonts w:ascii="仿宋" w:hAnsi="仿宋" w:eastAsia="仿宋"/>
          <w:sz w:val="24"/>
          <w:szCs w:val="24"/>
        </w:rPr>
      </w:pPr>
      <w:r>
        <w:rPr>
          <w:rFonts w:hint="eastAsia" w:ascii="仿宋" w:hAnsi="仿宋" w:eastAsia="仿宋"/>
          <w:sz w:val="24"/>
          <w:szCs w:val="24"/>
        </w:rPr>
        <w:t>（一）项目经济性分析</w:t>
      </w:r>
    </w:p>
    <w:p>
      <w:pPr>
        <w:pStyle w:val="11"/>
        <w:ind w:firstLine="480" w:firstLineChars="200"/>
        <w:rPr>
          <w:rFonts w:ascii="仿宋" w:hAnsi="仿宋" w:eastAsia="仿宋"/>
          <w:sz w:val="24"/>
          <w:szCs w:val="24"/>
        </w:rPr>
      </w:pPr>
      <w:r>
        <w:rPr>
          <w:rFonts w:hint="eastAsia" w:ascii="仿宋" w:hAnsi="仿宋" w:eastAsia="仿宋"/>
          <w:sz w:val="24"/>
          <w:szCs w:val="24"/>
        </w:rPr>
        <w:t>农村清洁工程范围涉及全县12个乡镇、132个行政村和25个乡镇集镇，按照“户分类、村收集、乡镇转运、县处理”的城乡生活垃圾一体化处理体系，根据《南县农村清洁工程整体服务外包实施方案》的要求，开展“县月巡视、乡镇周督查、村日监管”的监管体系，年初财政下达批复预算2,510万元，实际使用2,256.34万元，节约253.66万元，节约率10.11%。</w:t>
      </w:r>
    </w:p>
    <w:p>
      <w:pPr>
        <w:pStyle w:val="11"/>
        <w:ind w:firstLine="480" w:firstLineChars="200"/>
        <w:rPr>
          <w:rFonts w:ascii="仿宋" w:hAnsi="仿宋" w:eastAsia="仿宋"/>
          <w:sz w:val="24"/>
          <w:szCs w:val="24"/>
        </w:rPr>
      </w:pPr>
      <w:r>
        <w:rPr>
          <w:rFonts w:hint="eastAsia" w:ascii="仿宋" w:hAnsi="仿宋" w:eastAsia="仿宋"/>
          <w:sz w:val="24"/>
          <w:szCs w:val="24"/>
        </w:rPr>
        <w:t>（二）项目环境效益分析</w:t>
      </w:r>
    </w:p>
    <w:p>
      <w:pPr>
        <w:pStyle w:val="11"/>
        <w:ind w:firstLine="480" w:firstLineChars="200"/>
        <w:rPr>
          <w:rFonts w:ascii="仿宋" w:hAnsi="仿宋" w:eastAsia="仿宋"/>
          <w:sz w:val="24"/>
          <w:szCs w:val="24"/>
        </w:rPr>
      </w:pPr>
      <w:r>
        <w:rPr>
          <w:rFonts w:hint="eastAsia" w:ascii="仿宋" w:hAnsi="仿宋" w:eastAsia="仿宋"/>
          <w:sz w:val="24"/>
          <w:szCs w:val="24"/>
        </w:rPr>
        <w:t>1.提高了农村生活环境质量。每天收集转运39.31吨以上农村常住人口产生的生活垃圾，生活垃圾做到了日产日清。紧紧围绕“时时干净、处处整洁”的管理目标，全面推行了标准化、精细化、常态化的管理模式，区域内街道整洁、路面无裸露垃圾与果皮纸屑。</w:t>
      </w:r>
    </w:p>
    <w:p>
      <w:pPr>
        <w:pStyle w:val="11"/>
        <w:ind w:firstLine="480" w:firstLineChars="200"/>
        <w:rPr>
          <w:rFonts w:ascii="仿宋" w:hAnsi="仿宋" w:eastAsia="仿宋"/>
          <w:sz w:val="24"/>
          <w:szCs w:val="24"/>
        </w:rPr>
      </w:pPr>
      <w:r>
        <w:rPr>
          <w:rFonts w:hint="eastAsia" w:ascii="仿宋" w:hAnsi="仿宋" w:eastAsia="仿宋"/>
          <w:sz w:val="24"/>
          <w:szCs w:val="24"/>
        </w:rPr>
        <w:t>2、有效降低了对土壤和水源的污染。全年共收集转运43,800吨农村垃圾交由南县环卫处运送到县外进行无害化处理，生活垃圾处理无害化处理率达100%，有效促进了农村生态环境改善，提升了农村环境卫生。</w:t>
      </w:r>
    </w:p>
    <w:p>
      <w:pPr>
        <w:pStyle w:val="11"/>
        <w:ind w:firstLine="480" w:firstLineChars="200"/>
        <w:rPr>
          <w:rFonts w:ascii="仿宋" w:hAnsi="仿宋" w:eastAsia="仿宋"/>
          <w:sz w:val="24"/>
          <w:szCs w:val="24"/>
        </w:rPr>
      </w:pPr>
      <w:r>
        <w:rPr>
          <w:rFonts w:hint="eastAsia" w:ascii="仿宋" w:hAnsi="仿宋" w:eastAsia="仿宋"/>
          <w:sz w:val="24"/>
          <w:szCs w:val="24"/>
        </w:rPr>
        <w:t>（三）项目社会性分析</w:t>
      </w:r>
    </w:p>
    <w:p>
      <w:pPr>
        <w:pStyle w:val="11"/>
        <w:ind w:firstLine="480" w:firstLineChars="200"/>
        <w:rPr>
          <w:rFonts w:ascii="仿宋" w:hAnsi="仿宋" w:eastAsia="仿宋"/>
          <w:sz w:val="24"/>
          <w:szCs w:val="24"/>
        </w:rPr>
      </w:pPr>
      <w:r>
        <w:rPr>
          <w:rFonts w:hint="eastAsia" w:ascii="仿宋" w:hAnsi="仿宋" w:eastAsia="仿宋"/>
          <w:sz w:val="24"/>
          <w:szCs w:val="24"/>
        </w:rPr>
        <w:t>1、解决就业问题。农村清洁工程服务外包项目涉及全县12个乡镇、132个行政村和25个乡镇集镇范围内的国道、省道、县道、乡道、村级公路和居民线路面、所有农村垃圾池（桶）的清掏、收集、转运，项目的实施，将为当地居民提供了广阔的就业机会。</w:t>
      </w:r>
    </w:p>
    <w:p>
      <w:pPr>
        <w:pStyle w:val="11"/>
        <w:ind w:firstLine="480" w:firstLineChars="200"/>
        <w:rPr>
          <w:rFonts w:ascii="仿宋" w:hAnsi="仿宋" w:eastAsia="仿宋"/>
          <w:sz w:val="24"/>
          <w:szCs w:val="24"/>
        </w:rPr>
      </w:pPr>
      <w:r>
        <w:rPr>
          <w:rFonts w:hint="eastAsia" w:ascii="仿宋" w:hAnsi="仿宋" w:eastAsia="仿宋"/>
          <w:sz w:val="24"/>
          <w:szCs w:val="24"/>
        </w:rPr>
        <w:t>2.促进了乡村振兴。项目的实施，提升了农村环境卫生，打造美丽乡村，受益人数达到39.31万人，同时对招商引资能提供一个美好的环境，推进农村建设。</w:t>
      </w:r>
    </w:p>
    <w:p>
      <w:pPr>
        <w:pStyle w:val="11"/>
        <w:ind w:firstLine="480" w:firstLineChars="200"/>
        <w:rPr>
          <w:rFonts w:ascii="仿宋" w:hAnsi="仿宋" w:eastAsia="仿宋"/>
          <w:sz w:val="24"/>
          <w:szCs w:val="24"/>
        </w:rPr>
      </w:pPr>
      <w:r>
        <w:rPr>
          <w:rFonts w:hint="eastAsia" w:ascii="仿宋" w:hAnsi="仿宋" w:eastAsia="仿宋"/>
          <w:sz w:val="24"/>
          <w:szCs w:val="24"/>
        </w:rPr>
        <w:t>（四）项目可持续性分析</w:t>
      </w:r>
    </w:p>
    <w:p>
      <w:pPr>
        <w:pStyle w:val="11"/>
        <w:ind w:firstLine="480" w:firstLineChars="200"/>
        <w:rPr>
          <w:rFonts w:ascii="仿宋" w:hAnsi="仿宋" w:eastAsia="仿宋"/>
          <w:sz w:val="24"/>
          <w:szCs w:val="24"/>
        </w:rPr>
      </w:pPr>
      <w:r>
        <w:rPr>
          <w:rFonts w:hint="eastAsia" w:ascii="仿宋" w:hAnsi="仿宋" w:eastAsia="仿宋"/>
          <w:sz w:val="24"/>
          <w:szCs w:val="24"/>
        </w:rPr>
        <w:t>通过到现场进行座谈和调查问卷，群众满意度达到了100%。项目的实施，提升了农村的卫生条件，满足了农村垃圾投放需求，改变了人们的生活环境质量，提高了人们的环卫意识，项目可持续实施。</w:t>
      </w:r>
    </w:p>
    <w:p>
      <w:pPr>
        <w:pStyle w:val="11"/>
        <w:ind w:firstLine="482" w:firstLineChars="150"/>
        <w:rPr>
          <w:rFonts w:ascii="仿宋" w:hAnsi="仿宋" w:eastAsia="仿宋"/>
          <w:b/>
          <w:sz w:val="32"/>
          <w:szCs w:val="32"/>
        </w:rPr>
      </w:pPr>
      <w:r>
        <w:rPr>
          <w:rFonts w:hint="eastAsia" w:ascii="仿宋" w:hAnsi="仿宋" w:eastAsia="仿宋"/>
          <w:b/>
          <w:sz w:val="32"/>
          <w:szCs w:val="32"/>
        </w:rPr>
        <w:t>六、存在的主要问题</w:t>
      </w:r>
    </w:p>
    <w:p>
      <w:pPr>
        <w:pStyle w:val="11"/>
        <w:ind w:firstLine="480" w:firstLineChars="200"/>
        <w:rPr>
          <w:rFonts w:ascii="仿宋" w:hAnsi="仿宋" w:eastAsia="仿宋"/>
          <w:sz w:val="24"/>
          <w:szCs w:val="24"/>
        </w:rPr>
      </w:pPr>
      <w:r>
        <w:rPr>
          <w:rFonts w:hint="eastAsia" w:ascii="仿宋" w:hAnsi="仿宋" w:eastAsia="仿宋"/>
          <w:sz w:val="24"/>
          <w:szCs w:val="24"/>
        </w:rPr>
        <w:t>南县农业农村局2021年“农村清洁工程服务外包项目”在项目决策上合理，实施过程中领导重视，管理较规范，较好的达到了预期的绩效目标，但有些方面仍有不足，主要有：</w:t>
      </w:r>
    </w:p>
    <w:p>
      <w:pPr>
        <w:pStyle w:val="11"/>
        <w:ind w:firstLine="480" w:firstLineChars="200"/>
        <w:rPr>
          <w:rFonts w:ascii="仿宋" w:hAnsi="仿宋" w:eastAsia="仿宋"/>
          <w:sz w:val="24"/>
          <w:szCs w:val="24"/>
        </w:rPr>
      </w:pPr>
      <w:bookmarkStart w:id="0" w:name="OLE_LINK1"/>
      <w:r>
        <w:rPr>
          <w:rFonts w:hint="eastAsia" w:ascii="仿宋" w:hAnsi="仿宋" w:eastAsia="仿宋"/>
          <w:sz w:val="24"/>
          <w:szCs w:val="24"/>
        </w:rPr>
        <w:t>(一)</w:t>
      </w:r>
      <w:r>
        <w:rPr>
          <w:rFonts w:ascii="仿宋" w:hAnsi="仿宋" w:eastAsia="仿宋"/>
          <w:sz w:val="24"/>
          <w:szCs w:val="24"/>
        </w:rPr>
        <w:t>项目管理</w:t>
      </w:r>
      <w:r>
        <w:rPr>
          <w:rFonts w:hint="eastAsia" w:ascii="仿宋" w:hAnsi="仿宋" w:eastAsia="仿宋"/>
          <w:sz w:val="24"/>
          <w:szCs w:val="24"/>
        </w:rPr>
        <w:t>欠规范，存在程序不到位和程序不符合规定的现象</w:t>
      </w:r>
    </w:p>
    <w:p>
      <w:pPr>
        <w:pStyle w:val="11"/>
        <w:ind w:firstLine="480" w:firstLineChars="200"/>
        <w:rPr>
          <w:rFonts w:ascii="仿宋" w:hAnsi="仿宋" w:eastAsia="仿宋"/>
          <w:sz w:val="24"/>
          <w:szCs w:val="24"/>
        </w:rPr>
      </w:pPr>
      <w:r>
        <w:rPr>
          <w:rFonts w:hint="eastAsia" w:ascii="仿宋" w:hAnsi="仿宋" w:eastAsia="仿宋"/>
          <w:sz w:val="24"/>
          <w:szCs w:val="24"/>
        </w:rPr>
        <w:t>1、实施的招投标程序不符合规定</w:t>
      </w:r>
    </w:p>
    <w:p>
      <w:pPr>
        <w:pStyle w:val="11"/>
        <w:ind w:firstLine="480" w:firstLineChars="200"/>
        <w:rPr>
          <w:rFonts w:ascii="仿宋" w:hAnsi="仿宋" w:eastAsia="仿宋"/>
          <w:sz w:val="24"/>
          <w:szCs w:val="24"/>
        </w:rPr>
      </w:pPr>
      <w:r>
        <w:rPr>
          <w:rFonts w:hint="eastAsia" w:ascii="仿宋" w:hAnsi="仿宋" w:eastAsia="仿宋"/>
          <w:sz w:val="24"/>
          <w:szCs w:val="24"/>
        </w:rPr>
        <w:t>根据《中华人民共和国政府采购法》第五章第四十六条规定“采购人与中标、成交供应商应当在中标、成交通知书发出之日起三十日内，按照采购文件确定的事项签订政府采购合同”。根据该局提供的2018年中标通知书和合同可知，2018年中标通知书发出时间为2018年11月29日，合同签订时间为2019年4月12日，滞后104天。</w:t>
      </w:r>
    </w:p>
    <w:p>
      <w:pPr>
        <w:pStyle w:val="11"/>
        <w:ind w:firstLine="480" w:firstLineChars="200"/>
        <w:rPr>
          <w:rFonts w:ascii="仿宋" w:hAnsi="仿宋" w:eastAsia="仿宋"/>
          <w:sz w:val="24"/>
          <w:szCs w:val="24"/>
        </w:rPr>
      </w:pPr>
      <w:r>
        <w:rPr>
          <w:rFonts w:hint="eastAsia" w:ascii="仿宋" w:hAnsi="仿宋" w:eastAsia="仿宋"/>
          <w:sz w:val="24"/>
          <w:szCs w:val="24"/>
        </w:rPr>
        <w:t>2、项目实施欠规范，存在先开工后签合同现象</w:t>
      </w:r>
    </w:p>
    <w:p>
      <w:pPr>
        <w:pStyle w:val="11"/>
        <w:ind w:firstLine="480" w:firstLineChars="200"/>
        <w:rPr>
          <w:rFonts w:ascii="仿宋" w:hAnsi="仿宋" w:eastAsia="仿宋"/>
          <w:sz w:val="24"/>
          <w:szCs w:val="24"/>
        </w:rPr>
      </w:pPr>
      <w:r>
        <w:rPr>
          <w:rFonts w:hint="eastAsia" w:ascii="仿宋" w:hAnsi="仿宋" w:eastAsia="仿宋"/>
          <w:sz w:val="24"/>
          <w:szCs w:val="24"/>
        </w:rPr>
        <w:t>该局在项目实施中，合同签订的时间为2019年4月12日，合同中注明承包开始时间为2018年12月1日，项目开工时间先于合同签订时间，不符合规定。</w:t>
      </w:r>
    </w:p>
    <w:p>
      <w:pPr>
        <w:pStyle w:val="11"/>
        <w:ind w:firstLine="480" w:firstLineChars="200"/>
        <w:rPr>
          <w:rFonts w:ascii="仿宋" w:hAnsi="仿宋" w:eastAsia="仿宋"/>
          <w:sz w:val="24"/>
          <w:szCs w:val="24"/>
        </w:rPr>
      </w:pPr>
      <w:r>
        <w:rPr>
          <w:rFonts w:hint="eastAsia" w:ascii="仿宋" w:hAnsi="仿宋" w:eastAsia="仿宋"/>
          <w:sz w:val="24"/>
          <w:szCs w:val="24"/>
        </w:rPr>
        <w:t>（二）年初预算精准度不高，存在结余资金的现象</w:t>
      </w:r>
    </w:p>
    <w:p>
      <w:pPr>
        <w:pStyle w:val="11"/>
        <w:ind w:firstLine="480" w:firstLineChars="200"/>
        <w:rPr>
          <w:rFonts w:ascii="仿宋" w:hAnsi="仿宋" w:eastAsia="仿宋"/>
          <w:sz w:val="24"/>
          <w:szCs w:val="24"/>
        </w:rPr>
      </w:pPr>
      <w:r>
        <w:rPr>
          <w:rFonts w:hint="eastAsia" w:ascii="仿宋" w:hAnsi="仿宋" w:eastAsia="仿宋"/>
          <w:sz w:val="24"/>
          <w:szCs w:val="24"/>
        </w:rPr>
        <w:t>2021年农村清洁工程服务外包项目年初预算金额2,510万元，实际使用2,256.34万元，结余253.66万元</w:t>
      </w:r>
      <w:r>
        <w:rPr>
          <w:rFonts w:hint="eastAsia" w:ascii="仿宋" w:hAnsi="仿宋" w:eastAsia="仿宋"/>
        </w:rPr>
        <w:t>。</w:t>
      </w:r>
      <w:bookmarkEnd w:id="0"/>
    </w:p>
    <w:p>
      <w:pPr>
        <w:pStyle w:val="11"/>
        <w:ind w:firstLine="640"/>
        <w:rPr>
          <w:rFonts w:ascii="仿宋" w:hAnsi="仿宋" w:eastAsia="仿宋"/>
          <w:b/>
          <w:bCs/>
          <w:sz w:val="32"/>
          <w:szCs w:val="32"/>
        </w:rPr>
      </w:pPr>
      <w:r>
        <w:rPr>
          <w:rFonts w:hint="eastAsia" w:ascii="仿宋" w:hAnsi="仿宋" w:eastAsia="仿宋"/>
          <w:b/>
          <w:bCs/>
          <w:sz w:val="32"/>
          <w:szCs w:val="32"/>
        </w:rPr>
        <w:t>七、建议</w:t>
      </w:r>
    </w:p>
    <w:p>
      <w:pPr>
        <w:pStyle w:val="11"/>
        <w:ind w:firstLine="480" w:firstLineChars="200"/>
        <w:rPr>
          <w:rFonts w:ascii="仿宋" w:hAnsi="仿宋" w:eastAsia="仿宋"/>
          <w:sz w:val="24"/>
          <w:szCs w:val="24"/>
        </w:rPr>
      </w:pPr>
      <w:r>
        <w:rPr>
          <w:rFonts w:hint="eastAsia" w:ascii="仿宋" w:hAnsi="仿宋" w:eastAsia="仿宋"/>
          <w:sz w:val="24"/>
          <w:szCs w:val="24"/>
        </w:rPr>
        <w:t>(一)加强项目管理，规范招投标程序。一是落实招投标政策，规范招投标行为，严格按照政府采购的规定签订合同；二是加强项目实施的管理，杜绝先开工后签订合同现象。</w:t>
      </w:r>
    </w:p>
    <w:p>
      <w:pPr>
        <w:pStyle w:val="11"/>
        <w:ind w:firstLine="480" w:firstLineChars="200"/>
        <w:rPr>
          <w:rFonts w:ascii="仿宋" w:hAnsi="仿宋" w:eastAsia="仿宋"/>
          <w:sz w:val="24"/>
          <w:szCs w:val="24"/>
        </w:rPr>
      </w:pPr>
      <w:r>
        <w:rPr>
          <w:rFonts w:hint="eastAsia" w:ascii="仿宋" w:hAnsi="仿宋" w:eastAsia="仿宋"/>
          <w:sz w:val="24"/>
          <w:szCs w:val="24"/>
        </w:rPr>
        <w:t>（二）准确细致的进行项目预算。对项目资金进行跟踪监控，保证财政预算的执行质量和编制效果，及时收缴结余资金，将结余资金投入到需要的项目中，提升财政资金使用效益。</w:t>
      </w:r>
    </w:p>
    <w:p>
      <w:pPr>
        <w:pStyle w:val="11"/>
        <w:ind w:firstLine="480" w:firstLineChars="200"/>
        <w:rPr>
          <w:rFonts w:ascii="仿宋" w:hAnsi="仿宋" w:eastAsia="仿宋"/>
          <w:sz w:val="24"/>
          <w:szCs w:val="24"/>
        </w:rPr>
      </w:pPr>
      <w:r>
        <w:rPr>
          <w:rFonts w:hint="eastAsia" w:ascii="仿宋" w:hAnsi="仿宋" w:eastAsia="仿宋"/>
          <w:sz w:val="24"/>
          <w:szCs w:val="24"/>
        </w:rPr>
        <w:t>附：项目绩效评价指标评分表</w:t>
      </w:r>
    </w:p>
    <w:p>
      <w:pPr>
        <w:pStyle w:val="11"/>
        <w:ind w:firstLine="480" w:firstLineChars="200"/>
        <w:rPr>
          <w:rFonts w:ascii="仿宋" w:hAnsi="仿宋" w:eastAsia="仿宋"/>
          <w:sz w:val="24"/>
          <w:szCs w:val="24"/>
        </w:rPr>
      </w:pPr>
    </w:p>
    <w:p>
      <w:pPr>
        <w:pStyle w:val="11"/>
        <w:ind w:firstLine="480" w:firstLineChars="200"/>
        <w:rPr>
          <w:rFonts w:ascii="仿宋" w:hAnsi="仿宋" w:eastAsia="仿宋"/>
          <w:sz w:val="24"/>
          <w:szCs w:val="24"/>
        </w:rPr>
      </w:pPr>
    </w:p>
    <w:p>
      <w:pPr>
        <w:pStyle w:val="11"/>
        <w:rPr>
          <w:rFonts w:ascii="仿宋" w:hAnsi="仿宋" w:eastAsia="仿宋"/>
          <w:sz w:val="24"/>
          <w:szCs w:val="24"/>
        </w:rPr>
      </w:pPr>
    </w:p>
    <w:p>
      <w:pPr>
        <w:spacing w:line="360" w:lineRule="auto"/>
        <w:rPr>
          <w:rFonts w:ascii="仿宋" w:hAnsi="仿宋" w:eastAsia="仿宋"/>
          <w:b/>
          <w:color w:val="000000"/>
          <w:sz w:val="24"/>
          <w:szCs w:val="24"/>
        </w:rPr>
      </w:pPr>
      <w:r>
        <w:rPr>
          <w:rFonts w:hint="eastAsia" w:ascii="仿宋" w:hAnsi="仿宋" w:eastAsia="仿宋"/>
          <w:b/>
          <w:color w:val="000000"/>
          <w:sz w:val="24"/>
          <w:szCs w:val="24"/>
        </w:rPr>
        <w:t xml:space="preserve">湖南新财苑会计师事务所 </w:t>
      </w:r>
      <w:r>
        <w:rPr>
          <w:rFonts w:hint="eastAsia" w:ascii="宋体" w:hAnsi="宋体" w:eastAsia="仿宋"/>
          <w:b/>
          <w:color w:val="000000"/>
          <w:sz w:val="24"/>
          <w:szCs w:val="24"/>
        </w:rPr>
        <w:t> </w:t>
      </w:r>
      <w:r>
        <w:rPr>
          <w:rFonts w:hint="eastAsia" w:ascii="仿宋" w:hAnsi="仿宋" w:eastAsia="仿宋"/>
          <w:b/>
          <w:color w:val="000000"/>
          <w:sz w:val="24"/>
          <w:szCs w:val="24"/>
        </w:rPr>
        <w:t xml:space="preserve"> </w:t>
      </w:r>
      <w:r>
        <w:rPr>
          <w:rFonts w:hint="eastAsia" w:ascii="宋体" w:hAnsi="宋体" w:eastAsia="仿宋"/>
          <w:b/>
          <w:color w:val="000000"/>
          <w:sz w:val="24"/>
          <w:szCs w:val="24"/>
        </w:rPr>
        <w:t> </w:t>
      </w:r>
      <w:r>
        <w:rPr>
          <w:rFonts w:hint="eastAsia" w:ascii="仿宋" w:hAnsi="仿宋" w:eastAsia="仿宋"/>
          <w:b/>
          <w:color w:val="000000"/>
          <w:sz w:val="24"/>
          <w:szCs w:val="24"/>
        </w:rPr>
        <w:t xml:space="preserve"> </w:t>
      </w:r>
      <w:r>
        <w:rPr>
          <w:rFonts w:hint="eastAsia" w:ascii="宋体" w:hAnsi="宋体" w:eastAsia="仿宋"/>
          <w:b/>
          <w:color w:val="000000"/>
          <w:sz w:val="24"/>
          <w:szCs w:val="24"/>
        </w:rPr>
        <w:t> </w:t>
      </w:r>
      <w:r>
        <w:rPr>
          <w:rFonts w:hint="eastAsia" w:ascii="仿宋" w:hAnsi="仿宋" w:eastAsia="仿宋"/>
          <w:b/>
          <w:color w:val="000000"/>
          <w:sz w:val="24"/>
          <w:szCs w:val="24"/>
        </w:rPr>
        <w:t xml:space="preserve"> </w:t>
      </w:r>
      <w:r>
        <w:rPr>
          <w:rFonts w:hint="eastAsia" w:ascii="宋体" w:hAnsi="宋体" w:eastAsia="仿宋"/>
          <w:b/>
          <w:color w:val="000000"/>
          <w:sz w:val="24"/>
          <w:szCs w:val="24"/>
        </w:rPr>
        <w:t> </w:t>
      </w:r>
      <w:r>
        <w:rPr>
          <w:rFonts w:hint="eastAsia" w:ascii="仿宋" w:hAnsi="仿宋" w:eastAsia="仿宋"/>
          <w:b/>
          <w:color w:val="000000"/>
          <w:sz w:val="24"/>
          <w:szCs w:val="24"/>
        </w:rPr>
        <w:t xml:space="preserve">    中国注册会计师：</w:t>
      </w:r>
    </w:p>
    <w:p>
      <w:pPr>
        <w:spacing w:line="360" w:lineRule="auto"/>
        <w:ind w:firstLine="482" w:firstLineChars="200"/>
        <w:rPr>
          <w:rFonts w:ascii="仿宋" w:hAnsi="仿宋" w:eastAsia="仿宋"/>
          <w:b/>
          <w:color w:val="000000"/>
          <w:sz w:val="24"/>
          <w:szCs w:val="24"/>
        </w:rPr>
      </w:pPr>
      <w:r>
        <w:rPr>
          <w:rFonts w:hint="eastAsia" w:ascii="宋体" w:hAnsi="宋体" w:eastAsia="仿宋"/>
          <w:b/>
          <w:color w:val="000000"/>
          <w:sz w:val="24"/>
          <w:szCs w:val="24"/>
        </w:rPr>
        <w:t> </w:t>
      </w:r>
      <w:r>
        <w:rPr>
          <w:rFonts w:hint="eastAsia" w:ascii="仿宋" w:hAnsi="仿宋" w:eastAsia="仿宋"/>
          <w:b/>
          <w:color w:val="000000"/>
          <w:sz w:val="24"/>
          <w:szCs w:val="24"/>
        </w:rPr>
        <w:t xml:space="preserve"> 有限公司</w:t>
      </w:r>
      <w:r>
        <w:rPr>
          <w:rFonts w:hint="eastAsia" w:ascii="宋体" w:hAnsi="宋体" w:eastAsia="仿宋"/>
          <w:b/>
          <w:color w:val="000000"/>
          <w:sz w:val="24"/>
          <w:szCs w:val="24"/>
        </w:rPr>
        <w:t> </w:t>
      </w:r>
      <w:r>
        <w:rPr>
          <w:rFonts w:hint="eastAsia" w:ascii="仿宋" w:hAnsi="仿宋" w:eastAsia="仿宋"/>
          <w:b/>
          <w:color w:val="000000"/>
          <w:sz w:val="24"/>
          <w:szCs w:val="24"/>
        </w:rPr>
        <w:t xml:space="preserve"> </w:t>
      </w:r>
      <w:r>
        <w:rPr>
          <w:rFonts w:hint="eastAsia" w:ascii="宋体" w:hAnsi="宋体" w:eastAsia="仿宋"/>
          <w:b/>
          <w:color w:val="000000"/>
          <w:sz w:val="24"/>
          <w:szCs w:val="24"/>
        </w:rPr>
        <w:t> </w:t>
      </w:r>
      <w:r>
        <w:rPr>
          <w:rFonts w:hint="eastAsia" w:ascii="仿宋" w:hAnsi="仿宋" w:eastAsia="仿宋"/>
          <w:b/>
          <w:color w:val="000000"/>
          <w:sz w:val="24"/>
          <w:szCs w:val="24"/>
        </w:rPr>
        <w:t xml:space="preserve"> </w:t>
      </w:r>
      <w:r>
        <w:rPr>
          <w:rFonts w:hint="eastAsia" w:ascii="宋体" w:hAnsi="宋体" w:eastAsia="仿宋"/>
          <w:b/>
          <w:color w:val="000000"/>
          <w:sz w:val="24"/>
          <w:szCs w:val="24"/>
        </w:rPr>
        <w:t> </w:t>
      </w:r>
      <w:r>
        <w:rPr>
          <w:rFonts w:hint="eastAsia" w:ascii="仿宋" w:hAnsi="仿宋" w:eastAsia="仿宋"/>
          <w:b/>
          <w:color w:val="000000"/>
          <w:sz w:val="24"/>
          <w:szCs w:val="24"/>
        </w:rPr>
        <w:t xml:space="preserve"> </w:t>
      </w:r>
      <w:r>
        <w:rPr>
          <w:rFonts w:hint="eastAsia" w:ascii="宋体" w:hAnsi="宋体" w:eastAsia="仿宋"/>
          <w:b/>
          <w:color w:val="000000"/>
          <w:sz w:val="24"/>
          <w:szCs w:val="24"/>
        </w:rPr>
        <w:t> </w:t>
      </w:r>
      <w:r>
        <w:rPr>
          <w:rFonts w:hint="eastAsia" w:ascii="仿宋" w:hAnsi="仿宋" w:eastAsia="仿宋"/>
          <w:b/>
          <w:color w:val="000000"/>
          <w:sz w:val="24"/>
          <w:szCs w:val="24"/>
        </w:rPr>
        <w:t xml:space="preserve"> </w:t>
      </w:r>
      <w:r>
        <w:rPr>
          <w:rFonts w:hint="eastAsia" w:ascii="宋体" w:hAnsi="宋体" w:eastAsia="仿宋"/>
          <w:b/>
          <w:color w:val="000000"/>
          <w:sz w:val="24"/>
          <w:szCs w:val="24"/>
        </w:rPr>
        <w:t> </w:t>
      </w:r>
      <w:r>
        <w:rPr>
          <w:rFonts w:hint="eastAsia" w:ascii="仿宋" w:hAnsi="仿宋" w:eastAsia="仿宋"/>
          <w:b/>
          <w:color w:val="000000"/>
          <w:sz w:val="24"/>
          <w:szCs w:val="24"/>
        </w:rPr>
        <w:t xml:space="preserve"> </w:t>
      </w:r>
      <w:r>
        <w:rPr>
          <w:rFonts w:hint="eastAsia" w:ascii="宋体" w:hAnsi="宋体" w:eastAsia="仿宋"/>
          <w:b/>
          <w:color w:val="000000"/>
          <w:sz w:val="24"/>
          <w:szCs w:val="24"/>
        </w:rPr>
        <w:t> </w:t>
      </w:r>
      <w:r>
        <w:rPr>
          <w:rFonts w:hint="eastAsia" w:ascii="仿宋" w:hAnsi="仿宋" w:eastAsia="仿宋"/>
          <w:b/>
          <w:color w:val="000000"/>
          <w:sz w:val="24"/>
          <w:szCs w:val="24"/>
        </w:rPr>
        <w:t xml:space="preserve"> </w:t>
      </w:r>
      <w:r>
        <w:rPr>
          <w:rFonts w:hint="eastAsia" w:ascii="宋体" w:hAnsi="宋体" w:eastAsia="仿宋"/>
          <w:b/>
          <w:color w:val="000000"/>
          <w:sz w:val="24"/>
          <w:szCs w:val="24"/>
        </w:rPr>
        <w:t> </w:t>
      </w:r>
      <w:r>
        <w:rPr>
          <w:rFonts w:hint="eastAsia" w:ascii="仿宋" w:hAnsi="仿宋" w:eastAsia="仿宋"/>
          <w:b/>
          <w:color w:val="000000"/>
          <w:sz w:val="24"/>
          <w:szCs w:val="24"/>
        </w:rPr>
        <w:t xml:space="preserve">                                                      </w:t>
      </w:r>
    </w:p>
    <w:p>
      <w:pPr>
        <w:spacing w:line="360" w:lineRule="auto"/>
        <w:ind w:firstLine="482" w:firstLineChars="200"/>
        <w:rPr>
          <w:rFonts w:ascii="仿宋" w:hAnsi="仿宋" w:eastAsia="仿宋"/>
          <w:b/>
          <w:color w:val="000000"/>
          <w:sz w:val="24"/>
          <w:szCs w:val="24"/>
        </w:rPr>
      </w:pPr>
      <w:r>
        <w:rPr>
          <w:rFonts w:hint="eastAsia" w:ascii="仿宋" w:hAnsi="仿宋" w:eastAsia="仿宋"/>
          <w:b/>
          <w:color w:val="000000"/>
          <w:sz w:val="24"/>
          <w:szCs w:val="24"/>
        </w:rPr>
        <w:t xml:space="preserve">                                  中国注册会计师： </w:t>
      </w:r>
    </w:p>
    <w:p>
      <w:pPr>
        <w:spacing w:line="360" w:lineRule="auto"/>
        <w:ind w:firstLine="482" w:firstLineChars="200"/>
        <w:rPr>
          <w:rFonts w:ascii="仿宋" w:hAnsi="仿宋" w:eastAsia="仿宋"/>
          <w:b/>
          <w:color w:val="000000"/>
          <w:sz w:val="24"/>
          <w:szCs w:val="24"/>
        </w:rPr>
      </w:pPr>
      <w:r>
        <w:rPr>
          <w:rFonts w:hint="eastAsia" w:ascii="仿宋" w:hAnsi="仿宋" w:eastAsia="仿宋"/>
          <w:b/>
          <w:color w:val="000000"/>
          <w:sz w:val="24"/>
          <w:szCs w:val="24"/>
        </w:rPr>
        <w:t xml:space="preserve">                                                </w:t>
      </w:r>
    </w:p>
    <w:p>
      <w:pPr>
        <w:spacing w:line="360" w:lineRule="auto"/>
        <w:ind w:firstLine="602" w:firstLineChars="250"/>
        <w:rPr>
          <w:rFonts w:ascii="仿宋" w:hAnsi="仿宋" w:eastAsia="仿宋"/>
          <w:sz w:val="28"/>
          <w:szCs w:val="28"/>
        </w:rPr>
      </w:pPr>
      <w:r>
        <w:rPr>
          <w:rFonts w:hint="eastAsia" w:ascii="仿宋" w:hAnsi="仿宋" w:eastAsia="仿宋"/>
          <w:b/>
          <w:color w:val="000000"/>
          <w:sz w:val="24"/>
          <w:szCs w:val="24"/>
        </w:rPr>
        <w:t>湖南  长沙</w:t>
      </w:r>
      <w:r>
        <w:rPr>
          <w:rFonts w:hint="eastAsia" w:ascii="宋体" w:hAnsi="宋体" w:eastAsia="仿宋"/>
          <w:b/>
          <w:color w:val="000000"/>
          <w:sz w:val="24"/>
          <w:szCs w:val="24"/>
        </w:rPr>
        <w:t> </w:t>
      </w:r>
      <w:r>
        <w:rPr>
          <w:rFonts w:hint="eastAsia" w:ascii="仿宋" w:hAnsi="仿宋" w:eastAsia="仿宋"/>
          <w:b/>
          <w:color w:val="000000"/>
          <w:sz w:val="24"/>
          <w:szCs w:val="24"/>
        </w:rPr>
        <w:t xml:space="preserve">    </w:t>
      </w:r>
      <w:r>
        <w:rPr>
          <w:rFonts w:hint="eastAsia" w:ascii="宋体" w:hAnsi="宋体" w:eastAsia="仿宋"/>
          <w:b/>
          <w:color w:val="000000"/>
          <w:sz w:val="24"/>
          <w:szCs w:val="24"/>
        </w:rPr>
        <w:t> </w:t>
      </w:r>
      <w:r>
        <w:rPr>
          <w:rFonts w:hint="eastAsia" w:ascii="仿宋" w:hAnsi="仿宋" w:eastAsia="仿宋"/>
          <w:b/>
          <w:color w:val="000000"/>
          <w:sz w:val="24"/>
          <w:szCs w:val="24"/>
        </w:rPr>
        <w:t xml:space="preserve"> </w:t>
      </w:r>
      <w:r>
        <w:rPr>
          <w:rFonts w:hint="eastAsia" w:ascii="宋体" w:hAnsi="宋体" w:eastAsia="仿宋"/>
          <w:b/>
          <w:color w:val="000000"/>
          <w:sz w:val="24"/>
          <w:szCs w:val="24"/>
        </w:rPr>
        <w:t> </w:t>
      </w:r>
      <w:r>
        <w:rPr>
          <w:rFonts w:hint="eastAsia" w:ascii="仿宋" w:hAnsi="仿宋" w:eastAsia="仿宋"/>
          <w:b/>
          <w:color w:val="000000"/>
          <w:sz w:val="24"/>
          <w:szCs w:val="24"/>
        </w:rPr>
        <w:t xml:space="preserve"> </w:t>
      </w:r>
      <w:r>
        <w:rPr>
          <w:rFonts w:hint="eastAsia" w:ascii="宋体" w:hAnsi="宋体" w:eastAsia="仿宋"/>
          <w:b/>
          <w:color w:val="000000"/>
          <w:sz w:val="24"/>
          <w:szCs w:val="24"/>
        </w:rPr>
        <w:t> </w:t>
      </w:r>
      <w:r>
        <w:rPr>
          <w:rFonts w:hint="eastAsia" w:ascii="仿宋" w:hAnsi="仿宋" w:eastAsia="仿宋"/>
          <w:b/>
          <w:color w:val="000000"/>
          <w:sz w:val="24"/>
          <w:szCs w:val="24"/>
        </w:rPr>
        <w:t xml:space="preserve">  </w:t>
      </w:r>
      <w:r>
        <w:rPr>
          <w:rFonts w:hint="eastAsia" w:ascii="宋体" w:hAnsi="宋体" w:eastAsia="仿宋"/>
          <w:b/>
          <w:color w:val="000000"/>
          <w:sz w:val="24"/>
          <w:szCs w:val="24"/>
        </w:rPr>
        <w:t> </w:t>
      </w:r>
      <w:r>
        <w:rPr>
          <w:rFonts w:hint="eastAsia" w:ascii="仿宋" w:hAnsi="仿宋" w:eastAsia="仿宋"/>
          <w:b/>
          <w:color w:val="000000"/>
          <w:sz w:val="24"/>
          <w:szCs w:val="24"/>
        </w:rPr>
        <w:t xml:space="preserve"> </w:t>
      </w:r>
      <w:r>
        <w:rPr>
          <w:rFonts w:hint="eastAsia" w:ascii="宋体" w:hAnsi="宋体" w:eastAsia="仿宋"/>
          <w:b/>
          <w:color w:val="000000"/>
          <w:sz w:val="24"/>
          <w:szCs w:val="24"/>
        </w:rPr>
        <w:t> </w:t>
      </w:r>
      <w:r>
        <w:rPr>
          <w:rFonts w:hint="eastAsia" w:ascii="仿宋" w:hAnsi="仿宋" w:eastAsia="仿宋"/>
          <w:b/>
          <w:color w:val="000000"/>
          <w:sz w:val="24"/>
          <w:szCs w:val="24"/>
        </w:rPr>
        <w:t xml:space="preserve">  2022年9月29日</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6338"/>
    </w:sdtPr>
    <w:sdtContent>
      <w:p>
        <w:pPr>
          <w:pStyle w:val="4"/>
          <w:jc w:val="right"/>
        </w:pPr>
        <w:r>
          <w:fldChar w:fldCharType="begin"/>
        </w:r>
        <w:r>
          <w:instrText xml:space="preserve"> PAGE   \* MERGEFORMAT </w:instrText>
        </w:r>
        <w:r>
          <w:fldChar w:fldCharType="separate"/>
        </w:r>
        <w:r>
          <w:rPr>
            <w:lang w:val="zh-CN"/>
          </w:rPr>
          <w:t>8</w:t>
        </w:r>
        <w:r>
          <w:rPr>
            <w:lang w:val="zh-CN"/>
          </w:rPr>
          <w:fldChar w:fldCharType="end"/>
        </w:r>
      </w:p>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kOGY4MTM1ZGMxNDgzYmFmYTkzYTY1N2IxN2NlYTMifQ=="/>
  </w:docVars>
  <w:rsids>
    <w:rsidRoot w:val="007C479B"/>
    <w:rsid w:val="000435D5"/>
    <w:rsid w:val="000504B0"/>
    <w:rsid w:val="00055F34"/>
    <w:rsid w:val="0005664A"/>
    <w:rsid w:val="00074F9E"/>
    <w:rsid w:val="00083158"/>
    <w:rsid w:val="0008775B"/>
    <w:rsid w:val="000A4E3A"/>
    <w:rsid w:val="000B099C"/>
    <w:rsid w:val="000B412D"/>
    <w:rsid w:val="000B4685"/>
    <w:rsid w:val="000B4867"/>
    <w:rsid w:val="000F6E77"/>
    <w:rsid w:val="00104345"/>
    <w:rsid w:val="001135CD"/>
    <w:rsid w:val="00116E09"/>
    <w:rsid w:val="00122845"/>
    <w:rsid w:val="00134C07"/>
    <w:rsid w:val="00137D4A"/>
    <w:rsid w:val="001554AE"/>
    <w:rsid w:val="001654DF"/>
    <w:rsid w:val="001655D3"/>
    <w:rsid w:val="00184877"/>
    <w:rsid w:val="00185F95"/>
    <w:rsid w:val="001904B1"/>
    <w:rsid w:val="00192988"/>
    <w:rsid w:val="00194827"/>
    <w:rsid w:val="00195BF7"/>
    <w:rsid w:val="001B60CB"/>
    <w:rsid w:val="001D2D2E"/>
    <w:rsid w:val="001D31A5"/>
    <w:rsid w:val="001F62B5"/>
    <w:rsid w:val="00216E3E"/>
    <w:rsid w:val="00226198"/>
    <w:rsid w:val="00230A8B"/>
    <w:rsid w:val="0025488E"/>
    <w:rsid w:val="002561D6"/>
    <w:rsid w:val="00267039"/>
    <w:rsid w:val="002806E4"/>
    <w:rsid w:val="00282831"/>
    <w:rsid w:val="00297B7E"/>
    <w:rsid w:val="002B1BAA"/>
    <w:rsid w:val="002C7542"/>
    <w:rsid w:val="002E3A16"/>
    <w:rsid w:val="002F0C6E"/>
    <w:rsid w:val="002F36DB"/>
    <w:rsid w:val="00323334"/>
    <w:rsid w:val="0034311B"/>
    <w:rsid w:val="00344374"/>
    <w:rsid w:val="00366AF4"/>
    <w:rsid w:val="00382315"/>
    <w:rsid w:val="00383F7D"/>
    <w:rsid w:val="00386730"/>
    <w:rsid w:val="003E5308"/>
    <w:rsid w:val="003E5969"/>
    <w:rsid w:val="003F5513"/>
    <w:rsid w:val="004259F6"/>
    <w:rsid w:val="004272F7"/>
    <w:rsid w:val="00436364"/>
    <w:rsid w:val="00443FAD"/>
    <w:rsid w:val="0045022D"/>
    <w:rsid w:val="00474157"/>
    <w:rsid w:val="00494A0A"/>
    <w:rsid w:val="004A564D"/>
    <w:rsid w:val="004C4C94"/>
    <w:rsid w:val="004C65FE"/>
    <w:rsid w:val="004D3CF8"/>
    <w:rsid w:val="004E0691"/>
    <w:rsid w:val="004E2F6B"/>
    <w:rsid w:val="004F0801"/>
    <w:rsid w:val="004F1790"/>
    <w:rsid w:val="00526CFE"/>
    <w:rsid w:val="00550678"/>
    <w:rsid w:val="00587B27"/>
    <w:rsid w:val="005912B3"/>
    <w:rsid w:val="005B2C7B"/>
    <w:rsid w:val="005C2E32"/>
    <w:rsid w:val="005D697A"/>
    <w:rsid w:val="005F43D7"/>
    <w:rsid w:val="005F6C2B"/>
    <w:rsid w:val="006102DF"/>
    <w:rsid w:val="0063151F"/>
    <w:rsid w:val="006433BF"/>
    <w:rsid w:val="006445D1"/>
    <w:rsid w:val="0065554C"/>
    <w:rsid w:val="006577D2"/>
    <w:rsid w:val="0066692C"/>
    <w:rsid w:val="00684559"/>
    <w:rsid w:val="00695B03"/>
    <w:rsid w:val="006A764F"/>
    <w:rsid w:val="006C06A3"/>
    <w:rsid w:val="006C0C7C"/>
    <w:rsid w:val="006C5ECB"/>
    <w:rsid w:val="006E7CE6"/>
    <w:rsid w:val="006F5DB2"/>
    <w:rsid w:val="007204BD"/>
    <w:rsid w:val="00750A04"/>
    <w:rsid w:val="00753FDC"/>
    <w:rsid w:val="0077621A"/>
    <w:rsid w:val="007808D7"/>
    <w:rsid w:val="00782827"/>
    <w:rsid w:val="007A03F2"/>
    <w:rsid w:val="007A2F27"/>
    <w:rsid w:val="007B1331"/>
    <w:rsid w:val="007C0A09"/>
    <w:rsid w:val="007C479B"/>
    <w:rsid w:val="007D226B"/>
    <w:rsid w:val="007F0D6F"/>
    <w:rsid w:val="007F0F08"/>
    <w:rsid w:val="007F6D47"/>
    <w:rsid w:val="00804AB3"/>
    <w:rsid w:val="00820388"/>
    <w:rsid w:val="008372E6"/>
    <w:rsid w:val="00837E88"/>
    <w:rsid w:val="008410A9"/>
    <w:rsid w:val="00843BB0"/>
    <w:rsid w:val="008476D9"/>
    <w:rsid w:val="00851A90"/>
    <w:rsid w:val="00856006"/>
    <w:rsid w:val="00877357"/>
    <w:rsid w:val="00882010"/>
    <w:rsid w:val="0088257C"/>
    <w:rsid w:val="008A2FF7"/>
    <w:rsid w:val="008A6E01"/>
    <w:rsid w:val="008C5AE7"/>
    <w:rsid w:val="008C7743"/>
    <w:rsid w:val="00910F53"/>
    <w:rsid w:val="00935432"/>
    <w:rsid w:val="00951405"/>
    <w:rsid w:val="00953DBF"/>
    <w:rsid w:val="00962838"/>
    <w:rsid w:val="009A39E7"/>
    <w:rsid w:val="009A423C"/>
    <w:rsid w:val="009C2437"/>
    <w:rsid w:val="00A02A9F"/>
    <w:rsid w:val="00A103EB"/>
    <w:rsid w:val="00A24AB6"/>
    <w:rsid w:val="00A31CAA"/>
    <w:rsid w:val="00A5129F"/>
    <w:rsid w:val="00A74491"/>
    <w:rsid w:val="00A97179"/>
    <w:rsid w:val="00AD4253"/>
    <w:rsid w:val="00AE5754"/>
    <w:rsid w:val="00AE72AE"/>
    <w:rsid w:val="00AF5366"/>
    <w:rsid w:val="00B116F8"/>
    <w:rsid w:val="00B15A67"/>
    <w:rsid w:val="00B16CDF"/>
    <w:rsid w:val="00B16D40"/>
    <w:rsid w:val="00B26772"/>
    <w:rsid w:val="00B52AEA"/>
    <w:rsid w:val="00B53AC5"/>
    <w:rsid w:val="00B57CBB"/>
    <w:rsid w:val="00B6615A"/>
    <w:rsid w:val="00B86DB9"/>
    <w:rsid w:val="00B91B62"/>
    <w:rsid w:val="00B934F1"/>
    <w:rsid w:val="00BC4683"/>
    <w:rsid w:val="00BC4CC0"/>
    <w:rsid w:val="00BD4A81"/>
    <w:rsid w:val="00BF2B9C"/>
    <w:rsid w:val="00C04636"/>
    <w:rsid w:val="00C31D03"/>
    <w:rsid w:val="00C32ADE"/>
    <w:rsid w:val="00C356A4"/>
    <w:rsid w:val="00C37050"/>
    <w:rsid w:val="00C52796"/>
    <w:rsid w:val="00C5451A"/>
    <w:rsid w:val="00C5620B"/>
    <w:rsid w:val="00C653F2"/>
    <w:rsid w:val="00C8008E"/>
    <w:rsid w:val="00C977E6"/>
    <w:rsid w:val="00CB6105"/>
    <w:rsid w:val="00CC6F0D"/>
    <w:rsid w:val="00CD7012"/>
    <w:rsid w:val="00CE1EF4"/>
    <w:rsid w:val="00D05F86"/>
    <w:rsid w:val="00D3189A"/>
    <w:rsid w:val="00D52884"/>
    <w:rsid w:val="00D5715C"/>
    <w:rsid w:val="00D57E0B"/>
    <w:rsid w:val="00D66E04"/>
    <w:rsid w:val="00D96BC5"/>
    <w:rsid w:val="00DA6824"/>
    <w:rsid w:val="00DD40CA"/>
    <w:rsid w:val="00DE6903"/>
    <w:rsid w:val="00DF3CD9"/>
    <w:rsid w:val="00E16ECE"/>
    <w:rsid w:val="00E2302E"/>
    <w:rsid w:val="00E33060"/>
    <w:rsid w:val="00E61708"/>
    <w:rsid w:val="00E749CE"/>
    <w:rsid w:val="00E77D97"/>
    <w:rsid w:val="00E92E75"/>
    <w:rsid w:val="00E94C76"/>
    <w:rsid w:val="00EA5633"/>
    <w:rsid w:val="00EB17F5"/>
    <w:rsid w:val="00EC5960"/>
    <w:rsid w:val="00F11F5A"/>
    <w:rsid w:val="00F127F0"/>
    <w:rsid w:val="00F94084"/>
    <w:rsid w:val="00FB0E3E"/>
    <w:rsid w:val="00FB26F8"/>
    <w:rsid w:val="00FC3462"/>
    <w:rsid w:val="00FF5F95"/>
    <w:rsid w:val="027C5214"/>
    <w:rsid w:val="02C366D0"/>
    <w:rsid w:val="05F64E2B"/>
    <w:rsid w:val="073C4B29"/>
    <w:rsid w:val="07C7099F"/>
    <w:rsid w:val="092110D5"/>
    <w:rsid w:val="0B457BB2"/>
    <w:rsid w:val="0E0D4557"/>
    <w:rsid w:val="0F80391C"/>
    <w:rsid w:val="110D3CF9"/>
    <w:rsid w:val="111C76EC"/>
    <w:rsid w:val="139A7BF0"/>
    <w:rsid w:val="139E6CC7"/>
    <w:rsid w:val="152E5EEC"/>
    <w:rsid w:val="1AE708E5"/>
    <w:rsid w:val="1F7774AB"/>
    <w:rsid w:val="241E06A0"/>
    <w:rsid w:val="2719110D"/>
    <w:rsid w:val="27C35BCB"/>
    <w:rsid w:val="2B30709D"/>
    <w:rsid w:val="2DA5502E"/>
    <w:rsid w:val="2E184E4B"/>
    <w:rsid w:val="2E2665C6"/>
    <w:rsid w:val="30C94526"/>
    <w:rsid w:val="31461624"/>
    <w:rsid w:val="31776EAE"/>
    <w:rsid w:val="345D27B8"/>
    <w:rsid w:val="34CA0803"/>
    <w:rsid w:val="37603D5F"/>
    <w:rsid w:val="37885DF4"/>
    <w:rsid w:val="38EF0808"/>
    <w:rsid w:val="3C071671"/>
    <w:rsid w:val="3C9E5A42"/>
    <w:rsid w:val="3EAB4F96"/>
    <w:rsid w:val="3F357C88"/>
    <w:rsid w:val="3F3C231B"/>
    <w:rsid w:val="418C5FCD"/>
    <w:rsid w:val="420F1B9A"/>
    <w:rsid w:val="43157A5D"/>
    <w:rsid w:val="47594B82"/>
    <w:rsid w:val="480C59EA"/>
    <w:rsid w:val="49F90EFD"/>
    <w:rsid w:val="4A3E2980"/>
    <w:rsid w:val="4B983D0E"/>
    <w:rsid w:val="4BB22F56"/>
    <w:rsid w:val="4BB96C57"/>
    <w:rsid w:val="50977AC5"/>
    <w:rsid w:val="518100C7"/>
    <w:rsid w:val="51823560"/>
    <w:rsid w:val="51BE72B3"/>
    <w:rsid w:val="52893469"/>
    <w:rsid w:val="53C10EEE"/>
    <w:rsid w:val="53E12E5C"/>
    <w:rsid w:val="560866F6"/>
    <w:rsid w:val="56271E13"/>
    <w:rsid w:val="56ED6BDD"/>
    <w:rsid w:val="577E2B19"/>
    <w:rsid w:val="599D5BC1"/>
    <w:rsid w:val="5B466507"/>
    <w:rsid w:val="5BEB50DB"/>
    <w:rsid w:val="5C970DDF"/>
    <w:rsid w:val="5D3C24BD"/>
    <w:rsid w:val="5DF821AC"/>
    <w:rsid w:val="5EB11C0D"/>
    <w:rsid w:val="5F6A7DC3"/>
    <w:rsid w:val="60AA0CBA"/>
    <w:rsid w:val="653A2DB6"/>
    <w:rsid w:val="66C61AD7"/>
    <w:rsid w:val="6B060DFB"/>
    <w:rsid w:val="6BFC4E2C"/>
    <w:rsid w:val="6E131A64"/>
    <w:rsid w:val="70056FCC"/>
    <w:rsid w:val="705A7861"/>
    <w:rsid w:val="707338F9"/>
    <w:rsid w:val="71E40BFB"/>
    <w:rsid w:val="72583545"/>
    <w:rsid w:val="72A03FF2"/>
    <w:rsid w:val="77CB600D"/>
    <w:rsid w:val="789C3683"/>
    <w:rsid w:val="79591E96"/>
    <w:rsid w:val="79F707EE"/>
    <w:rsid w:val="7C2B589B"/>
    <w:rsid w:val="7CBC63FC"/>
    <w:rsid w:val="7CE9566A"/>
    <w:rsid w:val="7DEF7E01"/>
    <w:rsid w:val="7FC61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40" w:lineRule="exact"/>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style>
  <w:style w:type="paragraph" w:styleId="3">
    <w:name w:val="Balloon Text"/>
    <w:basedOn w:val="1"/>
    <w:link w:val="16"/>
    <w:semiHidden/>
    <w:unhideWhenUsed/>
    <w:qFormat/>
    <w:uiPriority w:val="99"/>
    <w:pPr>
      <w:spacing w:line="240" w:lineRule="auto"/>
    </w:pPr>
    <w:rPr>
      <w:sz w:val="18"/>
      <w:szCs w:val="18"/>
    </w:rPr>
  </w:style>
  <w:style w:type="paragraph" w:styleId="4">
    <w:name w:val="footer"/>
    <w:basedOn w:val="1"/>
    <w:link w:val="14"/>
    <w:unhideWhenUsed/>
    <w:qFormat/>
    <w:uiPriority w:val="99"/>
    <w:pPr>
      <w:tabs>
        <w:tab w:val="center" w:pos="4153"/>
        <w:tab w:val="right" w:pos="8306"/>
      </w:tabs>
      <w:snapToGrid w:val="0"/>
      <w:spacing w:line="240" w:lineRule="atLeast"/>
    </w:pPr>
    <w:rPr>
      <w:sz w:val="18"/>
      <w:szCs w:val="18"/>
    </w:rPr>
  </w:style>
  <w:style w:type="paragraph" w:styleId="5">
    <w:name w:val="header"/>
    <w:basedOn w:val="1"/>
    <w:link w:val="13"/>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6">
    <w:name w:val="Normal (Web)"/>
    <w:basedOn w:val="1"/>
    <w:unhideWhenUsed/>
    <w:qFormat/>
    <w:uiPriority w:val="99"/>
    <w:pPr>
      <w:spacing w:before="100" w:beforeAutospacing="1" w:after="100" w:afterAutospacing="1"/>
    </w:pPr>
    <w:rPr>
      <w:rFonts w:ascii="宋体" w:hAnsi="宋体" w:eastAsia="宋体" w:cs="宋体"/>
      <w:kern w:val="0"/>
      <w:sz w:val="24"/>
      <w:szCs w:val="24"/>
    </w:rPr>
  </w:style>
  <w:style w:type="paragraph" w:styleId="7">
    <w:name w:val="annotation subject"/>
    <w:basedOn w:val="2"/>
    <w:next w:val="2"/>
    <w:link w:val="18"/>
    <w:semiHidden/>
    <w:unhideWhenUsed/>
    <w:qFormat/>
    <w:uiPriority w:val="99"/>
    <w:rPr>
      <w:b/>
      <w:bCs/>
    </w:rPr>
  </w:style>
  <w:style w:type="character" w:styleId="10">
    <w:name w:val="annotation reference"/>
    <w:basedOn w:val="9"/>
    <w:semiHidden/>
    <w:unhideWhenUsed/>
    <w:qFormat/>
    <w:uiPriority w:val="99"/>
    <w:rPr>
      <w:sz w:val="21"/>
      <w:szCs w:val="21"/>
    </w:rPr>
  </w:style>
  <w:style w:type="paragraph" w:styleId="11">
    <w:name w:val="No Spacing"/>
    <w:qFormat/>
    <w:uiPriority w:val="1"/>
    <w:pPr>
      <w:widowControl w:val="0"/>
      <w:spacing w:line="540" w:lineRule="exact"/>
      <w:jc w:val="both"/>
    </w:pPr>
    <w:rPr>
      <w:rFonts w:asciiTheme="minorHAnsi" w:hAnsiTheme="minorHAnsi" w:eastAsiaTheme="minorEastAsia" w:cstheme="minorBidi"/>
      <w:kern w:val="2"/>
      <w:sz w:val="21"/>
      <w:szCs w:val="22"/>
      <w:lang w:val="en-US" w:eastAsia="zh-CN" w:bidi="ar-SA"/>
    </w:rPr>
  </w:style>
  <w:style w:type="paragraph" w:styleId="12">
    <w:name w:val="List Paragraph"/>
    <w:basedOn w:val="1"/>
    <w:qFormat/>
    <w:uiPriority w:val="34"/>
    <w:pPr>
      <w:ind w:firstLine="420" w:firstLineChars="200"/>
    </w:pPr>
  </w:style>
  <w:style w:type="character" w:customStyle="1" w:styleId="13">
    <w:name w:val="页眉 Char"/>
    <w:basedOn w:val="9"/>
    <w:link w:val="5"/>
    <w:semiHidden/>
    <w:qFormat/>
    <w:uiPriority w:val="99"/>
    <w:rPr>
      <w:sz w:val="18"/>
      <w:szCs w:val="18"/>
    </w:rPr>
  </w:style>
  <w:style w:type="character" w:customStyle="1" w:styleId="14">
    <w:name w:val="页脚 Char"/>
    <w:basedOn w:val="9"/>
    <w:link w:val="4"/>
    <w:qFormat/>
    <w:uiPriority w:val="99"/>
    <w:rPr>
      <w:sz w:val="18"/>
      <w:szCs w:val="18"/>
    </w:rPr>
  </w:style>
  <w:style w:type="paragraph" w:customStyle="1" w:styleId="15">
    <w:name w:val="p0"/>
    <w:basedOn w:val="1"/>
    <w:qFormat/>
    <w:uiPriority w:val="0"/>
    <w:pPr>
      <w:spacing w:before="100" w:beforeAutospacing="1" w:after="100" w:afterAutospacing="1" w:line="240" w:lineRule="auto"/>
    </w:pPr>
    <w:rPr>
      <w:rFonts w:ascii="宋体" w:hAnsi="宋体" w:eastAsia="宋体" w:cs="宋体"/>
      <w:color w:val="000000"/>
      <w:kern w:val="0"/>
      <w:sz w:val="18"/>
      <w:szCs w:val="18"/>
    </w:rPr>
  </w:style>
  <w:style w:type="character" w:customStyle="1" w:styleId="16">
    <w:name w:val="批注框文本 Char"/>
    <w:basedOn w:val="9"/>
    <w:link w:val="3"/>
    <w:semiHidden/>
    <w:qFormat/>
    <w:uiPriority w:val="99"/>
    <w:rPr>
      <w:rFonts w:asciiTheme="minorHAnsi" w:hAnsiTheme="minorHAnsi" w:eastAsiaTheme="minorEastAsia" w:cstheme="minorBidi"/>
      <w:kern w:val="2"/>
      <w:sz w:val="18"/>
      <w:szCs w:val="18"/>
    </w:rPr>
  </w:style>
  <w:style w:type="character" w:customStyle="1" w:styleId="17">
    <w:name w:val="批注文字 Char"/>
    <w:basedOn w:val="9"/>
    <w:link w:val="2"/>
    <w:semiHidden/>
    <w:qFormat/>
    <w:uiPriority w:val="99"/>
    <w:rPr>
      <w:rFonts w:asciiTheme="minorHAnsi" w:hAnsiTheme="minorHAnsi" w:eastAsiaTheme="minorEastAsia" w:cstheme="minorBidi"/>
      <w:kern w:val="2"/>
      <w:sz w:val="21"/>
      <w:szCs w:val="22"/>
    </w:rPr>
  </w:style>
  <w:style w:type="character" w:customStyle="1" w:styleId="18">
    <w:name w:val="批注主题 Char"/>
    <w:basedOn w:val="17"/>
    <w:link w:val="7"/>
    <w:semiHidden/>
    <w:qFormat/>
    <w:uiPriority w:val="99"/>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1ED2B73-9176-425A-A518-2E877172486B}">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4408</Words>
  <Characters>4774</Characters>
  <Lines>36</Lines>
  <Paragraphs>10</Paragraphs>
  <TotalTime>445</TotalTime>
  <ScaleCrop>false</ScaleCrop>
  <LinksUpToDate>false</LinksUpToDate>
  <CharactersWithSpaces>4986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2019-06-06T07:34:00Z</dcterms:created>
  <dc:creator>Administrator</dc:creator>
  <cp:lastModifiedBy>@wang</cp:lastModifiedBy>
  <cp:lastPrinted>2022-11-15T02:10:00Z</cp:lastPrinted>
  <dcterms:modified xsi:type="dcterms:W3CDTF">2023-06-25T02:08:10Z</dcterms:modified>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D119F425EF944CD098E046AB16B106AD_13</vt:lpwstr>
  </property>
</Properties>
</file>