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964" w:firstLineChars="200"/>
        <w:jc w:val="left"/>
        <w:textAlignment w:val="auto"/>
        <w:rPr>
          <w:rFonts w:hint="eastAsia" w:ascii="黑体" w:hAnsi="黑体" w:eastAsia="黑体"/>
          <w:b/>
          <w:sz w:val="48"/>
          <w:szCs w:val="48"/>
        </w:rPr>
      </w:pPr>
    </w:p>
    <w:p>
      <w:pPr>
        <w:keepNext w:val="0"/>
        <w:keepLines w:val="0"/>
        <w:pageBreakBefore w:val="0"/>
        <w:widowControl w:val="0"/>
        <w:kinsoku/>
        <w:wordWrap/>
        <w:overflowPunct/>
        <w:topLinePunct w:val="0"/>
        <w:autoSpaceDE/>
        <w:autoSpaceDN/>
        <w:bidi w:val="0"/>
        <w:adjustRightInd/>
        <w:snapToGrid/>
        <w:ind w:firstLine="964" w:firstLineChars="200"/>
        <w:jc w:val="center"/>
        <w:textAlignment w:val="auto"/>
        <w:rPr>
          <w:sz w:val="48"/>
          <w:szCs w:val="48"/>
        </w:rPr>
      </w:pPr>
      <w:r>
        <w:rPr>
          <w:rFonts w:hint="eastAsia" w:ascii="黑体" w:hAnsi="黑体" w:eastAsia="黑体"/>
          <w:b/>
          <w:sz w:val="48"/>
          <w:szCs w:val="48"/>
        </w:rPr>
        <w:t>202</w:t>
      </w:r>
      <w:r>
        <w:rPr>
          <w:rFonts w:hint="eastAsia" w:ascii="黑体" w:hAnsi="黑体" w:eastAsia="黑体"/>
          <w:b/>
          <w:sz w:val="48"/>
          <w:szCs w:val="48"/>
          <w:lang w:val="en-US" w:eastAsia="zh-CN"/>
        </w:rPr>
        <w:t>1</w:t>
      </w:r>
      <w:r>
        <w:rPr>
          <w:rFonts w:hint="eastAsia" w:ascii="黑体" w:hAnsi="黑体" w:eastAsia="黑体"/>
          <w:b/>
          <w:sz w:val="48"/>
          <w:szCs w:val="48"/>
        </w:rPr>
        <w:t>年度南县</w:t>
      </w:r>
      <w:r>
        <w:rPr>
          <w:rFonts w:hint="eastAsia" w:ascii="黑体" w:hAnsi="黑体" w:eastAsia="黑体"/>
          <w:b/>
          <w:sz w:val="48"/>
          <w:szCs w:val="48"/>
          <w:lang w:eastAsia="zh-CN"/>
        </w:rPr>
        <w:t>政府</w:t>
      </w:r>
      <w:r>
        <w:rPr>
          <w:rFonts w:hint="eastAsia" w:ascii="黑体" w:hAnsi="黑体" w:eastAsia="黑体"/>
          <w:b/>
          <w:sz w:val="48"/>
          <w:szCs w:val="48"/>
        </w:rPr>
        <w:t>决算相关说明</w:t>
      </w:r>
    </w:p>
    <w:p>
      <w:pPr>
        <w:ind w:firstLine="883" w:firstLineChars="200"/>
        <w:rPr>
          <w:b/>
          <w:sz w:val="44"/>
          <w:szCs w:val="44"/>
        </w:rPr>
      </w:pPr>
    </w:p>
    <w:p>
      <w:pPr>
        <w:ind w:firstLine="883" w:firstLineChars="200"/>
        <w:rPr>
          <w:b/>
          <w:sz w:val="44"/>
          <w:szCs w:val="44"/>
        </w:rPr>
      </w:pPr>
    </w:p>
    <w:p>
      <w:pPr>
        <w:ind w:firstLine="883" w:firstLineChars="200"/>
        <w:jc w:val="center"/>
        <w:rPr>
          <w:rFonts w:ascii="黑体" w:hAnsi="黑体" w:eastAsia="黑体" w:cs="黑体"/>
          <w:b/>
          <w:sz w:val="44"/>
          <w:szCs w:val="44"/>
        </w:rPr>
      </w:pPr>
      <w:r>
        <w:rPr>
          <w:rFonts w:hint="eastAsia" w:ascii="宋体" w:hAnsi="宋体" w:eastAsia="宋体" w:cs="宋体"/>
          <w:b/>
          <w:sz w:val="44"/>
          <w:szCs w:val="44"/>
        </w:rPr>
        <w:t>目    录</w:t>
      </w:r>
    </w:p>
    <w:p>
      <w:pPr>
        <w:ind w:firstLine="883" w:firstLineChars="200"/>
        <w:rPr>
          <w:b/>
          <w:sz w:val="44"/>
          <w:szCs w:val="44"/>
        </w:rPr>
      </w:pPr>
    </w:p>
    <w:p>
      <w:pPr>
        <w:bidi w:val="0"/>
        <w:rPr>
          <w:rFonts w:hint="eastAsia" w:ascii="黑体" w:hAnsi="黑体" w:eastAsia="黑体" w:cs="黑体"/>
          <w:b/>
          <w:bCs/>
        </w:rPr>
      </w:pPr>
    </w:p>
    <w:p>
      <w:pPr>
        <w:bidi w:val="0"/>
        <w:rPr>
          <w:rFonts w:hint="eastAsia" w:ascii="黑体" w:hAnsi="黑体" w:eastAsia="黑体" w:cs="黑体"/>
          <w:b/>
          <w:bCs/>
          <w:lang w:val="en-US" w:eastAsia="zh-CN"/>
        </w:rPr>
      </w:pPr>
      <w:r>
        <w:rPr>
          <w:rFonts w:hint="eastAsia" w:ascii="黑体" w:hAnsi="黑体" w:eastAsia="黑体" w:cs="黑体"/>
          <w:b/>
          <w:bCs/>
          <w:lang w:val="en-US" w:eastAsia="zh-CN"/>
        </w:rPr>
        <w:t>一、关于2021年南县转移支付情况说明</w:t>
      </w:r>
    </w:p>
    <w:p>
      <w:pPr>
        <w:bidi w:val="0"/>
        <w:rPr>
          <w:rFonts w:hint="eastAsia" w:ascii="黑体" w:hAnsi="黑体" w:eastAsia="黑体" w:cs="黑体"/>
          <w:b/>
          <w:bCs/>
          <w:lang w:eastAsia="zh-CN"/>
        </w:rPr>
      </w:pPr>
    </w:p>
    <w:p>
      <w:pPr>
        <w:bidi w:val="0"/>
        <w:rPr>
          <w:rFonts w:hint="eastAsia" w:ascii="黑体" w:hAnsi="黑体" w:eastAsia="黑体" w:cs="黑体"/>
          <w:b/>
          <w:bCs/>
        </w:rPr>
      </w:pPr>
      <w:r>
        <w:rPr>
          <w:rFonts w:hint="eastAsia" w:ascii="黑体" w:hAnsi="黑体" w:eastAsia="黑体" w:cs="黑体"/>
          <w:b/>
          <w:bCs/>
          <w:lang w:eastAsia="zh-CN"/>
        </w:rPr>
        <w:t>二、</w:t>
      </w:r>
      <w:r>
        <w:rPr>
          <w:rFonts w:hint="eastAsia" w:ascii="黑体" w:hAnsi="黑体" w:eastAsia="黑体" w:cs="黑体"/>
          <w:b/>
          <w:bCs/>
        </w:rPr>
        <w:t>关于202</w:t>
      </w:r>
      <w:r>
        <w:rPr>
          <w:rFonts w:hint="eastAsia" w:ascii="黑体" w:hAnsi="黑体" w:eastAsia="黑体" w:cs="黑体"/>
          <w:b/>
          <w:bCs/>
          <w:lang w:val="en-US" w:eastAsia="zh-CN"/>
        </w:rPr>
        <w:t>1</w:t>
      </w:r>
      <w:r>
        <w:rPr>
          <w:rFonts w:hint="eastAsia" w:ascii="黑体" w:hAnsi="黑体" w:eastAsia="黑体" w:cs="黑体"/>
          <w:b/>
          <w:bCs/>
        </w:rPr>
        <w:t>年南县“三公”经费支出情况说明</w:t>
      </w:r>
    </w:p>
    <w:p>
      <w:pPr>
        <w:bidi w:val="0"/>
        <w:rPr>
          <w:rFonts w:hint="eastAsia" w:ascii="黑体" w:hAnsi="黑体" w:eastAsia="黑体" w:cs="黑体"/>
          <w:b/>
          <w:bCs/>
        </w:rPr>
      </w:pPr>
    </w:p>
    <w:p>
      <w:pPr>
        <w:bidi w:val="0"/>
        <w:rPr>
          <w:rFonts w:hint="eastAsia" w:ascii="黑体" w:hAnsi="黑体" w:eastAsia="黑体" w:cs="黑体"/>
          <w:b/>
          <w:bCs/>
        </w:rPr>
      </w:pPr>
      <w:r>
        <w:rPr>
          <w:rFonts w:hint="eastAsia" w:ascii="黑体" w:hAnsi="黑体" w:eastAsia="黑体" w:cs="黑体"/>
          <w:b/>
          <w:bCs/>
          <w:lang w:eastAsia="zh-CN"/>
        </w:rPr>
        <w:t>三、</w:t>
      </w:r>
      <w:r>
        <w:rPr>
          <w:rFonts w:hint="eastAsia" w:ascii="黑体" w:hAnsi="黑体" w:eastAsia="黑体" w:cs="黑体"/>
          <w:b/>
          <w:bCs/>
        </w:rPr>
        <w:t>关于202</w:t>
      </w:r>
      <w:r>
        <w:rPr>
          <w:rFonts w:hint="eastAsia" w:ascii="黑体" w:hAnsi="黑体" w:eastAsia="黑体" w:cs="黑体"/>
          <w:b/>
          <w:bCs/>
          <w:lang w:val="en-US" w:eastAsia="zh-CN"/>
        </w:rPr>
        <w:t>1</w:t>
      </w:r>
      <w:r>
        <w:rPr>
          <w:rFonts w:hint="eastAsia" w:ascii="黑体" w:hAnsi="黑体" w:eastAsia="黑体" w:cs="黑体"/>
          <w:b/>
          <w:bCs/>
        </w:rPr>
        <w:t>年南县政府债务情况说明</w:t>
      </w:r>
    </w:p>
    <w:p>
      <w:pPr>
        <w:bidi w:val="0"/>
        <w:rPr>
          <w:rFonts w:hint="eastAsia" w:ascii="黑体" w:hAnsi="黑体" w:eastAsia="黑体" w:cs="黑体"/>
          <w:b/>
          <w:bCs/>
        </w:rPr>
      </w:pPr>
    </w:p>
    <w:p>
      <w:pPr>
        <w:bidi w:val="0"/>
        <w:rPr>
          <w:rFonts w:hint="eastAsia" w:ascii="黑体" w:hAnsi="黑体" w:eastAsia="黑体" w:cs="黑体"/>
          <w:b/>
          <w:bCs/>
        </w:rPr>
      </w:pPr>
      <w:r>
        <w:rPr>
          <w:rFonts w:hint="eastAsia" w:ascii="黑体" w:hAnsi="黑体" w:eastAsia="黑体" w:cs="黑体"/>
          <w:b/>
          <w:bCs/>
        </w:rPr>
        <w:t>四、关于202</w:t>
      </w:r>
      <w:r>
        <w:rPr>
          <w:rFonts w:hint="eastAsia" w:ascii="黑体" w:hAnsi="黑体" w:eastAsia="黑体" w:cs="黑体"/>
          <w:b/>
          <w:bCs/>
          <w:lang w:val="en-US" w:eastAsia="zh-CN"/>
        </w:rPr>
        <w:t>1</w:t>
      </w:r>
      <w:r>
        <w:rPr>
          <w:rFonts w:hint="eastAsia" w:ascii="黑体" w:hAnsi="黑体" w:eastAsia="黑体" w:cs="黑体"/>
          <w:b/>
          <w:bCs/>
        </w:rPr>
        <w:t>年南县预算绩效管理工作情况说明</w:t>
      </w:r>
    </w:p>
    <w:p>
      <w:pPr>
        <w:rPr>
          <w:rFonts w:ascii="宋体" w:hAnsi="宋体" w:eastAsia="宋体" w:cs="宋体"/>
          <w:bCs/>
          <w:sz w:val="32"/>
          <w:szCs w:val="32"/>
        </w:rPr>
      </w:pPr>
    </w:p>
    <w:p>
      <w:pPr>
        <w:rPr>
          <w:rFonts w:ascii="宋体" w:hAnsi="宋体" w:eastAsia="宋体" w:cs="宋体"/>
          <w:bCs/>
          <w:sz w:val="32"/>
          <w:szCs w:val="32"/>
        </w:rPr>
      </w:pPr>
    </w:p>
    <w:p>
      <w:pPr>
        <w:rPr>
          <w:rFonts w:ascii="宋体" w:hAnsi="宋体" w:eastAsia="宋体" w:cs="宋体"/>
          <w:bCs/>
          <w:sz w:val="32"/>
          <w:szCs w:val="32"/>
        </w:rPr>
      </w:pPr>
    </w:p>
    <w:p>
      <w:pPr>
        <w:rPr>
          <w:rFonts w:ascii="宋体" w:hAnsi="宋体" w:eastAsia="宋体" w:cs="宋体"/>
          <w:bCs/>
          <w:sz w:val="32"/>
          <w:szCs w:val="32"/>
        </w:rPr>
      </w:pPr>
    </w:p>
    <w:p>
      <w:pPr>
        <w:rPr>
          <w:rFonts w:ascii="宋体" w:hAnsi="宋体" w:eastAsia="宋体" w:cs="宋体"/>
          <w:bCs/>
          <w:sz w:val="32"/>
          <w:szCs w:val="32"/>
        </w:rPr>
      </w:pPr>
    </w:p>
    <w:p>
      <w:pPr>
        <w:rPr>
          <w:rFonts w:ascii="宋体" w:hAnsi="宋体" w:eastAsia="宋体" w:cs="宋体"/>
          <w:bCs/>
          <w:sz w:val="32"/>
          <w:szCs w:val="32"/>
        </w:rPr>
      </w:pPr>
    </w:p>
    <w:p>
      <w:pPr>
        <w:rPr>
          <w:rFonts w:ascii="宋体" w:hAnsi="宋体" w:eastAsia="宋体" w:cs="宋体"/>
          <w:bCs/>
          <w:sz w:val="32"/>
          <w:szCs w:val="32"/>
        </w:rPr>
      </w:pPr>
    </w:p>
    <w:p/>
    <w:p>
      <w:pPr>
        <w:pStyle w:val="3"/>
        <w:ind w:left="0" w:leftChars="0" w:firstLine="0" w:firstLineChars="0"/>
      </w:pPr>
    </w:p>
    <w:p>
      <w:pPr>
        <w:pStyle w:val="4"/>
      </w:pPr>
    </w:p>
    <w:p>
      <w:r>
        <w:rPr>
          <w:sz w:val="21"/>
        </w:rPr>
        <w:pict>
          <v:shape id="_x0000_s2050" o:spid="_x0000_s2050" o:spt="202" type="#_x0000_t202" style="position:absolute;left:0pt;margin-left:-92.95pt;margin-top:14.05pt;height:124.4pt;width:596.95pt;z-index:251659264;mso-width-relative:page;mso-height-relative:page;" fillcolor="#9DC3E6" filled="t" stroked="t" coordsize="21600,21600">
            <v:path/>
            <v:fill type="gradientRadial" on="t" color2="fill lighten(147)" focus="100%" focussize="0f,0f" focusposition="0f,0f" method="linear sigma">
              <o:fill type="gradientCenter" v:ext="backwardCompatible"/>
            </v:fill>
            <v:stroke color="#FFC000"/>
            <v:imagedata o:title=""/>
            <o:lock v:ext="edit" aspectratio="f"/>
            <v:textbox>
              <w:txbxContent>
                <w:p>
                  <w:pPr>
                    <w:rPr>
                      <w:rFonts w:hint="eastAsia" w:ascii="黑体" w:hAnsi="黑体" w:eastAsia="黑体" w:cs="黑体"/>
                      <w:b/>
                      <w:sz w:val="36"/>
                      <w:szCs w:val="36"/>
                    </w:rPr>
                  </w:pPr>
                </w:p>
                <w:p>
                  <w:pPr>
                    <w:numPr>
                      <w:ilvl w:val="0"/>
                      <w:numId w:val="0"/>
                    </w:numPr>
                    <w:ind w:firstLine="1325" w:firstLineChars="300"/>
                    <w:rPr>
                      <w:rFonts w:hint="eastAsia" w:ascii="黑体" w:hAnsi="黑体" w:eastAsia="黑体" w:cs="黑体"/>
                      <w:b/>
                      <w:bCs w:val="0"/>
                      <w:sz w:val="44"/>
                      <w:szCs w:val="44"/>
                      <w:lang w:val="en-US" w:eastAsia="zh-CN"/>
                    </w:rPr>
                  </w:pPr>
                  <w:r>
                    <w:rPr>
                      <w:rFonts w:hint="eastAsia" w:ascii="黑体" w:hAnsi="黑体" w:eastAsia="黑体" w:cs="黑体"/>
                      <w:b/>
                      <w:bCs w:val="0"/>
                      <w:sz w:val="44"/>
                      <w:szCs w:val="44"/>
                      <w:lang w:val="en-US" w:eastAsia="zh-CN"/>
                    </w:rPr>
                    <w:t>一、关于2021年南县转移支付情况说明</w:t>
                  </w:r>
                </w:p>
                <w:p>
                  <w:pPr>
                    <w:keepNext w:val="0"/>
                    <w:keepLines w:val="0"/>
                    <w:pageBreakBefore w:val="0"/>
                    <w:widowControl w:val="0"/>
                    <w:kinsoku/>
                    <w:wordWrap/>
                    <w:overflowPunct/>
                    <w:topLinePunct w:val="0"/>
                    <w:autoSpaceDE/>
                    <w:autoSpaceDN/>
                    <w:bidi w:val="0"/>
                    <w:adjustRightInd/>
                    <w:snapToGrid/>
                    <w:ind w:firstLine="1325" w:firstLineChars="300"/>
                    <w:jc w:val="left"/>
                    <w:textAlignment w:val="auto"/>
                    <w:rPr>
                      <w:rFonts w:hint="eastAsia" w:ascii="黑体" w:hAnsi="黑体" w:eastAsia="黑体" w:cs="黑体"/>
                      <w:b/>
                      <w:bCs w:val="0"/>
                      <w:sz w:val="44"/>
                      <w:szCs w:val="44"/>
                    </w:rPr>
                  </w:pPr>
                </w:p>
              </w:txbxContent>
            </v:textbox>
          </v:shape>
        </w:pict>
      </w:r>
    </w:p>
    <w:p/>
    <w:p/>
    <w:p/>
    <w:p>
      <w:pPr>
        <w:pStyle w:val="3"/>
        <w:ind w:left="0" w:leftChars="0" w:firstLine="0" w:firstLineChars="0"/>
        <w:rPr>
          <w:rFonts w:hint="eastAsia" w:eastAsia="仿宋"/>
          <w:lang w:val="en-US" w:eastAsia="zh-CN"/>
        </w:rPr>
      </w:pPr>
    </w:p>
    <w:p>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2021年，我县共收到上级下拨的转移支付337054万元，其中：一般公共预算转移支付331745万元，政府性基金预算转移支付5309万元。</w:t>
      </w:r>
    </w:p>
    <w:p>
      <w:pPr>
        <w:ind w:firstLine="640" w:firstLineChars="200"/>
        <w:rPr>
          <w:rFonts w:hint="eastAsia" w:ascii="仿宋" w:hAnsi="仿宋" w:eastAsia="仿宋" w:cs="仿宋"/>
          <w:color w:val="000000" w:themeColor="text1"/>
          <w:kern w:val="2"/>
          <w:sz w:val="32"/>
          <w:szCs w:val="32"/>
          <w:highlight w:val="none"/>
          <w:lang w:val="en-US" w:eastAsia="zh-CN" w:bidi="ar-SA"/>
        </w:rPr>
      </w:pPr>
      <w:r>
        <w:rPr>
          <w:rFonts w:hint="eastAsia" w:ascii="仿宋" w:hAnsi="仿宋" w:eastAsia="仿宋" w:cs="仿宋"/>
          <w:kern w:val="2"/>
          <w:sz w:val="32"/>
          <w:szCs w:val="32"/>
          <w:lang w:val="en-US" w:eastAsia="zh-CN" w:bidi="ar-SA"/>
        </w:rPr>
        <w:t>与上年相比减少46855万元，下降12.2%，</w:t>
      </w:r>
      <w:r>
        <w:rPr>
          <w:rFonts w:hint="eastAsia" w:ascii="仿宋" w:hAnsi="仿宋" w:eastAsia="仿宋" w:cs="仿宋"/>
          <w:color w:val="000000" w:themeColor="text1"/>
          <w:kern w:val="2"/>
          <w:sz w:val="32"/>
          <w:szCs w:val="32"/>
          <w:highlight w:val="none"/>
          <w:lang w:val="en-US" w:eastAsia="zh-CN" w:bidi="ar-SA"/>
        </w:rPr>
        <w:t>主要是因为</w:t>
      </w:r>
      <w:r>
        <w:rPr>
          <w:rFonts w:hint="eastAsia" w:cs="仿宋"/>
          <w:color w:val="000000" w:themeColor="text1"/>
          <w:kern w:val="2"/>
          <w:sz w:val="32"/>
          <w:szCs w:val="32"/>
          <w:highlight w:val="none"/>
          <w:lang w:val="en-US" w:eastAsia="zh-CN" w:bidi="ar-SA"/>
        </w:rPr>
        <w:t>：一是特殊转移支付收入减少24410万；二是</w:t>
      </w:r>
      <w:r>
        <w:rPr>
          <w:rFonts w:hint="eastAsia" w:ascii="仿宋" w:hAnsi="仿宋" w:eastAsia="仿宋" w:cs="仿宋"/>
          <w:color w:val="000000" w:themeColor="text1"/>
          <w:kern w:val="2"/>
          <w:sz w:val="32"/>
          <w:szCs w:val="32"/>
          <w:highlight w:val="none"/>
          <w:lang w:val="en-US" w:eastAsia="zh-CN" w:bidi="ar-SA"/>
        </w:rPr>
        <w:t>政府性基金预算转移支付中</w:t>
      </w:r>
      <w:r>
        <w:rPr>
          <w:rFonts w:hint="eastAsia" w:cs="仿宋"/>
          <w:color w:val="000000" w:themeColor="text1"/>
          <w:kern w:val="2"/>
          <w:sz w:val="32"/>
          <w:szCs w:val="32"/>
          <w:highlight w:val="none"/>
          <w:lang w:val="en-US" w:eastAsia="zh-CN" w:bidi="ar-SA"/>
        </w:rPr>
        <w:t>减少</w:t>
      </w:r>
      <w:r>
        <w:rPr>
          <w:rFonts w:hint="eastAsia" w:ascii="仿宋" w:hAnsi="仿宋" w:eastAsia="仿宋" w:cs="仿宋"/>
          <w:color w:val="000000" w:themeColor="text1"/>
          <w:kern w:val="2"/>
          <w:sz w:val="32"/>
          <w:szCs w:val="32"/>
          <w:highlight w:val="none"/>
          <w:lang w:val="en-US" w:eastAsia="zh-CN" w:bidi="ar-SA"/>
        </w:rPr>
        <w:t>了抗疫特别国债的转移支付收入</w:t>
      </w:r>
      <w:r>
        <w:rPr>
          <w:rFonts w:hint="eastAsia" w:cs="仿宋"/>
          <w:color w:val="000000" w:themeColor="text1"/>
          <w:kern w:val="2"/>
          <w:sz w:val="32"/>
          <w:szCs w:val="32"/>
          <w:highlight w:val="none"/>
          <w:lang w:val="en-US" w:eastAsia="zh-CN" w:bidi="ar-SA"/>
        </w:rPr>
        <w:t>10700</w:t>
      </w:r>
      <w:r>
        <w:rPr>
          <w:rFonts w:hint="eastAsia" w:ascii="仿宋" w:hAnsi="仿宋" w:eastAsia="仿宋" w:cs="仿宋"/>
          <w:color w:val="000000" w:themeColor="text1"/>
          <w:kern w:val="2"/>
          <w:sz w:val="32"/>
          <w:szCs w:val="32"/>
          <w:highlight w:val="none"/>
          <w:lang w:val="en-US" w:eastAsia="zh-CN" w:bidi="ar-SA"/>
        </w:rPr>
        <w:t>万元而导致。</w:t>
      </w:r>
    </w:p>
    <w:p>
      <w:pPr>
        <w:pStyle w:val="4"/>
        <w:rPr>
          <w:rFonts w:hint="default"/>
          <w:lang w:val="en-US" w:eastAsia="zh-CN"/>
        </w:rPr>
      </w:pPr>
    </w:p>
    <w:p>
      <w:pP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一般公共预算转移支付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年，上级下达我县一般公共预算转移支付</w:t>
      </w:r>
      <w:r>
        <w:rPr>
          <w:rFonts w:hint="eastAsia" w:ascii="仿宋" w:hAnsi="仿宋" w:eastAsia="仿宋" w:cs="仿宋"/>
          <w:sz w:val="32"/>
          <w:szCs w:val="32"/>
          <w:lang w:val="en-US" w:eastAsia="zh-CN"/>
        </w:rPr>
        <w:t>331745</w:t>
      </w:r>
      <w:r>
        <w:rPr>
          <w:rFonts w:hint="eastAsia" w:ascii="仿宋" w:hAnsi="仿宋" w:eastAsia="仿宋" w:cs="仿宋"/>
          <w:sz w:val="32"/>
          <w:szCs w:val="32"/>
        </w:rPr>
        <w:t>万元，比上年减少</w:t>
      </w:r>
      <w:r>
        <w:rPr>
          <w:rFonts w:hint="eastAsia" w:ascii="仿宋" w:hAnsi="仿宋" w:eastAsia="仿宋" w:cs="仿宋"/>
          <w:sz w:val="32"/>
          <w:szCs w:val="32"/>
          <w:lang w:val="en-US" w:eastAsia="zh-CN"/>
        </w:rPr>
        <w:t>41042</w:t>
      </w:r>
      <w:r>
        <w:rPr>
          <w:rFonts w:hint="eastAsia" w:ascii="仿宋" w:hAnsi="仿宋" w:eastAsia="仿宋" w:cs="仿宋"/>
          <w:sz w:val="32"/>
          <w:szCs w:val="32"/>
        </w:rPr>
        <w:t>万元，下降</w:t>
      </w:r>
      <w:r>
        <w:rPr>
          <w:rFonts w:hint="eastAsia" w:ascii="仿宋" w:hAnsi="仿宋" w:eastAsia="仿宋" w:cs="仿宋"/>
          <w:sz w:val="32"/>
          <w:szCs w:val="32"/>
          <w:lang w:val="en-US" w:eastAsia="zh-CN"/>
        </w:rPr>
        <w:t>11.01</w:t>
      </w:r>
      <w:r>
        <w:rPr>
          <w:rFonts w:hint="eastAsia" w:ascii="仿宋" w:hAnsi="仿宋" w:eastAsia="仿宋" w:cs="仿宋"/>
          <w:sz w:val="32"/>
          <w:szCs w:val="32"/>
        </w:rPr>
        <w:t>%，其中：一般性转移支付</w:t>
      </w:r>
      <w:r>
        <w:rPr>
          <w:rFonts w:hint="eastAsia" w:ascii="仿宋" w:hAnsi="仿宋" w:eastAsia="仿宋" w:cs="仿宋"/>
          <w:sz w:val="32"/>
          <w:szCs w:val="32"/>
          <w:lang w:val="en-US" w:eastAsia="zh-CN"/>
        </w:rPr>
        <w:t>264420</w:t>
      </w:r>
      <w:r>
        <w:rPr>
          <w:rFonts w:hint="eastAsia" w:ascii="仿宋" w:hAnsi="仿宋" w:eastAsia="仿宋" w:cs="仿宋"/>
          <w:sz w:val="32"/>
          <w:szCs w:val="32"/>
        </w:rPr>
        <w:t>万元</w:t>
      </w:r>
      <w:r>
        <w:rPr>
          <w:rFonts w:hint="eastAsia" w:ascii="仿宋" w:hAnsi="仿宋" w:eastAsia="仿宋" w:cs="仿宋"/>
          <w:sz w:val="32"/>
          <w:szCs w:val="32"/>
          <w:lang w:eastAsia="zh-CN"/>
        </w:rPr>
        <w:t>，占</w:t>
      </w:r>
      <w:r>
        <w:rPr>
          <w:rFonts w:hint="eastAsia" w:ascii="仿宋" w:hAnsi="仿宋" w:eastAsia="仿宋" w:cs="仿宋"/>
          <w:sz w:val="32"/>
          <w:szCs w:val="32"/>
          <w:lang w:val="en-US" w:eastAsia="zh-CN"/>
        </w:rPr>
        <w:t>79.71%</w:t>
      </w:r>
      <w:r>
        <w:rPr>
          <w:rFonts w:hint="eastAsia" w:ascii="仿宋" w:hAnsi="仿宋" w:eastAsia="仿宋" w:cs="仿宋"/>
          <w:sz w:val="32"/>
          <w:szCs w:val="32"/>
          <w:lang w:eastAsia="zh-CN"/>
        </w:rPr>
        <w:t>；</w:t>
      </w:r>
      <w:r>
        <w:rPr>
          <w:rFonts w:hint="eastAsia" w:ascii="仿宋" w:hAnsi="仿宋" w:eastAsia="仿宋" w:cs="仿宋"/>
          <w:sz w:val="32"/>
          <w:szCs w:val="32"/>
        </w:rPr>
        <w:t>专项转移支付</w:t>
      </w:r>
      <w:r>
        <w:rPr>
          <w:rFonts w:hint="eastAsia" w:ascii="仿宋" w:hAnsi="仿宋" w:eastAsia="仿宋" w:cs="仿宋"/>
          <w:sz w:val="32"/>
          <w:szCs w:val="32"/>
          <w:lang w:val="en-US" w:eastAsia="zh-CN"/>
        </w:rPr>
        <w:t>67325</w:t>
      </w:r>
      <w:r>
        <w:rPr>
          <w:rFonts w:hint="eastAsia" w:ascii="仿宋" w:hAnsi="仿宋" w:eastAsia="仿宋" w:cs="仿宋"/>
          <w:sz w:val="32"/>
          <w:szCs w:val="32"/>
        </w:rPr>
        <w:t>万元</w:t>
      </w:r>
      <w:r>
        <w:rPr>
          <w:rFonts w:hint="eastAsia" w:ascii="仿宋" w:hAnsi="仿宋" w:eastAsia="仿宋" w:cs="仿宋"/>
          <w:sz w:val="32"/>
          <w:szCs w:val="32"/>
          <w:lang w:eastAsia="zh-CN"/>
        </w:rPr>
        <w:t>，占</w:t>
      </w:r>
      <w:r>
        <w:rPr>
          <w:rFonts w:hint="eastAsia" w:ascii="仿宋" w:hAnsi="仿宋" w:eastAsia="仿宋" w:cs="仿宋"/>
          <w:sz w:val="32"/>
          <w:szCs w:val="32"/>
          <w:lang w:val="en-US" w:eastAsia="zh-CN"/>
        </w:rPr>
        <w:t>20.29%</w:t>
      </w:r>
      <w:r>
        <w:rPr>
          <w:rFonts w:hint="eastAsia" w:ascii="仿宋" w:hAnsi="仿宋" w:eastAsia="仿宋" w:cs="仿宋"/>
          <w:sz w:val="32"/>
          <w:szCs w:val="32"/>
        </w:rPr>
        <w:t>。</w:t>
      </w:r>
    </w:p>
    <w:p>
      <w:pPr>
        <w:pStyle w:val="4"/>
        <w:rPr>
          <w:rFonts w:hint="eastAsia"/>
        </w:rPr>
      </w:pPr>
      <w:r>
        <w:rPr>
          <w:rFonts w:hint="eastAsia" w:ascii="仿宋" w:hAnsi="仿宋" w:eastAsia="仿宋" w:cs="仿宋"/>
          <w:sz w:val="32"/>
          <w:szCs w:val="32"/>
          <w:lang w:eastAsia="zh-CN"/>
        </w:rPr>
        <w:drawing>
          <wp:anchor distT="0" distB="0" distL="114300" distR="114300" simplePos="0" relativeHeight="251664384" behindDoc="0" locked="0" layoutInCell="1" allowOverlap="1">
            <wp:simplePos x="0" y="0"/>
            <wp:positionH relativeFrom="column">
              <wp:posOffset>-313055</wp:posOffset>
            </wp:positionH>
            <wp:positionV relativeFrom="page">
              <wp:posOffset>1210945</wp:posOffset>
            </wp:positionV>
            <wp:extent cx="5956935" cy="3884295"/>
            <wp:effectExtent l="4445" t="4445" r="20320" b="1651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numPr>
          <w:ilvl w:val="0"/>
          <w:numId w:val="0"/>
        </w:numPr>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一般性转移支付情况</w:t>
      </w:r>
    </w:p>
    <w:p>
      <w:pPr>
        <w:numPr>
          <w:ilvl w:val="0"/>
          <w:numId w:val="0"/>
        </w:numPr>
        <w:ind w:firstLine="640" w:firstLineChars="200"/>
        <w:rPr>
          <w:rFonts w:hint="eastAsia"/>
          <w:lang w:val="en-US" w:eastAsia="zh-CN"/>
        </w:rPr>
      </w:pPr>
      <w:r>
        <w:rPr>
          <w:rFonts w:hint="eastAsia" w:ascii="仿宋" w:hAnsi="仿宋" w:eastAsia="仿宋" w:cs="仿宋"/>
          <w:b w:val="0"/>
          <w:bCs w:val="0"/>
          <w:sz w:val="32"/>
          <w:szCs w:val="32"/>
          <w:lang w:val="en-US" w:eastAsia="zh-CN"/>
        </w:rPr>
        <w:t>202</w:t>
      </w:r>
      <w:r>
        <w:rPr>
          <w:rFonts w:hint="eastAsia" w:cs="仿宋"/>
          <w:b w:val="0"/>
          <w:bCs w:val="0"/>
          <w:sz w:val="32"/>
          <w:szCs w:val="32"/>
          <w:lang w:val="en-US" w:eastAsia="zh-CN"/>
        </w:rPr>
        <w:t>1</w:t>
      </w:r>
      <w:r>
        <w:rPr>
          <w:rFonts w:hint="eastAsia" w:ascii="仿宋" w:hAnsi="仿宋" w:eastAsia="仿宋" w:cs="仿宋"/>
          <w:b w:val="0"/>
          <w:bCs w:val="0"/>
          <w:sz w:val="32"/>
          <w:szCs w:val="32"/>
          <w:lang w:val="en-US" w:eastAsia="zh-CN"/>
        </w:rPr>
        <w:t>年</w:t>
      </w:r>
      <w:r>
        <w:rPr>
          <w:rFonts w:hint="eastAsia" w:ascii="楷体" w:hAnsi="楷体" w:eastAsia="楷体" w:cs="楷体"/>
          <w:b w:val="0"/>
          <w:bCs w:val="0"/>
          <w:sz w:val="32"/>
          <w:szCs w:val="32"/>
        </w:rPr>
        <w:t>一般性转移支付</w:t>
      </w:r>
      <w:r>
        <w:rPr>
          <w:rFonts w:hint="eastAsia" w:ascii="仿宋" w:hAnsi="仿宋" w:eastAsia="仿宋" w:cs="仿宋"/>
          <w:sz w:val="32"/>
          <w:szCs w:val="32"/>
        </w:rPr>
        <w:t>2</w:t>
      </w:r>
      <w:r>
        <w:rPr>
          <w:rFonts w:hint="eastAsia" w:cs="仿宋"/>
          <w:sz w:val="32"/>
          <w:szCs w:val="32"/>
          <w:lang w:val="en-US" w:eastAsia="zh-CN"/>
        </w:rPr>
        <w:t>64420</w:t>
      </w:r>
      <w:r>
        <w:rPr>
          <w:rFonts w:hint="eastAsia" w:ascii="仿宋" w:hAnsi="仿宋" w:eastAsia="仿宋" w:cs="仿宋"/>
          <w:sz w:val="32"/>
          <w:szCs w:val="32"/>
        </w:rPr>
        <w:t>万元</w:t>
      </w:r>
      <w:r>
        <w:rPr>
          <w:rFonts w:hint="eastAsia" w:ascii="仿宋" w:hAnsi="仿宋" w:eastAsia="仿宋" w:cs="仿宋"/>
          <w:sz w:val="32"/>
          <w:szCs w:val="32"/>
          <w:lang w:eastAsia="zh-CN"/>
        </w:rPr>
        <w:t>，比上年</w:t>
      </w:r>
      <w:r>
        <w:rPr>
          <w:rFonts w:hint="eastAsia" w:cs="仿宋"/>
          <w:sz w:val="32"/>
          <w:szCs w:val="32"/>
          <w:lang w:eastAsia="zh-CN"/>
        </w:rPr>
        <w:t>减少</w:t>
      </w:r>
      <w:r>
        <w:rPr>
          <w:rFonts w:hint="eastAsia" w:cs="仿宋"/>
          <w:sz w:val="32"/>
          <w:szCs w:val="32"/>
          <w:lang w:val="en-US" w:eastAsia="zh-CN"/>
        </w:rPr>
        <w:t>30132</w:t>
      </w:r>
      <w:r>
        <w:rPr>
          <w:rFonts w:hint="eastAsia" w:ascii="仿宋" w:hAnsi="仿宋" w:eastAsia="仿宋" w:cs="仿宋"/>
          <w:sz w:val="32"/>
          <w:szCs w:val="32"/>
          <w:lang w:val="en-US" w:eastAsia="zh-CN"/>
        </w:rPr>
        <w:t>万元，</w:t>
      </w:r>
      <w:r>
        <w:rPr>
          <w:rFonts w:hint="eastAsia" w:cs="仿宋"/>
          <w:sz w:val="32"/>
          <w:szCs w:val="32"/>
          <w:lang w:val="en-US" w:eastAsia="zh-CN"/>
        </w:rPr>
        <w:t>下降7.64</w:t>
      </w:r>
      <w:r>
        <w:rPr>
          <w:rFonts w:hint="eastAsia" w:ascii="仿宋" w:hAnsi="仿宋" w:eastAsia="仿宋" w:cs="仿宋"/>
          <w:sz w:val="32"/>
          <w:szCs w:val="32"/>
          <w:lang w:val="en-US" w:eastAsia="zh-CN"/>
        </w:rPr>
        <w:t>%，主要是因为：</w:t>
      </w:r>
      <w:r>
        <w:rPr>
          <w:rFonts w:hint="eastAsia" w:ascii="仿宋" w:hAnsi="仿宋" w:eastAsia="仿宋" w:cs="仿宋"/>
          <w:color w:val="auto"/>
          <w:sz w:val="32"/>
          <w:szCs w:val="32"/>
          <w:lang w:val="en-US" w:eastAsia="zh-CN"/>
        </w:rPr>
        <w:t>一是县级基本财力保障机制奖补资金收入、结算补助收入</w:t>
      </w:r>
      <w:r>
        <w:rPr>
          <w:rFonts w:hint="eastAsia" w:cs="仿宋"/>
          <w:color w:val="auto"/>
          <w:sz w:val="32"/>
          <w:szCs w:val="32"/>
          <w:lang w:val="en-US" w:eastAsia="zh-CN"/>
        </w:rPr>
        <w:t>、</w:t>
      </w:r>
      <w:r>
        <w:rPr>
          <w:rFonts w:hint="eastAsia" w:ascii="仿宋" w:hAnsi="仿宋" w:eastAsia="仿宋" w:cs="仿宋"/>
          <w:color w:val="auto"/>
          <w:sz w:val="32"/>
          <w:szCs w:val="32"/>
          <w:lang w:val="en-US" w:eastAsia="zh-CN"/>
        </w:rPr>
        <w:t>农林水共同财政事权转移支付收入</w:t>
      </w:r>
      <w:r>
        <w:rPr>
          <w:rFonts w:hint="eastAsia" w:cs="仿宋"/>
          <w:color w:val="auto"/>
          <w:sz w:val="32"/>
          <w:szCs w:val="32"/>
          <w:lang w:val="en-US" w:eastAsia="zh-CN"/>
        </w:rPr>
        <w:t>、</w:t>
      </w:r>
      <w:r>
        <w:rPr>
          <w:rFonts w:hint="eastAsia" w:ascii="仿宋" w:hAnsi="仿宋" w:eastAsia="仿宋" w:cs="仿宋"/>
          <w:color w:val="auto"/>
          <w:sz w:val="32"/>
          <w:szCs w:val="32"/>
        </w:rPr>
        <w:t>社会保障和就业共同财政事权转移支付收入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住房保障共同财政事权转移支付收入</w:t>
      </w:r>
      <w:r>
        <w:rPr>
          <w:rFonts w:hint="eastAsia" w:cs="仿宋"/>
          <w:color w:val="auto"/>
          <w:sz w:val="32"/>
          <w:szCs w:val="32"/>
          <w:lang w:eastAsia="zh-CN"/>
        </w:rPr>
        <w:t>、其他一般性转移支付收入下降</w:t>
      </w:r>
      <w:r>
        <w:rPr>
          <w:rFonts w:hint="eastAsia" w:ascii="仿宋" w:hAnsi="仿宋" w:eastAsia="仿宋" w:cs="仿宋"/>
          <w:color w:val="auto"/>
          <w:sz w:val="32"/>
          <w:szCs w:val="32"/>
          <w:lang w:eastAsia="zh-CN"/>
        </w:rPr>
        <w:t>幅度较大。</w:t>
      </w:r>
      <w:r>
        <w:rPr>
          <w:rFonts w:hint="eastAsia" w:ascii="仿宋" w:hAnsi="仿宋" w:eastAsia="仿宋" w:cs="仿宋"/>
          <w:sz w:val="32"/>
          <w:szCs w:val="32"/>
          <w:lang w:eastAsia="zh-CN"/>
        </w:rPr>
        <w:t>具体明细情况如下：</w:t>
      </w:r>
    </w:p>
    <w:p>
      <w:pPr>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均衡性转移支付6</w:t>
      </w:r>
      <w:r>
        <w:rPr>
          <w:rFonts w:hint="eastAsia"/>
          <w:lang w:val="en-US" w:eastAsia="zh-CN"/>
        </w:rPr>
        <w:t>9797</w:t>
      </w:r>
      <w:r>
        <w:rPr>
          <w:rFonts w:hint="eastAsia"/>
        </w:rPr>
        <w:t>万元，</w:t>
      </w:r>
      <w:r>
        <w:rPr>
          <w:rFonts w:hint="eastAsia"/>
          <w:lang w:eastAsia="zh-CN"/>
        </w:rPr>
        <w:t>增长</w:t>
      </w:r>
      <w:r>
        <w:rPr>
          <w:rFonts w:hint="eastAsia"/>
          <w:lang w:val="en-US" w:eastAsia="zh-CN"/>
        </w:rPr>
        <w:t>7.03</w:t>
      </w:r>
      <w:r>
        <w:rPr>
          <w:rFonts w:hint="eastAsia"/>
        </w:rPr>
        <w:t>%。</w:t>
      </w:r>
    </w:p>
    <w:p>
      <w:pPr>
        <w:bidi w:val="0"/>
        <w:rPr>
          <w:rFonts w:hint="eastAsia"/>
          <w:lang w:eastAsia="zh-CN"/>
        </w:rPr>
      </w:pPr>
      <w:r>
        <w:rPr>
          <w:rFonts w:hint="eastAsia"/>
          <w:lang w:eastAsia="zh-CN"/>
        </w:rPr>
        <w:t>（</w:t>
      </w:r>
      <w:r>
        <w:rPr>
          <w:rFonts w:hint="eastAsia"/>
          <w:lang w:val="en-US" w:eastAsia="zh-CN"/>
        </w:rPr>
        <w:t>2）</w:t>
      </w:r>
      <w:r>
        <w:rPr>
          <w:rFonts w:hint="eastAsia"/>
          <w:lang w:eastAsia="zh-CN"/>
        </w:rPr>
        <w:t>县级基本财力保障机制奖补资金</w:t>
      </w:r>
      <w:r>
        <w:rPr>
          <w:rFonts w:hint="eastAsia"/>
          <w:lang w:val="en-US" w:eastAsia="zh-CN"/>
        </w:rPr>
        <w:t>25995</w:t>
      </w:r>
      <w:r>
        <w:rPr>
          <w:rFonts w:hint="eastAsia"/>
          <w:lang w:eastAsia="zh-CN"/>
        </w:rPr>
        <w:t>万元，下降</w:t>
      </w:r>
      <w:r>
        <w:rPr>
          <w:rFonts w:hint="eastAsia"/>
          <w:lang w:val="en-US" w:eastAsia="zh-CN"/>
        </w:rPr>
        <w:t>45.31</w:t>
      </w:r>
      <w:r>
        <w:rPr>
          <w:rFonts w:hint="eastAsia"/>
          <w:lang w:eastAsia="zh-CN"/>
        </w:rPr>
        <w:t>%。</w:t>
      </w:r>
    </w:p>
    <w:p>
      <w:pPr>
        <w:bidi w:val="0"/>
        <w:rPr>
          <w:rFonts w:hint="eastAsia"/>
          <w:lang w:eastAsia="zh-CN"/>
        </w:rPr>
      </w:pPr>
      <w:r>
        <w:rPr>
          <w:rFonts w:hint="eastAsia"/>
          <w:lang w:eastAsia="zh-CN"/>
        </w:rPr>
        <w:t>（</w:t>
      </w:r>
      <w:r>
        <w:rPr>
          <w:rFonts w:hint="eastAsia"/>
          <w:lang w:val="en-US" w:eastAsia="zh-CN"/>
        </w:rPr>
        <w:t>3</w:t>
      </w:r>
      <w:r>
        <w:rPr>
          <w:rFonts w:hint="eastAsia"/>
          <w:lang w:eastAsia="zh-CN"/>
        </w:rPr>
        <w:t>）结算补助收入</w:t>
      </w:r>
      <w:r>
        <w:rPr>
          <w:rFonts w:hint="eastAsia"/>
          <w:lang w:val="en-US" w:eastAsia="zh-CN"/>
        </w:rPr>
        <w:t>3292</w:t>
      </w:r>
      <w:r>
        <w:rPr>
          <w:rFonts w:hint="eastAsia"/>
          <w:lang w:eastAsia="zh-CN"/>
        </w:rPr>
        <w:t>万元，下降</w:t>
      </w:r>
      <w:r>
        <w:rPr>
          <w:rFonts w:hint="eastAsia"/>
          <w:lang w:val="en-US" w:eastAsia="zh-CN"/>
        </w:rPr>
        <w:t>25.65</w:t>
      </w:r>
      <w:r>
        <w:rPr>
          <w:rFonts w:hint="eastAsia"/>
          <w:lang w:eastAsia="zh-CN"/>
        </w:rPr>
        <w:t>%。</w:t>
      </w:r>
    </w:p>
    <w:p>
      <w:pPr>
        <w:bidi w:val="0"/>
        <w:rPr>
          <w:rFonts w:hint="eastAsia"/>
          <w:lang w:eastAsia="zh-CN"/>
        </w:rPr>
      </w:pPr>
      <w:r>
        <w:rPr>
          <w:rFonts w:hint="eastAsia"/>
          <w:lang w:eastAsia="zh-CN"/>
        </w:rPr>
        <w:t>（</w:t>
      </w:r>
      <w:r>
        <w:rPr>
          <w:rFonts w:hint="eastAsia"/>
          <w:lang w:val="en-US" w:eastAsia="zh-CN"/>
        </w:rPr>
        <w:t>4</w:t>
      </w:r>
      <w:r>
        <w:rPr>
          <w:rFonts w:hint="eastAsia"/>
          <w:lang w:eastAsia="zh-CN"/>
        </w:rPr>
        <w:t>）企业事业单位划转补助收入89万元，与上年持平。</w:t>
      </w:r>
    </w:p>
    <w:p>
      <w:pPr>
        <w:bidi w:val="0"/>
        <w:rPr>
          <w:rFonts w:hint="eastAsia"/>
          <w:lang w:eastAsia="zh-CN"/>
        </w:rPr>
      </w:pPr>
      <w:r>
        <w:rPr>
          <w:rFonts w:hint="eastAsia"/>
          <w:lang w:eastAsia="zh-CN"/>
        </w:rPr>
        <w:t>（</w:t>
      </w:r>
      <w:r>
        <w:rPr>
          <w:rFonts w:hint="eastAsia"/>
          <w:lang w:val="en-US" w:eastAsia="zh-CN"/>
        </w:rPr>
        <w:t>5</w:t>
      </w:r>
      <w:r>
        <w:rPr>
          <w:rFonts w:hint="eastAsia"/>
          <w:lang w:eastAsia="zh-CN"/>
        </w:rPr>
        <w:t>）产粮(油)大县奖励资金4</w:t>
      </w:r>
      <w:r>
        <w:rPr>
          <w:rFonts w:hint="eastAsia"/>
          <w:lang w:val="en-US" w:eastAsia="zh-CN"/>
        </w:rPr>
        <w:t>306</w:t>
      </w:r>
      <w:r>
        <w:rPr>
          <w:rFonts w:hint="eastAsia"/>
          <w:lang w:eastAsia="zh-CN"/>
        </w:rPr>
        <w:t>万元，增长1</w:t>
      </w:r>
      <w:r>
        <w:rPr>
          <w:rFonts w:hint="eastAsia"/>
          <w:lang w:val="en-US" w:eastAsia="zh-CN"/>
        </w:rPr>
        <w:t>.32</w:t>
      </w:r>
      <w:r>
        <w:rPr>
          <w:rFonts w:hint="eastAsia"/>
          <w:lang w:eastAsia="zh-CN"/>
        </w:rPr>
        <w:t>%。</w:t>
      </w:r>
    </w:p>
    <w:p>
      <w:pPr>
        <w:bidi w:val="0"/>
        <w:rPr>
          <w:rFonts w:hint="eastAsia"/>
          <w:lang w:eastAsia="zh-CN"/>
        </w:rPr>
      </w:pPr>
      <w:r>
        <w:rPr>
          <w:rFonts w:hint="eastAsia"/>
          <w:lang w:eastAsia="zh-CN"/>
        </w:rPr>
        <w:t>（</w:t>
      </w:r>
      <w:r>
        <w:rPr>
          <w:rFonts w:hint="eastAsia"/>
          <w:lang w:val="en-US" w:eastAsia="zh-CN"/>
        </w:rPr>
        <w:t>6</w:t>
      </w:r>
      <w:r>
        <w:rPr>
          <w:rFonts w:hint="eastAsia"/>
          <w:lang w:eastAsia="zh-CN"/>
        </w:rPr>
        <w:t>）重点生态功能区转移支付</w:t>
      </w:r>
      <w:r>
        <w:rPr>
          <w:rFonts w:hint="eastAsia"/>
          <w:lang w:val="en-US" w:eastAsia="zh-CN"/>
        </w:rPr>
        <w:t>3446</w:t>
      </w:r>
      <w:r>
        <w:rPr>
          <w:rFonts w:hint="eastAsia"/>
          <w:lang w:eastAsia="zh-CN"/>
        </w:rPr>
        <w:t>万元，增长</w:t>
      </w:r>
      <w:r>
        <w:rPr>
          <w:rFonts w:hint="eastAsia"/>
          <w:lang w:val="en-US" w:eastAsia="zh-CN"/>
        </w:rPr>
        <w:t>2.56</w:t>
      </w:r>
      <w:r>
        <w:rPr>
          <w:rFonts w:hint="eastAsia"/>
          <w:lang w:eastAsia="zh-CN"/>
        </w:rPr>
        <w:t>%。</w:t>
      </w:r>
    </w:p>
    <w:p>
      <w:pPr>
        <w:bidi w:val="0"/>
        <w:rPr>
          <w:rFonts w:hint="eastAsia"/>
          <w:lang w:eastAsia="zh-CN"/>
        </w:rPr>
      </w:pPr>
      <w:r>
        <w:rPr>
          <w:rFonts w:hint="eastAsia"/>
          <w:lang w:eastAsia="zh-CN"/>
        </w:rPr>
        <w:t>（</w:t>
      </w:r>
      <w:r>
        <w:rPr>
          <w:rFonts w:hint="eastAsia"/>
          <w:lang w:val="en-US" w:eastAsia="zh-CN"/>
        </w:rPr>
        <w:t>7</w:t>
      </w:r>
      <w:r>
        <w:rPr>
          <w:rFonts w:hint="eastAsia"/>
          <w:lang w:eastAsia="zh-CN"/>
        </w:rPr>
        <w:t>）固定数额补助21</w:t>
      </w:r>
      <w:r>
        <w:rPr>
          <w:rFonts w:hint="eastAsia"/>
          <w:lang w:val="en-US" w:eastAsia="zh-CN"/>
        </w:rPr>
        <w:t>713</w:t>
      </w:r>
      <w:r>
        <w:rPr>
          <w:rFonts w:hint="eastAsia"/>
          <w:lang w:eastAsia="zh-CN"/>
        </w:rPr>
        <w:t>万元，增长</w:t>
      </w:r>
      <w:r>
        <w:rPr>
          <w:rFonts w:hint="eastAsia"/>
          <w:lang w:val="en-US" w:eastAsia="zh-CN"/>
        </w:rPr>
        <w:t>1.69</w:t>
      </w:r>
      <w:r>
        <w:rPr>
          <w:rFonts w:hint="eastAsia"/>
          <w:lang w:eastAsia="zh-CN"/>
        </w:rPr>
        <w:t>%。</w:t>
      </w:r>
    </w:p>
    <w:p>
      <w:pPr>
        <w:bidi w:val="0"/>
        <w:rPr>
          <w:rFonts w:hint="eastAsia"/>
          <w:lang w:eastAsia="zh-CN"/>
        </w:rPr>
      </w:pPr>
      <w:r>
        <w:rPr>
          <w:rFonts w:hint="eastAsia"/>
          <w:lang w:eastAsia="zh-CN"/>
        </w:rPr>
        <w:t>（</w:t>
      </w:r>
      <w:r>
        <w:rPr>
          <w:rFonts w:hint="eastAsia"/>
          <w:lang w:val="en-US" w:eastAsia="zh-CN"/>
        </w:rPr>
        <w:t>8</w:t>
      </w:r>
      <w:r>
        <w:rPr>
          <w:rFonts w:hint="eastAsia"/>
          <w:lang w:eastAsia="zh-CN"/>
        </w:rPr>
        <w:t>）革命老区转移支付收入</w:t>
      </w:r>
      <w:r>
        <w:rPr>
          <w:rFonts w:hint="eastAsia"/>
          <w:lang w:val="en-US" w:eastAsia="zh-CN"/>
        </w:rPr>
        <w:t>1772</w:t>
      </w:r>
      <w:r>
        <w:rPr>
          <w:rFonts w:hint="eastAsia"/>
          <w:lang w:eastAsia="zh-CN"/>
        </w:rPr>
        <w:t>万元，增长</w:t>
      </w:r>
      <w:r>
        <w:rPr>
          <w:rFonts w:hint="eastAsia"/>
          <w:lang w:val="en-US" w:eastAsia="zh-CN"/>
        </w:rPr>
        <w:t>17.43</w:t>
      </w:r>
      <w:r>
        <w:rPr>
          <w:rFonts w:hint="eastAsia"/>
          <w:lang w:eastAsia="zh-CN"/>
        </w:rPr>
        <w:t>%。</w:t>
      </w:r>
    </w:p>
    <w:p>
      <w:pPr>
        <w:bidi w:val="0"/>
        <w:rPr>
          <w:rFonts w:hint="eastAsia"/>
          <w:lang w:eastAsia="zh-CN"/>
        </w:rPr>
      </w:pPr>
      <w:r>
        <w:rPr>
          <w:rFonts w:hint="eastAsia"/>
          <w:lang w:eastAsia="zh-CN"/>
        </w:rPr>
        <w:t>（9）贫困地区转移支付收入4</w:t>
      </w:r>
      <w:r>
        <w:rPr>
          <w:rFonts w:hint="eastAsia"/>
          <w:lang w:val="en-US" w:eastAsia="zh-CN"/>
        </w:rPr>
        <w:t>072</w:t>
      </w:r>
      <w:r>
        <w:rPr>
          <w:rFonts w:hint="eastAsia"/>
          <w:lang w:eastAsia="zh-CN"/>
        </w:rPr>
        <w:t>万元，下降</w:t>
      </w:r>
      <w:r>
        <w:rPr>
          <w:rFonts w:hint="eastAsia"/>
          <w:lang w:val="en-US" w:eastAsia="zh-CN"/>
        </w:rPr>
        <w:t>9.95</w:t>
      </w:r>
      <w:r>
        <w:rPr>
          <w:rFonts w:hint="eastAsia"/>
          <w:lang w:eastAsia="zh-CN"/>
        </w:rPr>
        <w:t>%。</w:t>
      </w:r>
    </w:p>
    <w:p>
      <w:pPr>
        <w:bidi w:val="0"/>
        <w:rPr>
          <w:rFonts w:hint="eastAsia"/>
          <w:lang w:eastAsia="zh-CN"/>
        </w:rPr>
      </w:pPr>
      <w:r>
        <w:rPr>
          <w:rFonts w:hint="eastAsia"/>
          <w:lang w:eastAsia="zh-CN"/>
        </w:rPr>
        <w:t>（10）公共安全共同财政事权转移支付收入9</w:t>
      </w:r>
      <w:r>
        <w:rPr>
          <w:rFonts w:hint="eastAsia"/>
          <w:lang w:val="en-US" w:eastAsia="zh-CN"/>
        </w:rPr>
        <w:t>69</w:t>
      </w:r>
      <w:r>
        <w:rPr>
          <w:rFonts w:hint="eastAsia"/>
          <w:lang w:eastAsia="zh-CN"/>
        </w:rPr>
        <w:t>万元，增长</w:t>
      </w:r>
      <w:r>
        <w:rPr>
          <w:rFonts w:hint="eastAsia"/>
          <w:lang w:val="en-US" w:eastAsia="zh-CN"/>
        </w:rPr>
        <w:t>7.43</w:t>
      </w:r>
      <w:r>
        <w:rPr>
          <w:rFonts w:hint="eastAsia"/>
          <w:lang w:eastAsia="zh-CN"/>
        </w:rPr>
        <w:t>%。</w:t>
      </w:r>
    </w:p>
    <w:p>
      <w:pPr>
        <w:bidi w:val="0"/>
        <w:rPr>
          <w:rFonts w:hint="eastAsia"/>
          <w:lang w:eastAsia="zh-CN"/>
        </w:rPr>
      </w:pPr>
      <w:r>
        <w:rPr>
          <w:rFonts w:hint="eastAsia"/>
          <w:lang w:eastAsia="zh-CN"/>
        </w:rPr>
        <w:t>（11）教育共同财政事权转移支付收入1</w:t>
      </w:r>
      <w:r>
        <w:rPr>
          <w:rFonts w:hint="eastAsia"/>
          <w:lang w:val="en-US" w:eastAsia="zh-CN"/>
        </w:rPr>
        <w:t>4120</w:t>
      </w:r>
      <w:r>
        <w:rPr>
          <w:rFonts w:hint="eastAsia"/>
          <w:lang w:eastAsia="zh-CN"/>
        </w:rPr>
        <w:t>万元，增长</w:t>
      </w:r>
      <w:r>
        <w:rPr>
          <w:rFonts w:hint="eastAsia"/>
          <w:lang w:val="en-US" w:eastAsia="zh-CN"/>
        </w:rPr>
        <w:t>6.15</w:t>
      </w:r>
      <w:r>
        <w:rPr>
          <w:rFonts w:hint="eastAsia"/>
          <w:lang w:eastAsia="zh-CN"/>
        </w:rPr>
        <w:t>%。</w:t>
      </w:r>
    </w:p>
    <w:p>
      <w:pPr>
        <w:bidi w:val="0"/>
        <w:rPr>
          <w:rFonts w:hint="eastAsia"/>
          <w:lang w:eastAsia="zh-CN"/>
        </w:rPr>
      </w:pPr>
      <w:r>
        <w:rPr>
          <w:rFonts w:hint="eastAsia"/>
          <w:lang w:eastAsia="zh-CN"/>
        </w:rPr>
        <w:t>（</w:t>
      </w:r>
      <w:r>
        <w:rPr>
          <w:rFonts w:hint="eastAsia"/>
          <w:lang w:val="en-US" w:eastAsia="zh-CN"/>
        </w:rPr>
        <w:t>12</w:t>
      </w:r>
      <w:r>
        <w:rPr>
          <w:rFonts w:hint="eastAsia"/>
          <w:lang w:eastAsia="zh-CN"/>
        </w:rPr>
        <w:t xml:space="preserve">）文化旅游体育与传媒共同财政事权转移支付收入 </w:t>
      </w:r>
      <w:r>
        <w:rPr>
          <w:rFonts w:hint="eastAsia"/>
          <w:lang w:val="en-US" w:eastAsia="zh-CN"/>
        </w:rPr>
        <w:t>545</w:t>
      </w:r>
      <w:r>
        <w:rPr>
          <w:rFonts w:hint="eastAsia"/>
          <w:lang w:eastAsia="zh-CN"/>
        </w:rPr>
        <w:t>万元，下降</w:t>
      </w:r>
      <w:r>
        <w:rPr>
          <w:rFonts w:hint="eastAsia"/>
          <w:lang w:val="en-US" w:eastAsia="zh-CN"/>
        </w:rPr>
        <w:t>56.08</w:t>
      </w:r>
      <w:r>
        <w:rPr>
          <w:rFonts w:hint="eastAsia"/>
          <w:lang w:eastAsia="zh-CN"/>
        </w:rPr>
        <w:t>%。</w:t>
      </w:r>
    </w:p>
    <w:p>
      <w:pPr>
        <w:bidi w:val="0"/>
        <w:rPr>
          <w:rFonts w:hint="eastAsia"/>
          <w:lang w:eastAsia="zh-CN"/>
        </w:rPr>
      </w:pPr>
      <w:r>
        <w:rPr>
          <w:rFonts w:hint="eastAsia"/>
          <w:lang w:eastAsia="zh-CN"/>
        </w:rPr>
        <w:t>（</w:t>
      </w:r>
      <w:r>
        <w:rPr>
          <w:rFonts w:hint="eastAsia"/>
          <w:lang w:val="en-US" w:eastAsia="zh-CN"/>
        </w:rPr>
        <w:t>13）</w:t>
      </w:r>
      <w:r>
        <w:rPr>
          <w:rFonts w:hint="eastAsia"/>
          <w:lang w:eastAsia="zh-CN"/>
        </w:rPr>
        <w:t>社会保障和就业共同财政事权转移支付收入</w:t>
      </w:r>
      <w:r>
        <w:rPr>
          <w:rFonts w:hint="eastAsia"/>
          <w:lang w:val="en-US" w:eastAsia="zh-CN"/>
        </w:rPr>
        <w:t>29449</w:t>
      </w:r>
      <w:r>
        <w:rPr>
          <w:rFonts w:hint="eastAsia"/>
          <w:lang w:eastAsia="zh-CN"/>
        </w:rPr>
        <w:t>万元，下降</w:t>
      </w:r>
      <w:r>
        <w:rPr>
          <w:rFonts w:hint="eastAsia"/>
          <w:lang w:val="en-US" w:eastAsia="zh-CN"/>
        </w:rPr>
        <w:t>3.74</w:t>
      </w:r>
      <w:r>
        <w:rPr>
          <w:rFonts w:hint="eastAsia"/>
          <w:lang w:eastAsia="zh-CN"/>
        </w:rPr>
        <w:t>%。</w:t>
      </w:r>
    </w:p>
    <w:p>
      <w:pPr>
        <w:bidi w:val="0"/>
        <w:rPr>
          <w:rFonts w:hint="eastAsia"/>
          <w:lang w:eastAsia="zh-CN"/>
        </w:rPr>
      </w:pPr>
      <w:r>
        <w:rPr>
          <w:rFonts w:hint="eastAsia"/>
          <w:lang w:eastAsia="zh-CN"/>
        </w:rPr>
        <w:t>（</w:t>
      </w:r>
      <w:r>
        <w:rPr>
          <w:rFonts w:hint="eastAsia"/>
          <w:lang w:val="en-US" w:eastAsia="zh-CN"/>
        </w:rPr>
        <w:t>14）</w:t>
      </w:r>
      <w:r>
        <w:rPr>
          <w:rFonts w:hint="eastAsia"/>
          <w:lang w:eastAsia="zh-CN"/>
        </w:rPr>
        <w:t>医疗卫生共同财政事权转移支付收入 3</w:t>
      </w:r>
      <w:r>
        <w:rPr>
          <w:rFonts w:hint="eastAsia"/>
          <w:lang w:val="en-US" w:eastAsia="zh-CN"/>
        </w:rPr>
        <w:t>9660</w:t>
      </w:r>
      <w:r>
        <w:rPr>
          <w:rFonts w:hint="eastAsia"/>
          <w:lang w:eastAsia="zh-CN"/>
        </w:rPr>
        <w:t>万元，增长</w:t>
      </w:r>
      <w:r>
        <w:rPr>
          <w:rFonts w:hint="eastAsia"/>
          <w:lang w:val="en-US" w:eastAsia="zh-CN"/>
        </w:rPr>
        <w:t>3.25</w:t>
      </w:r>
      <w:r>
        <w:rPr>
          <w:rFonts w:hint="eastAsia"/>
          <w:lang w:eastAsia="zh-CN"/>
        </w:rPr>
        <w:t>%。</w:t>
      </w:r>
    </w:p>
    <w:p>
      <w:pPr>
        <w:bidi w:val="0"/>
        <w:rPr>
          <w:rFonts w:hint="eastAsia"/>
          <w:lang w:eastAsia="zh-CN"/>
        </w:rPr>
      </w:pPr>
      <w:r>
        <w:rPr>
          <w:rFonts w:hint="eastAsia"/>
          <w:lang w:eastAsia="zh-CN"/>
        </w:rPr>
        <w:t>（</w:t>
      </w:r>
      <w:r>
        <w:rPr>
          <w:rFonts w:hint="eastAsia"/>
          <w:lang w:val="en-US" w:eastAsia="zh-CN"/>
        </w:rPr>
        <w:t>15）</w:t>
      </w:r>
      <w:r>
        <w:rPr>
          <w:rFonts w:hint="eastAsia"/>
          <w:lang w:eastAsia="zh-CN"/>
        </w:rPr>
        <w:t>节能环保共同财政事权转移支付收入</w:t>
      </w:r>
      <w:r>
        <w:rPr>
          <w:rFonts w:hint="eastAsia"/>
          <w:lang w:val="en-US" w:eastAsia="zh-CN"/>
        </w:rPr>
        <w:t>1048</w:t>
      </w:r>
      <w:r>
        <w:rPr>
          <w:rFonts w:hint="eastAsia"/>
          <w:lang w:eastAsia="zh-CN"/>
        </w:rPr>
        <w:t>万元，增长</w:t>
      </w:r>
      <w:r>
        <w:rPr>
          <w:rFonts w:hint="eastAsia"/>
          <w:lang w:val="en-US" w:eastAsia="zh-CN"/>
        </w:rPr>
        <w:t>67.41</w:t>
      </w:r>
      <w:r>
        <w:rPr>
          <w:rFonts w:hint="eastAsia"/>
          <w:lang w:eastAsia="zh-CN"/>
        </w:rPr>
        <w:t xml:space="preserve">%。 </w:t>
      </w:r>
    </w:p>
    <w:p>
      <w:pPr>
        <w:bidi w:val="0"/>
        <w:rPr>
          <w:rFonts w:hint="eastAsia"/>
          <w:lang w:eastAsia="zh-CN"/>
        </w:rPr>
      </w:pPr>
      <w:r>
        <w:rPr>
          <w:rFonts w:hint="eastAsia"/>
          <w:lang w:eastAsia="zh-CN"/>
        </w:rPr>
        <w:t>（</w:t>
      </w:r>
      <w:r>
        <w:rPr>
          <w:rFonts w:hint="eastAsia"/>
          <w:lang w:val="en-US" w:eastAsia="zh-CN"/>
        </w:rPr>
        <w:t>16）</w:t>
      </w:r>
      <w:r>
        <w:rPr>
          <w:rFonts w:hint="eastAsia"/>
          <w:lang w:eastAsia="zh-CN"/>
        </w:rPr>
        <w:t>农林水共同财政事权转移支付收入3</w:t>
      </w:r>
      <w:r>
        <w:rPr>
          <w:rFonts w:hint="eastAsia"/>
          <w:lang w:val="en-US" w:eastAsia="zh-CN"/>
        </w:rPr>
        <w:t>2629</w:t>
      </w:r>
      <w:r>
        <w:rPr>
          <w:rFonts w:hint="eastAsia"/>
          <w:lang w:eastAsia="zh-CN"/>
        </w:rPr>
        <w:t>万元，下降</w:t>
      </w:r>
      <w:r>
        <w:rPr>
          <w:rFonts w:hint="eastAsia"/>
          <w:lang w:val="en-US" w:eastAsia="zh-CN"/>
        </w:rPr>
        <w:t>15.29</w:t>
      </w:r>
      <w:r>
        <w:rPr>
          <w:rFonts w:hint="eastAsia"/>
          <w:lang w:eastAsia="zh-CN"/>
        </w:rPr>
        <w:t>%。</w:t>
      </w:r>
    </w:p>
    <w:p>
      <w:pPr>
        <w:bidi w:val="0"/>
        <w:rPr>
          <w:rFonts w:hint="eastAsia"/>
          <w:lang w:eastAsia="zh-CN"/>
        </w:rPr>
      </w:pPr>
      <w:r>
        <w:rPr>
          <w:rFonts w:hint="eastAsia"/>
          <w:lang w:eastAsia="zh-CN"/>
        </w:rPr>
        <w:t>（</w:t>
      </w:r>
      <w:r>
        <w:rPr>
          <w:rFonts w:hint="eastAsia"/>
          <w:lang w:val="en-US" w:eastAsia="zh-CN"/>
        </w:rPr>
        <w:t>17）</w:t>
      </w:r>
      <w:r>
        <w:rPr>
          <w:rFonts w:hint="eastAsia"/>
          <w:lang w:eastAsia="zh-CN"/>
        </w:rPr>
        <w:t>交通运输共同财政事权转移支付收入</w:t>
      </w:r>
      <w:r>
        <w:rPr>
          <w:rFonts w:hint="eastAsia"/>
          <w:lang w:val="en-US" w:eastAsia="zh-CN"/>
        </w:rPr>
        <w:t>2437</w:t>
      </w:r>
      <w:r>
        <w:rPr>
          <w:rFonts w:hint="eastAsia"/>
          <w:lang w:eastAsia="zh-CN"/>
        </w:rPr>
        <w:t>万元，下降</w:t>
      </w:r>
      <w:r>
        <w:rPr>
          <w:rFonts w:hint="eastAsia"/>
          <w:lang w:val="en-US" w:eastAsia="zh-CN"/>
        </w:rPr>
        <w:t>12.71</w:t>
      </w:r>
      <w:r>
        <w:rPr>
          <w:rFonts w:hint="eastAsia"/>
          <w:lang w:eastAsia="zh-CN"/>
        </w:rPr>
        <w:t xml:space="preserve">%。  </w:t>
      </w:r>
    </w:p>
    <w:p>
      <w:pPr>
        <w:bidi w:val="0"/>
        <w:rPr>
          <w:rFonts w:hint="eastAsia"/>
          <w:lang w:eastAsia="zh-CN"/>
        </w:rPr>
      </w:pPr>
      <w:r>
        <w:rPr>
          <w:rFonts w:hint="eastAsia"/>
          <w:lang w:val="en-US" w:eastAsia="zh-CN"/>
        </w:rPr>
        <w:t>（18）</w:t>
      </w:r>
      <w:r>
        <w:rPr>
          <w:rFonts w:hint="eastAsia"/>
          <w:lang w:eastAsia="zh-CN"/>
        </w:rPr>
        <w:t>住房保障共同财政事权转移支付收入</w:t>
      </w:r>
      <w:r>
        <w:rPr>
          <w:rFonts w:hint="eastAsia"/>
          <w:lang w:val="en-US" w:eastAsia="zh-CN"/>
        </w:rPr>
        <w:t>4710</w:t>
      </w:r>
      <w:r>
        <w:rPr>
          <w:rFonts w:hint="eastAsia"/>
          <w:lang w:eastAsia="zh-CN"/>
        </w:rPr>
        <w:t>万元，下降</w:t>
      </w:r>
      <w:r>
        <w:rPr>
          <w:rFonts w:hint="eastAsia"/>
          <w:lang w:val="en-US" w:eastAsia="zh-CN"/>
        </w:rPr>
        <w:t>21.54</w:t>
      </w:r>
      <w:r>
        <w:rPr>
          <w:rFonts w:hint="eastAsia"/>
          <w:lang w:eastAsia="zh-CN"/>
        </w:rPr>
        <w:t>%。</w:t>
      </w:r>
    </w:p>
    <w:p>
      <w:pPr>
        <w:bidi w:val="0"/>
        <w:rPr>
          <w:rFonts w:hint="eastAsia"/>
          <w:lang w:eastAsia="zh-CN"/>
        </w:rPr>
      </w:pPr>
      <w:r>
        <w:rPr>
          <w:rFonts w:hint="eastAsia"/>
          <w:lang w:eastAsia="zh-CN"/>
        </w:rPr>
        <w:t>（</w:t>
      </w:r>
      <w:r>
        <w:rPr>
          <w:rFonts w:hint="eastAsia"/>
          <w:lang w:val="en-US" w:eastAsia="zh-CN"/>
        </w:rPr>
        <w:t>19）</w:t>
      </w:r>
      <w:r>
        <w:rPr>
          <w:rFonts w:hint="eastAsia"/>
          <w:lang w:eastAsia="zh-CN"/>
        </w:rPr>
        <w:t>粮油物资储备共同财政事权转移支付收入</w:t>
      </w:r>
      <w:r>
        <w:rPr>
          <w:rFonts w:hint="eastAsia"/>
          <w:lang w:val="en-US" w:eastAsia="zh-CN"/>
        </w:rPr>
        <w:t>251</w:t>
      </w:r>
      <w:r>
        <w:rPr>
          <w:rFonts w:hint="eastAsia"/>
          <w:lang w:eastAsia="zh-CN"/>
        </w:rPr>
        <w:t>万元，增长</w:t>
      </w:r>
      <w:r>
        <w:rPr>
          <w:rFonts w:hint="eastAsia"/>
          <w:lang w:val="en-US" w:eastAsia="zh-CN"/>
        </w:rPr>
        <w:t>78.01</w:t>
      </w:r>
      <w:r>
        <w:rPr>
          <w:rFonts w:hint="eastAsia"/>
          <w:lang w:eastAsia="zh-CN"/>
        </w:rPr>
        <w:t xml:space="preserve">%。  </w:t>
      </w:r>
    </w:p>
    <w:p>
      <w:pPr>
        <w:bidi w:val="0"/>
        <w:rPr>
          <w:rFonts w:hint="eastAsia"/>
          <w:lang w:eastAsia="zh-CN"/>
        </w:rPr>
      </w:pPr>
      <w:r>
        <w:rPr>
          <w:rFonts w:hint="eastAsia"/>
          <w:lang w:eastAsia="zh-CN"/>
        </w:rPr>
        <w:t>（</w:t>
      </w:r>
      <w:r>
        <w:rPr>
          <w:rFonts w:hint="eastAsia"/>
          <w:lang w:val="en-US" w:eastAsia="zh-CN"/>
        </w:rPr>
        <w:t>20）</w:t>
      </w:r>
      <w:r>
        <w:rPr>
          <w:rFonts w:hint="eastAsia"/>
          <w:lang w:eastAsia="zh-CN"/>
        </w:rPr>
        <w:t>灾害防治及应急管理共同财政事权转移支付收入</w:t>
      </w:r>
      <w:r>
        <w:rPr>
          <w:rFonts w:hint="eastAsia"/>
          <w:lang w:val="en-US" w:eastAsia="zh-CN"/>
        </w:rPr>
        <w:t>115</w:t>
      </w:r>
      <w:r>
        <w:rPr>
          <w:rFonts w:hint="eastAsia"/>
          <w:lang w:eastAsia="zh-CN"/>
        </w:rPr>
        <w:t>万元，下降</w:t>
      </w:r>
      <w:r>
        <w:rPr>
          <w:rFonts w:hint="eastAsia"/>
          <w:lang w:val="en-US" w:eastAsia="zh-CN"/>
        </w:rPr>
        <w:t>84.67%</w:t>
      </w:r>
      <w:r>
        <w:rPr>
          <w:rFonts w:hint="eastAsia"/>
          <w:lang w:eastAsia="zh-CN"/>
        </w:rPr>
        <w:t>。</w:t>
      </w:r>
    </w:p>
    <w:p>
      <w:pPr>
        <w:bidi w:val="0"/>
        <w:rPr>
          <w:rFonts w:hint="eastAsia"/>
          <w:lang w:eastAsia="zh-CN"/>
        </w:rPr>
      </w:pPr>
      <w:r>
        <w:rPr>
          <w:rFonts w:hint="eastAsia"/>
          <w:lang w:eastAsia="zh-CN"/>
        </w:rPr>
        <w:t>（</w:t>
      </w:r>
      <w:r>
        <w:rPr>
          <w:rFonts w:hint="eastAsia"/>
          <w:lang w:val="en-US" w:eastAsia="zh-CN"/>
        </w:rPr>
        <w:t>21）</w:t>
      </w:r>
      <w:r>
        <w:rPr>
          <w:rFonts w:hint="eastAsia"/>
          <w:lang w:eastAsia="zh-CN"/>
        </w:rPr>
        <w:t>其他一般性转移支付</w:t>
      </w:r>
      <w:r>
        <w:rPr>
          <w:rFonts w:hint="eastAsia"/>
          <w:lang w:val="en-US" w:eastAsia="zh-CN"/>
        </w:rPr>
        <w:t>4005</w:t>
      </w:r>
      <w:r>
        <w:rPr>
          <w:rFonts w:hint="eastAsia"/>
          <w:lang w:eastAsia="zh-CN"/>
        </w:rPr>
        <w:t>万元，下降</w:t>
      </w:r>
      <w:r>
        <w:rPr>
          <w:rFonts w:hint="eastAsia"/>
          <w:lang w:val="en-US" w:eastAsia="zh-CN"/>
        </w:rPr>
        <w:t>55.58</w:t>
      </w:r>
      <w:r>
        <w:rPr>
          <w:rFonts w:hint="eastAsia"/>
          <w:lang w:eastAsia="zh-CN"/>
        </w:rPr>
        <w:t>%。</w:t>
      </w:r>
    </w:p>
    <w:p>
      <w:pPr>
        <w:pStyle w:val="4"/>
        <w:rPr>
          <w:rFonts w:hint="eastAsia"/>
        </w:rPr>
      </w:pPr>
      <w:r>
        <w:rPr>
          <w:rFonts w:hint="eastAsia"/>
          <w:lang w:eastAsia="zh-CN"/>
        </w:rPr>
        <w:drawing>
          <wp:anchor distT="0" distB="0" distL="114300" distR="114300" simplePos="0" relativeHeight="251663360" behindDoc="0" locked="0" layoutInCell="1" allowOverlap="1">
            <wp:simplePos x="0" y="0"/>
            <wp:positionH relativeFrom="column">
              <wp:posOffset>-641985</wp:posOffset>
            </wp:positionH>
            <wp:positionV relativeFrom="page">
              <wp:posOffset>3799840</wp:posOffset>
            </wp:positionV>
            <wp:extent cx="6635115" cy="5467350"/>
            <wp:effectExtent l="4445" t="4445" r="8890" b="1460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专项转移支付情况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cs="仿宋"/>
          <w:sz w:val="32"/>
          <w:szCs w:val="32"/>
          <w:lang w:val="en-US" w:eastAsia="zh-CN"/>
        </w:rPr>
        <w:t>1</w:t>
      </w:r>
      <w:r>
        <w:rPr>
          <w:rFonts w:hint="eastAsia" w:ascii="仿宋" w:hAnsi="仿宋" w:eastAsia="仿宋" w:cs="仿宋"/>
          <w:sz w:val="32"/>
          <w:szCs w:val="32"/>
        </w:rPr>
        <w:t>年，上级下达我县专项转移支付</w:t>
      </w:r>
      <w:r>
        <w:rPr>
          <w:rFonts w:hint="eastAsia" w:cs="仿宋"/>
          <w:sz w:val="32"/>
          <w:szCs w:val="32"/>
          <w:lang w:val="en-US" w:eastAsia="zh-CN"/>
        </w:rPr>
        <w:t>67325</w:t>
      </w:r>
      <w:r>
        <w:rPr>
          <w:rFonts w:hint="eastAsia" w:ascii="仿宋" w:hAnsi="仿宋" w:eastAsia="仿宋" w:cs="仿宋"/>
          <w:sz w:val="32"/>
          <w:szCs w:val="32"/>
        </w:rPr>
        <w:t>万元，比上年减少</w:t>
      </w:r>
      <w:r>
        <w:rPr>
          <w:rFonts w:hint="eastAsia" w:cs="仿宋"/>
          <w:sz w:val="32"/>
          <w:szCs w:val="32"/>
          <w:lang w:val="en-US" w:eastAsia="zh-CN"/>
        </w:rPr>
        <w:t>10910</w:t>
      </w:r>
      <w:r>
        <w:rPr>
          <w:rFonts w:hint="eastAsia" w:ascii="仿宋" w:hAnsi="仿宋" w:eastAsia="仿宋" w:cs="仿宋"/>
          <w:sz w:val="32"/>
          <w:szCs w:val="32"/>
        </w:rPr>
        <w:t>万元，下降1</w:t>
      </w:r>
      <w:r>
        <w:rPr>
          <w:rFonts w:hint="eastAsia" w:cs="仿宋"/>
          <w:sz w:val="32"/>
          <w:szCs w:val="32"/>
          <w:lang w:val="en-US" w:eastAsia="zh-CN"/>
        </w:rPr>
        <w:t>3.95</w:t>
      </w:r>
      <w:r>
        <w:rPr>
          <w:rFonts w:hint="eastAsia" w:ascii="仿宋" w:hAnsi="仿宋" w:eastAsia="仿宋" w:cs="仿宋"/>
          <w:sz w:val="32"/>
          <w:szCs w:val="32"/>
        </w:rPr>
        <w:t>%。</w:t>
      </w:r>
      <w:r>
        <w:rPr>
          <w:rFonts w:hint="eastAsia" w:ascii="仿宋" w:hAnsi="仿宋" w:eastAsia="仿宋" w:cs="仿宋"/>
          <w:color w:val="auto"/>
          <w:sz w:val="32"/>
          <w:szCs w:val="32"/>
          <w:lang w:eastAsia="zh-CN"/>
        </w:rPr>
        <w:t>主要是因为</w:t>
      </w:r>
      <w:r>
        <w:rPr>
          <w:rFonts w:hint="eastAsia" w:cs="仿宋"/>
          <w:color w:val="auto"/>
          <w:sz w:val="32"/>
          <w:szCs w:val="32"/>
          <w:lang w:eastAsia="zh-CN"/>
        </w:rPr>
        <w:t>教育</w:t>
      </w:r>
      <w:r>
        <w:rPr>
          <w:rFonts w:hint="eastAsia" w:ascii="仿宋" w:hAnsi="仿宋" w:eastAsia="仿宋" w:cs="仿宋"/>
          <w:color w:val="auto"/>
          <w:sz w:val="32"/>
          <w:szCs w:val="32"/>
        </w:rPr>
        <w:t>、</w:t>
      </w:r>
      <w:r>
        <w:rPr>
          <w:rFonts w:hint="eastAsia" w:cs="仿宋"/>
          <w:color w:val="auto"/>
          <w:sz w:val="32"/>
          <w:szCs w:val="32"/>
          <w:lang w:eastAsia="zh-CN"/>
        </w:rPr>
        <w:t>卫生健康</w:t>
      </w:r>
      <w:r>
        <w:rPr>
          <w:rFonts w:hint="eastAsia" w:ascii="仿宋" w:hAnsi="仿宋" w:eastAsia="仿宋" w:cs="仿宋"/>
          <w:color w:val="auto"/>
          <w:sz w:val="32"/>
          <w:szCs w:val="32"/>
        </w:rPr>
        <w:t>、</w:t>
      </w:r>
      <w:r>
        <w:rPr>
          <w:rFonts w:hint="eastAsia" w:cs="仿宋"/>
          <w:color w:val="auto"/>
          <w:sz w:val="32"/>
          <w:szCs w:val="32"/>
          <w:lang w:eastAsia="zh-CN"/>
        </w:rPr>
        <w:t>农林水</w:t>
      </w:r>
      <w:r>
        <w:rPr>
          <w:rFonts w:hint="eastAsia" w:ascii="仿宋" w:hAnsi="仿宋" w:eastAsia="仿宋" w:cs="仿宋"/>
          <w:color w:val="auto"/>
          <w:sz w:val="32"/>
          <w:szCs w:val="32"/>
        </w:rPr>
        <w:t>、商业服务业等、住房保障、其他收入</w:t>
      </w:r>
      <w:r>
        <w:rPr>
          <w:rFonts w:hint="eastAsia" w:cs="仿宋"/>
          <w:color w:val="auto"/>
          <w:sz w:val="32"/>
          <w:szCs w:val="32"/>
          <w:lang w:eastAsia="zh-CN"/>
        </w:rPr>
        <w:t>下降</w:t>
      </w:r>
      <w:r>
        <w:rPr>
          <w:rFonts w:hint="eastAsia" w:ascii="仿宋" w:hAnsi="仿宋" w:eastAsia="仿宋" w:cs="仿宋"/>
          <w:color w:val="auto"/>
          <w:sz w:val="32"/>
          <w:szCs w:val="32"/>
        </w:rPr>
        <w:t>幅度较大</w:t>
      </w:r>
      <w:r>
        <w:rPr>
          <w:rFonts w:hint="eastAsia" w:cs="仿宋"/>
          <w:color w:val="auto"/>
          <w:sz w:val="32"/>
          <w:szCs w:val="32"/>
          <w:lang w:eastAsia="zh-CN"/>
        </w:rPr>
        <w:t>。</w:t>
      </w:r>
      <w:r>
        <w:rPr>
          <w:rFonts w:hint="eastAsia" w:ascii="仿宋" w:hAnsi="仿宋" w:eastAsia="仿宋" w:cs="仿宋"/>
          <w:color w:val="auto"/>
          <w:sz w:val="32"/>
          <w:szCs w:val="32"/>
        </w:rPr>
        <w:t>具体</w:t>
      </w:r>
      <w:r>
        <w:rPr>
          <w:rFonts w:hint="eastAsia" w:ascii="仿宋" w:hAnsi="仿宋" w:eastAsia="仿宋" w:cs="仿宋"/>
          <w:color w:val="auto"/>
          <w:sz w:val="32"/>
          <w:szCs w:val="32"/>
          <w:lang w:eastAsia="zh-CN"/>
        </w:rPr>
        <w:t>明细情况</w:t>
      </w:r>
      <w:r>
        <w:rPr>
          <w:rFonts w:hint="eastAsia" w:ascii="仿宋" w:hAnsi="仿宋" w:eastAsia="仿宋" w:cs="仿宋"/>
          <w:color w:val="auto"/>
          <w:sz w:val="32"/>
          <w:szCs w:val="32"/>
        </w:rPr>
        <w:t>如下：</w:t>
      </w:r>
    </w:p>
    <w:p>
      <w:pPr>
        <w:numPr>
          <w:ilvl w:val="0"/>
          <w:numId w:val="1"/>
        </w:numPr>
        <w:rPr>
          <w:rFonts w:hint="eastAsia" w:ascii="仿宋" w:hAnsi="仿宋" w:eastAsia="仿宋" w:cs="仿宋"/>
          <w:sz w:val="32"/>
          <w:szCs w:val="32"/>
        </w:rPr>
      </w:pPr>
      <w:r>
        <w:rPr>
          <w:rFonts w:hint="eastAsia" w:ascii="仿宋" w:hAnsi="仿宋" w:eastAsia="仿宋" w:cs="仿宋"/>
          <w:sz w:val="32"/>
          <w:szCs w:val="32"/>
        </w:rPr>
        <w:t>一般公共服务</w:t>
      </w:r>
      <w:r>
        <w:rPr>
          <w:rFonts w:hint="eastAsia" w:cs="仿宋"/>
          <w:sz w:val="32"/>
          <w:szCs w:val="32"/>
          <w:lang w:val="en-US" w:eastAsia="zh-CN"/>
        </w:rPr>
        <w:t>3799</w:t>
      </w:r>
      <w:r>
        <w:rPr>
          <w:rFonts w:hint="eastAsia" w:ascii="仿宋" w:hAnsi="仿宋" w:eastAsia="仿宋" w:cs="仿宋"/>
          <w:sz w:val="32"/>
          <w:szCs w:val="32"/>
        </w:rPr>
        <w:t>万元，增长</w:t>
      </w:r>
      <w:r>
        <w:rPr>
          <w:rFonts w:hint="eastAsia" w:cs="仿宋"/>
          <w:sz w:val="32"/>
          <w:szCs w:val="32"/>
          <w:lang w:val="en-US" w:eastAsia="zh-CN"/>
        </w:rPr>
        <w:t>32.23</w:t>
      </w:r>
      <w:r>
        <w:rPr>
          <w:rFonts w:hint="eastAsia" w:ascii="仿宋" w:hAnsi="仿宋" w:eastAsia="仿宋" w:cs="仿宋"/>
          <w:sz w:val="32"/>
          <w:szCs w:val="32"/>
        </w:rPr>
        <w:t>%。</w:t>
      </w:r>
    </w:p>
    <w:p>
      <w:pPr>
        <w:numPr>
          <w:ilvl w:val="0"/>
          <w:numId w:val="1"/>
        </w:numPr>
        <w:rPr>
          <w:rFonts w:hint="eastAsia" w:ascii="仿宋" w:hAnsi="仿宋" w:eastAsia="仿宋" w:cs="仿宋"/>
          <w:sz w:val="32"/>
          <w:szCs w:val="32"/>
        </w:rPr>
      </w:pPr>
      <w:r>
        <w:rPr>
          <w:rFonts w:hint="eastAsia" w:ascii="仿宋" w:hAnsi="仿宋" w:eastAsia="仿宋" w:cs="仿宋"/>
          <w:sz w:val="32"/>
          <w:szCs w:val="32"/>
        </w:rPr>
        <w:t>国防</w:t>
      </w:r>
      <w:r>
        <w:rPr>
          <w:rFonts w:hint="eastAsia" w:cs="仿宋"/>
          <w:sz w:val="32"/>
          <w:szCs w:val="32"/>
          <w:lang w:val="en-US" w:eastAsia="zh-CN"/>
        </w:rPr>
        <w:t>111万元，</w:t>
      </w:r>
      <w:r>
        <w:rPr>
          <w:rFonts w:hint="eastAsia" w:ascii="仿宋" w:hAnsi="仿宋" w:eastAsia="仿宋" w:cs="仿宋"/>
          <w:sz w:val="32"/>
          <w:szCs w:val="32"/>
          <w:lang w:eastAsia="zh-CN"/>
        </w:rPr>
        <w:t>是新增项目</w:t>
      </w:r>
      <w:r>
        <w:rPr>
          <w:rFonts w:hint="eastAsia" w:cs="仿宋"/>
          <w:sz w:val="32"/>
          <w:szCs w:val="32"/>
          <w:lang w:eastAsia="zh-CN"/>
        </w:rPr>
        <w:t>。</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cs="仿宋"/>
          <w:sz w:val="32"/>
          <w:szCs w:val="32"/>
          <w:lang w:val="en-US" w:eastAsia="zh-CN"/>
        </w:rPr>
        <w:t>3</w:t>
      </w:r>
      <w:r>
        <w:rPr>
          <w:rFonts w:hint="eastAsia" w:ascii="仿宋" w:hAnsi="仿宋" w:eastAsia="仿宋" w:cs="仿宋"/>
          <w:sz w:val="32"/>
          <w:szCs w:val="32"/>
          <w:lang w:val="en-US" w:eastAsia="zh-CN"/>
        </w:rPr>
        <w:t>）</w:t>
      </w:r>
      <w:r>
        <w:rPr>
          <w:rFonts w:hint="eastAsia" w:ascii="仿宋" w:hAnsi="仿宋" w:eastAsia="仿宋" w:cs="仿宋"/>
          <w:sz w:val="32"/>
          <w:szCs w:val="32"/>
        </w:rPr>
        <w:t>公共安全1</w:t>
      </w:r>
      <w:r>
        <w:rPr>
          <w:rFonts w:hint="eastAsia" w:cs="仿宋"/>
          <w:sz w:val="32"/>
          <w:szCs w:val="32"/>
          <w:lang w:val="en-US" w:eastAsia="zh-CN"/>
        </w:rPr>
        <w:t>35</w:t>
      </w:r>
      <w:r>
        <w:rPr>
          <w:rFonts w:hint="eastAsia" w:ascii="仿宋" w:hAnsi="仿宋" w:eastAsia="仿宋" w:cs="仿宋"/>
          <w:sz w:val="32"/>
          <w:szCs w:val="32"/>
        </w:rPr>
        <w:t>万元，</w:t>
      </w:r>
      <w:r>
        <w:rPr>
          <w:rFonts w:hint="eastAsia" w:cs="仿宋"/>
          <w:sz w:val="32"/>
          <w:szCs w:val="32"/>
          <w:lang w:eastAsia="zh-CN"/>
        </w:rPr>
        <w:t>增长</w:t>
      </w:r>
      <w:r>
        <w:rPr>
          <w:rFonts w:hint="eastAsia" w:cs="仿宋"/>
          <w:sz w:val="32"/>
          <w:szCs w:val="32"/>
          <w:lang w:val="en-US" w:eastAsia="zh-CN"/>
        </w:rPr>
        <w:t>5.47</w:t>
      </w:r>
      <w:r>
        <w:rPr>
          <w:rFonts w:hint="eastAsia" w:ascii="仿宋" w:hAnsi="仿宋" w:eastAsia="仿宋" w:cs="仿宋"/>
          <w:sz w:val="32"/>
          <w:szCs w:val="32"/>
        </w:rPr>
        <w:t>%。</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cs="仿宋"/>
          <w:sz w:val="32"/>
          <w:szCs w:val="32"/>
          <w:lang w:val="en-US" w:eastAsia="zh-CN"/>
        </w:rPr>
        <w:t>4</w:t>
      </w:r>
      <w:r>
        <w:rPr>
          <w:rFonts w:hint="eastAsia" w:ascii="仿宋" w:hAnsi="仿宋" w:eastAsia="仿宋" w:cs="仿宋"/>
          <w:sz w:val="32"/>
          <w:szCs w:val="32"/>
          <w:lang w:val="en-US" w:eastAsia="zh-CN"/>
        </w:rPr>
        <w:t>）</w:t>
      </w:r>
      <w:r>
        <w:rPr>
          <w:rFonts w:hint="eastAsia" w:ascii="仿宋" w:hAnsi="仿宋" w:eastAsia="仿宋" w:cs="仿宋"/>
          <w:sz w:val="32"/>
          <w:szCs w:val="32"/>
        </w:rPr>
        <w:t>教育</w:t>
      </w:r>
      <w:r>
        <w:rPr>
          <w:rFonts w:hint="eastAsia" w:cs="仿宋"/>
          <w:sz w:val="32"/>
          <w:szCs w:val="32"/>
          <w:lang w:val="en-US" w:eastAsia="zh-CN"/>
        </w:rPr>
        <w:t>446</w:t>
      </w:r>
      <w:r>
        <w:rPr>
          <w:rFonts w:hint="eastAsia" w:ascii="仿宋" w:hAnsi="仿宋" w:eastAsia="仿宋" w:cs="仿宋"/>
          <w:sz w:val="32"/>
          <w:szCs w:val="32"/>
        </w:rPr>
        <w:t>万元，下降</w:t>
      </w:r>
      <w:r>
        <w:rPr>
          <w:rFonts w:hint="eastAsia" w:cs="仿宋"/>
          <w:sz w:val="32"/>
          <w:szCs w:val="32"/>
          <w:lang w:val="en-US" w:eastAsia="zh-CN"/>
        </w:rPr>
        <w:t>74.53</w:t>
      </w:r>
      <w:r>
        <w:rPr>
          <w:rFonts w:hint="eastAsia" w:ascii="仿宋" w:hAnsi="仿宋" w:eastAsia="仿宋" w:cs="仿宋"/>
          <w:sz w:val="32"/>
          <w:szCs w:val="32"/>
        </w:rPr>
        <w:t>%。</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cs="仿宋"/>
          <w:sz w:val="32"/>
          <w:szCs w:val="32"/>
          <w:lang w:val="en-US" w:eastAsia="zh-CN"/>
        </w:rPr>
        <w:t>5</w:t>
      </w:r>
      <w:r>
        <w:rPr>
          <w:rFonts w:hint="eastAsia" w:ascii="仿宋" w:hAnsi="仿宋" w:eastAsia="仿宋" w:cs="仿宋"/>
          <w:sz w:val="32"/>
          <w:szCs w:val="32"/>
          <w:lang w:val="en-US" w:eastAsia="zh-CN"/>
        </w:rPr>
        <w:t>）</w:t>
      </w:r>
      <w:r>
        <w:rPr>
          <w:rFonts w:hint="eastAsia" w:ascii="仿宋" w:hAnsi="仿宋" w:eastAsia="仿宋" w:cs="仿宋"/>
          <w:sz w:val="32"/>
          <w:szCs w:val="32"/>
        </w:rPr>
        <w:t>科学技术</w:t>
      </w:r>
      <w:r>
        <w:rPr>
          <w:rFonts w:hint="eastAsia" w:cs="仿宋"/>
          <w:sz w:val="32"/>
          <w:szCs w:val="32"/>
          <w:lang w:val="en-US" w:eastAsia="zh-CN"/>
        </w:rPr>
        <w:t>687</w:t>
      </w:r>
      <w:r>
        <w:rPr>
          <w:rFonts w:hint="eastAsia" w:ascii="仿宋" w:hAnsi="仿宋" w:eastAsia="仿宋" w:cs="仿宋"/>
          <w:sz w:val="32"/>
          <w:szCs w:val="32"/>
        </w:rPr>
        <w:t>万元，下降</w:t>
      </w:r>
      <w:r>
        <w:rPr>
          <w:rFonts w:hint="eastAsia" w:cs="仿宋"/>
          <w:sz w:val="32"/>
          <w:szCs w:val="32"/>
          <w:lang w:val="en-US" w:eastAsia="zh-CN"/>
        </w:rPr>
        <w:t>32.18</w:t>
      </w:r>
      <w:r>
        <w:rPr>
          <w:rFonts w:hint="eastAsia" w:ascii="仿宋" w:hAnsi="仿宋" w:eastAsia="仿宋" w:cs="仿宋"/>
          <w:sz w:val="32"/>
          <w:szCs w:val="32"/>
        </w:rPr>
        <w:t>%。</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cs="仿宋"/>
          <w:sz w:val="32"/>
          <w:szCs w:val="32"/>
          <w:lang w:val="en-US" w:eastAsia="zh-CN"/>
        </w:rPr>
        <w:t>6</w:t>
      </w:r>
      <w:r>
        <w:rPr>
          <w:rFonts w:hint="eastAsia" w:ascii="仿宋" w:hAnsi="仿宋" w:eastAsia="仿宋" w:cs="仿宋"/>
          <w:sz w:val="32"/>
          <w:szCs w:val="32"/>
          <w:lang w:val="en-US" w:eastAsia="zh-CN"/>
        </w:rPr>
        <w:t>）</w:t>
      </w:r>
      <w:r>
        <w:rPr>
          <w:rFonts w:hint="eastAsia" w:ascii="仿宋" w:hAnsi="仿宋" w:eastAsia="仿宋" w:cs="仿宋"/>
          <w:sz w:val="32"/>
          <w:szCs w:val="32"/>
        </w:rPr>
        <w:t>文化旅游体育与传媒</w:t>
      </w:r>
      <w:r>
        <w:rPr>
          <w:rFonts w:hint="eastAsia" w:cs="仿宋"/>
          <w:sz w:val="32"/>
          <w:szCs w:val="32"/>
          <w:lang w:val="en-US" w:eastAsia="zh-CN"/>
        </w:rPr>
        <w:t>376</w:t>
      </w:r>
      <w:r>
        <w:rPr>
          <w:rFonts w:hint="eastAsia" w:ascii="仿宋" w:hAnsi="仿宋" w:eastAsia="仿宋" w:cs="仿宋"/>
          <w:sz w:val="32"/>
          <w:szCs w:val="32"/>
        </w:rPr>
        <w:t>万元，</w:t>
      </w:r>
      <w:r>
        <w:rPr>
          <w:rFonts w:hint="eastAsia" w:cs="仿宋"/>
          <w:sz w:val="32"/>
          <w:szCs w:val="32"/>
          <w:lang w:eastAsia="zh-CN"/>
        </w:rPr>
        <w:t>下降</w:t>
      </w:r>
      <w:r>
        <w:rPr>
          <w:rFonts w:hint="eastAsia" w:cs="仿宋"/>
          <w:sz w:val="32"/>
          <w:szCs w:val="32"/>
          <w:lang w:val="en-US" w:eastAsia="zh-CN"/>
        </w:rPr>
        <w:t>70.97</w:t>
      </w:r>
      <w:r>
        <w:rPr>
          <w:rFonts w:hint="eastAsia" w:ascii="仿宋" w:hAnsi="仿宋" w:eastAsia="仿宋" w:cs="仿宋"/>
          <w:sz w:val="32"/>
          <w:szCs w:val="32"/>
        </w:rPr>
        <w:t>%。</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cs="仿宋"/>
          <w:sz w:val="32"/>
          <w:szCs w:val="32"/>
          <w:lang w:val="en-US" w:eastAsia="zh-CN"/>
        </w:rPr>
        <w:t>7）</w:t>
      </w:r>
      <w:r>
        <w:rPr>
          <w:rFonts w:hint="eastAsia" w:ascii="仿宋" w:hAnsi="仿宋" w:eastAsia="仿宋" w:cs="仿宋"/>
          <w:sz w:val="32"/>
          <w:szCs w:val="32"/>
        </w:rPr>
        <w:t>社会保障和就业</w:t>
      </w:r>
      <w:r>
        <w:rPr>
          <w:rFonts w:hint="eastAsia" w:cs="仿宋"/>
          <w:sz w:val="32"/>
          <w:szCs w:val="32"/>
          <w:lang w:val="en-US" w:eastAsia="zh-CN"/>
        </w:rPr>
        <w:t>926</w:t>
      </w:r>
      <w:r>
        <w:rPr>
          <w:rFonts w:hint="eastAsia" w:ascii="仿宋" w:hAnsi="仿宋" w:eastAsia="仿宋" w:cs="仿宋"/>
          <w:sz w:val="32"/>
          <w:szCs w:val="32"/>
        </w:rPr>
        <w:t>万元，</w:t>
      </w:r>
      <w:r>
        <w:rPr>
          <w:rFonts w:hint="eastAsia" w:cs="仿宋"/>
          <w:sz w:val="32"/>
          <w:szCs w:val="32"/>
          <w:lang w:eastAsia="zh-CN"/>
        </w:rPr>
        <w:t>增长</w:t>
      </w:r>
      <w:r>
        <w:rPr>
          <w:rFonts w:hint="eastAsia" w:cs="仿宋"/>
          <w:sz w:val="32"/>
          <w:szCs w:val="32"/>
          <w:lang w:val="en-US" w:eastAsia="zh-CN"/>
        </w:rPr>
        <w:t>59.93</w:t>
      </w:r>
      <w:r>
        <w:rPr>
          <w:rFonts w:hint="eastAsia" w:ascii="仿宋" w:hAnsi="仿宋" w:eastAsia="仿宋" w:cs="仿宋"/>
          <w:sz w:val="32"/>
          <w:szCs w:val="32"/>
        </w:rPr>
        <w:t>%。</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cs="仿宋"/>
          <w:sz w:val="32"/>
          <w:szCs w:val="32"/>
          <w:lang w:val="en-US" w:eastAsia="zh-CN"/>
        </w:rPr>
        <w:t>8</w:t>
      </w:r>
      <w:r>
        <w:rPr>
          <w:rFonts w:hint="eastAsia" w:ascii="仿宋" w:hAnsi="仿宋" w:eastAsia="仿宋" w:cs="仿宋"/>
          <w:sz w:val="32"/>
          <w:szCs w:val="32"/>
          <w:lang w:val="en-US" w:eastAsia="zh-CN"/>
        </w:rPr>
        <w:t>）</w:t>
      </w:r>
      <w:r>
        <w:rPr>
          <w:rFonts w:hint="eastAsia" w:ascii="仿宋" w:hAnsi="仿宋" w:eastAsia="仿宋" w:cs="仿宋"/>
          <w:sz w:val="32"/>
          <w:szCs w:val="32"/>
        </w:rPr>
        <w:t>卫生健康</w:t>
      </w:r>
      <w:r>
        <w:rPr>
          <w:rFonts w:hint="eastAsia" w:cs="仿宋"/>
          <w:sz w:val="32"/>
          <w:szCs w:val="32"/>
          <w:lang w:val="en-US" w:eastAsia="zh-CN"/>
        </w:rPr>
        <w:t>1125</w:t>
      </w:r>
      <w:r>
        <w:rPr>
          <w:rFonts w:hint="eastAsia" w:ascii="仿宋" w:hAnsi="仿宋" w:eastAsia="仿宋" w:cs="仿宋"/>
          <w:sz w:val="32"/>
          <w:szCs w:val="32"/>
        </w:rPr>
        <w:t>万元，下降</w:t>
      </w:r>
      <w:r>
        <w:rPr>
          <w:rFonts w:hint="eastAsia" w:cs="仿宋"/>
          <w:sz w:val="32"/>
          <w:szCs w:val="32"/>
          <w:lang w:val="en-US" w:eastAsia="zh-CN"/>
        </w:rPr>
        <w:t>57.43</w:t>
      </w:r>
      <w:r>
        <w:rPr>
          <w:rFonts w:hint="eastAsia" w:ascii="仿宋" w:hAnsi="仿宋" w:eastAsia="仿宋" w:cs="仿宋"/>
          <w:sz w:val="32"/>
          <w:szCs w:val="32"/>
        </w:rPr>
        <w:t>%。</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cs="仿宋"/>
          <w:sz w:val="32"/>
          <w:szCs w:val="32"/>
          <w:lang w:val="en-US" w:eastAsia="zh-CN"/>
        </w:rPr>
        <w:t>9</w:t>
      </w:r>
      <w:r>
        <w:rPr>
          <w:rFonts w:hint="eastAsia" w:ascii="仿宋" w:hAnsi="仿宋" w:eastAsia="仿宋" w:cs="仿宋"/>
          <w:sz w:val="32"/>
          <w:szCs w:val="32"/>
          <w:lang w:val="en-US" w:eastAsia="zh-CN"/>
        </w:rPr>
        <w:t>）</w:t>
      </w:r>
      <w:r>
        <w:rPr>
          <w:rFonts w:hint="eastAsia" w:ascii="仿宋" w:hAnsi="仿宋" w:eastAsia="仿宋" w:cs="仿宋"/>
          <w:sz w:val="32"/>
          <w:szCs w:val="32"/>
        </w:rPr>
        <w:t>节能环保</w:t>
      </w:r>
      <w:r>
        <w:rPr>
          <w:rFonts w:hint="eastAsia" w:cs="仿宋"/>
          <w:sz w:val="32"/>
          <w:szCs w:val="32"/>
          <w:lang w:val="en-US" w:eastAsia="zh-CN"/>
        </w:rPr>
        <w:t>10890</w:t>
      </w:r>
      <w:r>
        <w:rPr>
          <w:rFonts w:hint="eastAsia" w:ascii="仿宋" w:hAnsi="仿宋" w:eastAsia="仿宋" w:cs="仿宋"/>
          <w:sz w:val="32"/>
          <w:szCs w:val="32"/>
        </w:rPr>
        <w:t>万元，</w:t>
      </w:r>
      <w:r>
        <w:rPr>
          <w:rFonts w:hint="eastAsia" w:cs="仿宋"/>
          <w:sz w:val="32"/>
          <w:szCs w:val="32"/>
          <w:lang w:eastAsia="zh-CN"/>
        </w:rPr>
        <w:t>增长</w:t>
      </w:r>
      <w:r>
        <w:rPr>
          <w:rFonts w:hint="eastAsia" w:cs="仿宋"/>
          <w:sz w:val="32"/>
          <w:szCs w:val="32"/>
          <w:lang w:val="en-US" w:eastAsia="zh-CN"/>
        </w:rPr>
        <w:t>20.58</w:t>
      </w:r>
      <w:r>
        <w:rPr>
          <w:rFonts w:hint="eastAsia" w:ascii="仿宋" w:hAnsi="仿宋" w:eastAsia="仿宋" w:cs="仿宋"/>
          <w:sz w:val="32"/>
          <w:szCs w:val="32"/>
        </w:rPr>
        <w:t>%。</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cs="仿宋"/>
          <w:sz w:val="32"/>
          <w:szCs w:val="32"/>
          <w:lang w:val="en-US" w:eastAsia="zh-CN"/>
        </w:rPr>
        <w:t>10</w:t>
      </w:r>
      <w:r>
        <w:rPr>
          <w:rFonts w:hint="eastAsia" w:ascii="仿宋" w:hAnsi="仿宋" w:eastAsia="仿宋" w:cs="仿宋"/>
          <w:sz w:val="32"/>
          <w:szCs w:val="32"/>
          <w:lang w:val="en-US" w:eastAsia="zh-CN"/>
        </w:rPr>
        <w:t>）</w:t>
      </w:r>
      <w:r>
        <w:rPr>
          <w:rFonts w:hint="eastAsia" w:ascii="仿宋" w:hAnsi="仿宋" w:eastAsia="仿宋" w:cs="仿宋"/>
          <w:sz w:val="32"/>
          <w:szCs w:val="32"/>
        </w:rPr>
        <w:t>城乡社区</w:t>
      </w:r>
      <w:r>
        <w:rPr>
          <w:rFonts w:hint="eastAsia" w:cs="仿宋"/>
          <w:sz w:val="32"/>
          <w:szCs w:val="32"/>
          <w:lang w:val="en-US" w:eastAsia="zh-CN"/>
        </w:rPr>
        <w:t>1213</w:t>
      </w:r>
      <w:r>
        <w:rPr>
          <w:rFonts w:hint="eastAsia" w:ascii="仿宋" w:hAnsi="仿宋" w:eastAsia="仿宋" w:cs="仿宋"/>
          <w:sz w:val="32"/>
          <w:szCs w:val="32"/>
        </w:rPr>
        <w:t>万元，</w:t>
      </w:r>
      <w:r>
        <w:rPr>
          <w:rFonts w:hint="eastAsia" w:cs="仿宋"/>
          <w:sz w:val="32"/>
          <w:szCs w:val="32"/>
          <w:lang w:eastAsia="zh-CN"/>
        </w:rPr>
        <w:t>增长</w:t>
      </w:r>
      <w:r>
        <w:rPr>
          <w:rFonts w:hint="eastAsia" w:cs="仿宋"/>
          <w:sz w:val="32"/>
          <w:szCs w:val="32"/>
          <w:lang w:val="en-US" w:eastAsia="zh-CN"/>
        </w:rPr>
        <w:t>324.13</w:t>
      </w:r>
      <w:r>
        <w:rPr>
          <w:rFonts w:hint="eastAsia" w:ascii="仿宋" w:hAnsi="仿宋" w:eastAsia="仿宋" w:cs="仿宋"/>
          <w:sz w:val="32"/>
          <w:szCs w:val="32"/>
        </w:rPr>
        <w:t>%。</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cs="仿宋"/>
          <w:sz w:val="32"/>
          <w:szCs w:val="32"/>
          <w:lang w:val="en-US" w:eastAsia="zh-CN"/>
        </w:rPr>
        <w:t>1</w:t>
      </w:r>
      <w:r>
        <w:rPr>
          <w:rFonts w:hint="eastAsia" w:ascii="仿宋" w:hAnsi="仿宋" w:eastAsia="仿宋" w:cs="仿宋"/>
          <w:sz w:val="32"/>
          <w:szCs w:val="32"/>
          <w:lang w:val="en-US" w:eastAsia="zh-CN"/>
        </w:rPr>
        <w:t>）</w:t>
      </w:r>
      <w:r>
        <w:rPr>
          <w:rFonts w:hint="eastAsia" w:ascii="仿宋" w:hAnsi="仿宋" w:eastAsia="仿宋" w:cs="仿宋"/>
          <w:sz w:val="32"/>
          <w:szCs w:val="32"/>
        </w:rPr>
        <w:t>农林水</w:t>
      </w:r>
      <w:r>
        <w:rPr>
          <w:rFonts w:hint="eastAsia" w:cs="仿宋"/>
          <w:sz w:val="32"/>
          <w:szCs w:val="32"/>
          <w:lang w:val="en-US" w:eastAsia="zh-CN"/>
        </w:rPr>
        <w:t>29609</w:t>
      </w:r>
      <w:r>
        <w:rPr>
          <w:rFonts w:hint="eastAsia" w:ascii="仿宋" w:hAnsi="仿宋" w:eastAsia="仿宋" w:cs="仿宋"/>
          <w:sz w:val="32"/>
          <w:szCs w:val="32"/>
        </w:rPr>
        <w:t>万元，下降</w:t>
      </w:r>
      <w:r>
        <w:rPr>
          <w:rFonts w:hint="eastAsia" w:cs="仿宋"/>
          <w:sz w:val="32"/>
          <w:szCs w:val="32"/>
          <w:lang w:val="en-US" w:eastAsia="zh-CN"/>
        </w:rPr>
        <w:t>28.05</w:t>
      </w:r>
      <w:r>
        <w:rPr>
          <w:rFonts w:hint="eastAsia" w:ascii="仿宋" w:hAnsi="仿宋" w:eastAsia="仿宋" w:cs="仿宋"/>
          <w:sz w:val="32"/>
          <w:szCs w:val="32"/>
        </w:rPr>
        <w:t xml:space="preserve">%。 </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cs="仿宋"/>
          <w:sz w:val="32"/>
          <w:szCs w:val="32"/>
          <w:lang w:val="en-US" w:eastAsia="zh-CN"/>
        </w:rPr>
        <w:t>2</w:t>
      </w:r>
      <w:r>
        <w:rPr>
          <w:rFonts w:hint="eastAsia" w:ascii="仿宋" w:hAnsi="仿宋" w:eastAsia="仿宋" w:cs="仿宋"/>
          <w:sz w:val="32"/>
          <w:szCs w:val="32"/>
          <w:lang w:val="en-US" w:eastAsia="zh-CN"/>
        </w:rPr>
        <w:t>）</w:t>
      </w:r>
      <w:r>
        <w:rPr>
          <w:rFonts w:hint="eastAsia" w:ascii="仿宋" w:hAnsi="仿宋" w:eastAsia="仿宋" w:cs="仿宋"/>
          <w:sz w:val="32"/>
          <w:szCs w:val="32"/>
        </w:rPr>
        <w:t>交通运输</w:t>
      </w:r>
      <w:r>
        <w:rPr>
          <w:rFonts w:hint="eastAsia" w:cs="仿宋"/>
          <w:sz w:val="32"/>
          <w:szCs w:val="32"/>
          <w:lang w:val="en-US" w:eastAsia="zh-CN"/>
        </w:rPr>
        <w:t>10855</w:t>
      </w:r>
      <w:r>
        <w:rPr>
          <w:rFonts w:hint="eastAsia" w:ascii="仿宋" w:hAnsi="仿宋" w:eastAsia="仿宋" w:cs="仿宋"/>
          <w:sz w:val="32"/>
          <w:szCs w:val="32"/>
        </w:rPr>
        <w:t>万元，</w:t>
      </w:r>
      <w:r>
        <w:rPr>
          <w:rFonts w:hint="eastAsia" w:cs="仿宋"/>
          <w:sz w:val="32"/>
          <w:szCs w:val="32"/>
          <w:lang w:eastAsia="zh-CN"/>
        </w:rPr>
        <w:t>增长</w:t>
      </w:r>
      <w:r>
        <w:rPr>
          <w:rFonts w:hint="eastAsia" w:cs="仿宋"/>
          <w:sz w:val="32"/>
          <w:szCs w:val="32"/>
          <w:lang w:val="en-US" w:eastAsia="zh-CN"/>
        </w:rPr>
        <w:t>147.83</w:t>
      </w:r>
      <w:r>
        <w:rPr>
          <w:rFonts w:hint="eastAsia" w:ascii="仿宋" w:hAnsi="仿宋" w:eastAsia="仿宋" w:cs="仿宋"/>
          <w:sz w:val="32"/>
          <w:szCs w:val="32"/>
        </w:rPr>
        <w:t>%。</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cs="仿宋"/>
          <w:sz w:val="32"/>
          <w:szCs w:val="32"/>
          <w:lang w:val="en-US" w:eastAsia="zh-CN"/>
        </w:rPr>
        <w:t>3</w:t>
      </w:r>
      <w:r>
        <w:rPr>
          <w:rFonts w:hint="eastAsia" w:ascii="仿宋" w:hAnsi="仿宋" w:eastAsia="仿宋" w:cs="仿宋"/>
          <w:sz w:val="32"/>
          <w:szCs w:val="32"/>
          <w:lang w:val="en-US" w:eastAsia="zh-CN"/>
        </w:rPr>
        <w:t>）</w:t>
      </w:r>
      <w:r>
        <w:rPr>
          <w:rFonts w:hint="eastAsia" w:ascii="仿宋" w:hAnsi="仿宋" w:eastAsia="仿宋" w:cs="仿宋"/>
          <w:sz w:val="32"/>
          <w:szCs w:val="32"/>
        </w:rPr>
        <w:t>资源勘探信息等1</w:t>
      </w:r>
      <w:r>
        <w:rPr>
          <w:rFonts w:hint="eastAsia" w:cs="仿宋"/>
          <w:sz w:val="32"/>
          <w:szCs w:val="32"/>
          <w:lang w:val="en-US" w:eastAsia="zh-CN"/>
        </w:rPr>
        <w:t>152</w:t>
      </w:r>
      <w:r>
        <w:rPr>
          <w:rFonts w:hint="eastAsia" w:ascii="仿宋" w:hAnsi="仿宋" w:eastAsia="仿宋" w:cs="仿宋"/>
          <w:sz w:val="32"/>
          <w:szCs w:val="32"/>
        </w:rPr>
        <w:t>万元，</w:t>
      </w:r>
      <w:r>
        <w:rPr>
          <w:rFonts w:hint="eastAsia" w:cs="仿宋"/>
          <w:sz w:val="32"/>
          <w:szCs w:val="32"/>
          <w:lang w:eastAsia="zh-CN"/>
        </w:rPr>
        <w:t>下降</w:t>
      </w:r>
      <w:r>
        <w:rPr>
          <w:rFonts w:hint="eastAsia" w:cs="仿宋"/>
          <w:sz w:val="32"/>
          <w:szCs w:val="32"/>
          <w:lang w:val="en-US" w:eastAsia="zh-CN"/>
        </w:rPr>
        <w:t>24.95</w:t>
      </w:r>
      <w:r>
        <w:rPr>
          <w:rFonts w:hint="eastAsia" w:ascii="仿宋" w:hAnsi="仿宋" w:eastAsia="仿宋" w:cs="仿宋"/>
          <w:sz w:val="32"/>
          <w:szCs w:val="32"/>
        </w:rPr>
        <w:t>%。</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cs="仿宋"/>
          <w:sz w:val="32"/>
          <w:szCs w:val="32"/>
          <w:lang w:val="en-US" w:eastAsia="zh-CN"/>
        </w:rPr>
        <w:t>4</w:t>
      </w:r>
      <w:r>
        <w:rPr>
          <w:rFonts w:hint="eastAsia" w:ascii="仿宋" w:hAnsi="仿宋" w:eastAsia="仿宋" w:cs="仿宋"/>
          <w:sz w:val="32"/>
          <w:szCs w:val="32"/>
          <w:lang w:val="en-US" w:eastAsia="zh-CN"/>
        </w:rPr>
        <w:t>）</w:t>
      </w:r>
      <w:r>
        <w:rPr>
          <w:rFonts w:hint="eastAsia" w:ascii="仿宋" w:hAnsi="仿宋" w:eastAsia="仿宋" w:cs="仿宋"/>
          <w:sz w:val="32"/>
          <w:szCs w:val="32"/>
        </w:rPr>
        <w:t>商业服务业等</w:t>
      </w:r>
      <w:r>
        <w:rPr>
          <w:rFonts w:hint="eastAsia" w:cs="仿宋"/>
          <w:sz w:val="32"/>
          <w:szCs w:val="32"/>
          <w:lang w:val="en-US" w:eastAsia="zh-CN"/>
        </w:rPr>
        <w:t>267</w:t>
      </w:r>
      <w:r>
        <w:rPr>
          <w:rFonts w:hint="eastAsia" w:ascii="仿宋" w:hAnsi="仿宋" w:eastAsia="仿宋" w:cs="仿宋"/>
          <w:sz w:val="32"/>
          <w:szCs w:val="32"/>
        </w:rPr>
        <w:t>万元，</w:t>
      </w:r>
      <w:r>
        <w:rPr>
          <w:rFonts w:hint="eastAsia" w:cs="仿宋"/>
          <w:sz w:val="32"/>
          <w:szCs w:val="32"/>
          <w:lang w:eastAsia="zh-CN"/>
        </w:rPr>
        <w:t>下降</w:t>
      </w:r>
      <w:r>
        <w:rPr>
          <w:rFonts w:hint="eastAsia" w:cs="仿宋"/>
          <w:sz w:val="32"/>
          <w:szCs w:val="32"/>
          <w:lang w:val="en-US" w:eastAsia="zh-CN"/>
        </w:rPr>
        <w:t>85.74</w:t>
      </w:r>
      <w:r>
        <w:rPr>
          <w:rFonts w:hint="eastAsia" w:ascii="仿宋" w:hAnsi="仿宋" w:eastAsia="仿宋" w:cs="仿宋"/>
          <w:sz w:val="32"/>
          <w:szCs w:val="32"/>
        </w:rPr>
        <w:t>%。</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cs="仿宋"/>
          <w:sz w:val="32"/>
          <w:szCs w:val="32"/>
          <w:lang w:val="en-US" w:eastAsia="zh-CN"/>
        </w:rPr>
        <w:t>5</w:t>
      </w:r>
      <w:r>
        <w:rPr>
          <w:rFonts w:hint="eastAsia" w:ascii="仿宋" w:hAnsi="仿宋" w:eastAsia="仿宋" w:cs="仿宋"/>
          <w:sz w:val="32"/>
          <w:szCs w:val="32"/>
          <w:lang w:val="en-US" w:eastAsia="zh-CN"/>
        </w:rPr>
        <w:t>）</w:t>
      </w:r>
      <w:r>
        <w:rPr>
          <w:rFonts w:hint="eastAsia" w:ascii="仿宋" w:hAnsi="仿宋" w:eastAsia="仿宋" w:cs="仿宋"/>
          <w:sz w:val="32"/>
          <w:szCs w:val="32"/>
        </w:rPr>
        <w:t>金融</w:t>
      </w:r>
      <w:r>
        <w:rPr>
          <w:rFonts w:hint="eastAsia" w:cs="仿宋"/>
          <w:sz w:val="32"/>
          <w:szCs w:val="32"/>
          <w:lang w:val="en-US" w:eastAsia="zh-CN"/>
        </w:rPr>
        <w:t>90</w:t>
      </w:r>
      <w:r>
        <w:rPr>
          <w:rFonts w:hint="eastAsia" w:ascii="仿宋" w:hAnsi="仿宋" w:eastAsia="仿宋" w:cs="仿宋"/>
          <w:sz w:val="32"/>
          <w:szCs w:val="32"/>
        </w:rPr>
        <w:t>万元，</w:t>
      </w:r>
      <w:r>
        <w:rPr>
          <w:rFonts w:hint="eastAsia" w:cs="仿宋"/>
          <w:sz w:val="32"/>
          <w:szCs w:val="32"/>
          <w:lang w:eastAsia="zh-CN"/>
        </w:rPr>
        <w:t>下降</w:t>
      </w:r>
      <w:r>
        <w:rPr>
          <w:rFonts w:hint="eastAsia" w:cs="仿宋"/>
          <w:sz w:val="32"/>
          <w:szCs w:val="32"/>
          <w:lang w:val="en-US" w:eastAsia="zh-CN"/>
        </w:rPr>
        <w:t>88.66</w:t>
      </w:r>
      <w:r>
        <w:rPr>
          <w:rFonts w:hint="eastAsia" w:ascii="仿宋" w:hAnsi="仿宋" w:eastAsia="仿宋" w:cs="仿宋"/>
          <w:sz w:val="32"/>
          <w:szCs w:val="32"/>
        </w:rPr>
        <w:t>%。</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cs="仿宋"/>
          <w:sz w:val="32"/>
          <w:szCs w:val="32"/>
          <w:lang w:val="en-US" w:eastAsia="zh-CN"/>
        </w:rPr>
        <w:t>6</w:t>
      </w:r>
      <w:r>
        <w:rPr>
          <w:rFonts w:hint="eastAsia" w:ascii="仿宋" w:hAnsi="仿宋" w:eastAsia="仿宋" w:cs="仿宋"/>
          <w:sz w:val="32"/>
          <w:szCs w:val="32"/>
          <w:lang w:val="en-US" w:eastAsia="zh-CN"/>
        </w:rPr>
        <w:t>）</w:t>
      </w:r>
      <w:r>
        <w:rPr>
          <w:rFonts w:hint="eastAsia" w:ascii="仿宋" w:hAnsi="仿宋" w:eastAsia="仿宋" w:cs="仿宋"/>
          <w:sz w:val="32"/>
          <w:szCs w:val="32"/>
        </w:rPr>
        <w:t>自然资源海洋气象等</w:t>
      </w:r>
      <w:r>
        <w:rPr>
          <w:rFonts w:hint="eastAsia" w:cs="仿宋"/>
          <w:sz w:val="32"/>
          <w:szCs w:val="32"/>
          <w:lang w:val="en-US" w:eastAsia="zh-CN"/>
        </w:rPr>
        <w:t>1891</w:t>
      </w:r>
      <w:r>
        <w:rPr>
          <w:rFonts w:hint="eastAsia" w:ascii="仿宋" w:hAnsi="仿宋" w:eastAsia="仿宋" w:cs="仿宋"/>
          <w:sz w:val="32"/>
          <w:szCs w:val="32"/>
        </w:rPr>
        <w:t>万元，增长</w:t>
      </w:r>
      <w:r>
        <w:rPr>
          <w:rFonts w:hint="eastAsia" w:cs="仿宋"/>
          <w:sz w:val="32"/>
          <w:szCs w:val="32"/>
          <w:lang w:val="en-US" w:eastAsia="zh-CN"/>
        </w:rPr>
        <w:t>159.75</w:t>
      </w:r>
      <w:r>
        <w:rPr>
          <w:rFonts w:hint="eastAsia" w:ascii="仿宋" w:hAnsi="仿宋" w:eastAsia="仿宋" w:cs="仿宋"/>
          <w:sz w:val="32"/>
          <w:szCs w:val="32"/>
        </w:rPr>
        <w:t>%。</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cs="仿宋"/>
          <w:sz w:val="32"/>
          <w:szCs w:val="32"/>
          <w:lang w:val="en-US" w:eastAsia="zh-CN"/>
        </w:rPr>
        <w:t>7</w:t>
      </w:r>
      <w:r>
        <w:rPr>
          <w:rFonts w:hint="eastAsia" w:ascii="仿宋" w:hAnsi="仿宋" w:eastAsia="仿宋" w:cs="仿宋"/>
          <w:sz w:val="32"/>
          <w:szCs w:val="32"/>
          <w:lang w:val="en-US" w:eastAsia="zh-CN"/>
        </w:rPr>
        <w:t>）</w:t>
      </w:r>
      <w:r>
        <w:rPr>
          <w:rFonts w:hint="eastAsia" w:ascii="仿宋" w:hAnsi="仿宋" w:eastAsia="仿宋" w:cs="仿宋"/>
          <w:sz w:val="32"/>
          <w:szCs w:val="32"/>
        </w:rPr>
        <w:t>住房保障</w:t>
      </w:r>
      <w:r>
        <w:rPr>
          <w:rFonts w:hint="eastAsia" w:cs="仿宋"/>
          <w:sz w:val="32"/>
          <w:szCs w:val="32"/>
          <w:lang w:val="en-US" w:eastAsia="zh-CN"/>
        </w:rPr>
        <w:t>3386</w:t>
      </w:r>
      <w:r>
        <w:rPr>
          <w:rFonts w:hint="eastAsia" w:ascii="仿宋" w:hAnsi="仿宋" w:eastAsia="仿宋" w:cs="仿宋"/>
          <w:sz w:val="32"/>
          <w:szCs w:val="32"/>
        </w:rPr>
        <w:t>万元，</w:t>
      </w:r>
      <w:r>
        <w:rPr>
          <w:rFonts w:hint="eastAsia" w:cs="仿宋"/>
          <w:sz w:val="32"/>
          <w:szCs w:val="32"/>
          <w:lang w:eastAsia="zh-CN"/>
        </w:rPr>
        <w:t>下降</w:t>
      </w:r>
      <w:r>
        <w:rPr>
          <w:rFonts w:hint="eastAsia" w:cs="仿宋"/>
          <w:sz w:val="32"/>
          <w:szCs w:val="32"/>
          <w:lang w:val="en-US" w:eastAsia="zh-CN"/>
        </w:rPr>
        <w:t>42.91</w:t>
      </w:r>
      <w:r>
        <w:rPr>
          <w:rFonts w:hint="eastAsia" w:ascii="仿宋" w:hAnsi="仿宋" w:eastAsia="仿宋" w:cs="仿宋"/>
          <w:sz w:val="32"/>
          <w:szCs w:val="32"/>
        </w:rPr>
        <w:t>%。</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cs="仿宋"/>
          <w:sz w:val="32"/>
          <w:szCs w:val="32"/>
          <w:lang w:val="en-US" w:eastAsia="zh-CN"/>
        </w:rPr>
        <w:t>8</w:t>
      </w:r>
      <w:r>
        <w:rPr>
          <w:rFonts w:hint="eastAsia" w:ascii="仿宋" w:hAnsi="仿宋" w:eastAsia="仿宋" w:cs="仿宋"/>
          <w:sz w:val="32"/>
          <w:szCs w:val="32"/>
          <w:lang w:val="en-US" w:eastAsia="zh-CN"/>
        </w:rPr>
        <w:t>）</w:t>
      </w:r>
      <w:r>
        <w:rPr>
          <w:rFonts w:hint="eastAsia" w:ascii="仿宋" w:hAnsi="仿宋" w:eastAsia="仿宋" w:cs="仿宋"/>
          <w:sz w:val="32"/>
          <w:szCs w:val="32"/>
        </w:rPr>
        <w:t>粮油物资储备</w:t>
      </w:r>
      <w:r>
        <w:rPr>
          <w:rFonts w:hint="eastAsia" w:cs="仿宋"/>
          <w:sz w:val="32"/>
          <w:szCs w:val="32"/>
          <w:lang w:val="en-US" w:eastAsia="zh-CN"/>
        </w:rPr>
        <w:t>194</w:t>
      </w:r>
      <w:r>
        <w:rPr>
          <w:rFonts w:hint="eastAsia" w:ascii="仿宋" w:hAnsi="仿宋" w:eastAsia="仿宋" w:cs="仿宋"/>
          <w:sz w:val="32"/>
          <w:szCs w:val="32"/>
        </w:rPr>
        <w:t>万元，下降</w:t>
      </w:r>
      <w:r>
        <w:rPr>
          <w:rFonts w:hint="eastAsia" w:cs="仿宋"/>
          <w:sz w:val="32"/>
          <w:szCs w:val="32"/>
          <w:lang w:val="en-US" w:eastAsia="zh-CN"/>
        </w:rPr>
        <w:t>35.97</w:t>
      </w:r>
      <w:r>
        <w:rPr>
          <w:rFonts w:hint="eastAsia" w:ascii="仿宋" w:hAnsi="仿宋" w:eastAsia="仿宋" w:cs="仿宋"/>
          <w:sz w:val="32"/>
          <w:szCs w:val="32"/>
        </w:rPr>
        <w:t xml:space="preserve">%。 </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cs="仿宋"/>
          <w:sz w:val="32"/>
          <w:szCs w:val="32"/>
          <w:lang w:val="en-US" w:eastAsia="zh-CN"/>
        </w:rPr>
        <w:t>9</w:t>
      </w:r>
      <w:r>
        <w:rPr>
          <w:rFonts w:hint="eastAsia" w:ascii="仿宋" w:hAnsi="仿宋" w:eastAsia="仿宋" w:cs="仿宋"/>
          <w:sz w:val="32"/>
          <w:szCs w:val="32"/>
          <w:lang w:val="en-US" w:eastAsia="zh-CN"/>
        </w:rPr>
        <w:t>）</w:t>
      </w:r>
      <w:r>
        <w:rPr>
          <w:rFonts w:hint="eastAsia" w:ascii="仿宋" w:hAnsi="仿宋" w:eastAsia="仿宋" w:cs="仿宋"/>
          <w:sz w:val="32"/>
          <w:szCs w:val="32"/>
        </w:rPr>
        <w:t>灾害防治及应急管理</w:t>
      </w:r>
      <w:r>
        <w:rPr>
          <w:rFonts w:hint="eastAsia" w:cs="仿宋"/>
          <w:sz w:val="32"/>
          <w:szCs w:val="32"/>
          <w:lang w:val="en-US" w:eastAsia="zh-CN"/>
        </w:rPr>
        <w:t>173</w:t>
      </w:r>
      <w:r>
        <w:rPr>
          <w:rFonts w:hint="eastAsia" w:ascii="仿宋" w:hAnsi="仿宋" w:eastAsia="仿宋" w:cs="仿宋"/>
          <w:sz w:val="32"/>
          <w:szCs w:val="32"/>
        </w:rPr>
        <w:t>万元，</w:t>
      </w:r>
      <w:r>
        <w:rPr>
          <w:rFonts w:hint="eastAsia" w:cs="仿宋"/>
          <w:sz w:val="32"/>
          <w:szCs w:val="32"/>
          <w:lang w:eastAsia="zh-CN"/>
        </w:rPr>
        <w:t>下降</w:t>
      </w:r>
      <w:r>
        <w:rPr>
          <w:rFonts w:hint="eastAsia" w:cs="仿宋"/>
          <w:sz w:val="32"/>
          <w:szCs w:val="32"/>
          <w:lang w:val="en-US" w:eastAsia="zh-CN"/>
        </w:rPr>
        <w:t>70.27%</w:t>
      </w:r>
      <w:r>
        <w:rPr>
          <w:rFonts w:hint="eastAsia" w:ascii="仿宋" w:hAnsi="仿宋" w:eastAsia="仿宋" w:cs="仿宋"/>
          <w:sz w:val="32"/>
          <w:szCs w:val="32"/>
        </w:rPr>
        <w:t>。</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cs="仿宋"/>
          <w:sz w:val="32"/>
          <w:szCs w:val="32"/>
          <w:lang w:val="en-US" w:eastAsia="zh-CN"/>
        </w:rPr>
        <w:t>20</w:t>
      </w:r>
      <w:r>
        <w:rPr>
          <w:rFonts w:hint="eastAsia" w:ascii="仿宋" w:hAnsi="仿宋" w:eastAsia="仿宋" w:cs="仿宋"/>
          <w:sz w:val="32"/>
          <w:szCs w:val="32"/>
          <w:lang w:val="en-US" w:eastAsia="zh-CN"/>
        </w:rPr>
        <w:t>）</w:t>
      </w:r>
      <w:r>
        <w:rPr>
          <w:rFonts w:hint="eastAsia" w:ascii="仿宋" w:hAnsi="仿宋" w:eastAsia="仿宋" w:cs="仿宋"/>
          <w:sz w:val="32"/>
          <w:szCs w:val="32"/>
        </w:rPr>
        <w:t>其他收入</w:t>
      </w:r>
      <w:r>
        <w:rPr>
          <w:rFonts w:hint="eastAsia" w:cs="仿宋"/>
          <w:sz w:val="32"/>
          <w:szCs w:val="32"/>
          <w:lang w:val="en-US" w:eastAsia="zh-CN"/>
        </w:rPr>
        <w:t>0</w:t>
      </w:r>
      <w:r>
        <w:rPr>
          <w:rFonts w:hint="eastAsia" w:ascii="仿宋" w:hAnsi="仿宋" w:eastAsia="仿宋" w:cs="仿宋"/>
          <w:sz w:val="32"/>
          <w:szCs w:val="32"/>
        </w:rPr>
        <w:t>万元，</w:t>
      </w:r>
      <w:r>
        <w:rPr>
          <w:rFonts w:hint="eastAsia" w:cs="仿宋"/>
          <w:sz w:val="32"/>
          <w:szCs w:val="32"/>
          <w:lang w:eastAsia="zh-CN"/>
        </w:rPr>
        <w:t>下降</w:t>
      </w:r>
      <w:r>
        <w:rPr>
          <w:rFonts w:hint="eastAsia" w:cs="仿宋"/>
          <w:sz w:val="32"/>
          <w:szCs w:val="32"/>
          <w:lang w:val="en-US" w:eastAsia="zh-CN"/>
        </w:rPr>
        <w:t>100</w:t>
      </w:r>
      <w:r>
        <w:rPr>
          <w:rFonts w:hint="eastAsia" w:ascii="仿宋" w:hAnsi="仿宋" w:eastAsia="仿宋" w:cs="仿宋"/>
          <w:sz w:val="32"/>
          <w:szCs w:val="32"/>
        </w:rPr>
        <w:t>%。</w:t>
      </w:r>
    </w:p>
    <w:p>
      <w:pPr>
        <w:numPr>
          <w:ilvl w:val="0"/>
          <w:numId w:val="0"/>
        </w:numPr>
        <w:rPr>
          <w:rFonts w:hint="eastAsia" w:ascii="仿宋" w:hAnsi="仿宋" w:eastAsia="仿宋" w:cs="仿宋"/>
          <w:sz w:val="32"/>
          <w:szCs w:val="32"/>
          <w:lang w:eastAsia="zh-CN"/>
        </w:rPr>
      </w:pPr>
      <w:r>
        <w:rPr>
          <w:rFonts w:hint="eastAsia" w:ascii="仿宋" w:hAnsi="仿宋" w:eastAsia="仿宋" w:cs="仿宋"/>
          <w:sz w:val="32"/>
          <w:szCs w:val="32"/>
          <w:lang w:eastAsia="zh-CN"/>
        </w:rPr>
        <w:drawing>
          <wp:anchor distT="0" distB="0" distL="114300" distR="114300" simplePos="0" relativeHeight="251665408" behindDoc="0" locked="0" layoutInCell="1" allowOverlap="1">
            <wp:simplePos x="0" y="0"/>
            <wp:positionH relativeFrom="column">
              <wp:posOffset>-330200</wp:posOffset>
            </wp:positionH>
            <wp:positionV relativeFrom="page">
              <wp:posOffset>2251075</wp:posOffset>
            </wp:positionV>
            <wp:extent cx="6084570" cy="4464050"/>
            <wp:effectExtent l="5080" t="4445" r="6350" b="825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numPr>
          <w:ilvl w:val="0"/>
          <w:numId w:val="0"/>
        </w:numPr>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（二）政府性基金预算转移支付</w:t>
      </w:r>
    </w:p>
    <w:p>
      <w:pPr>
        <w:widowControl w:val="0"/>
        <w:numPr>
          <w:ilvl w:val="0"/>
          <w:numId w:val="0"/>
        </w:numPr>
        <w:ind w:firstLine="640" w:firstLineChars="200"/>
        <w:jc w:val="both"/>
        <w:rPr>
          <w:rFonts w:hint="eastAsia"/>
          <w:lang w:val="en-US" w:eastAsia="zh-CN"/>
        </w:rPr>
      </w:pPr>
      <w:r>
        <w:rPr>
          <w:rFonts w:hint="eastAsia" w:ascii="仿宋" w:hAnsi="仿宋" w:eastAsia="仿宋" w:cs="仿宋"/>
          <w:sz w:val="32"/>
          <w:szCs w:val="32"/>
          <w:lang w:val="en-US" w:eastAsia="zh-CN"/>
        </w:rPr>
        <w:t>202</w:t>
      </w:r>
      <w:r>
        <w:rPr>
          <w:rFonts w:hint="eastAsia" w:cs="仿宋"/>
          <w:sz w:val="32"/>
          <w:szCs w:val="32"/>
          <w:lang w:val="en-US" w:eastAsia="zh-CN"/>
        </w:rPr>
        <w:t>1</w:t>
      </w:r>
      <w:r>
        <w:rPr>
          <w:rFonts w:hint="eastAsia" w:ascii="仿宋" w:hAnsi="仿宋" w:eastAsia="仿宋" w:cs="仿宋"/>
          <w:sz w:val="32"/>
          <w:szCs w:val="32"/>
          <w:lang w:val="en-US" w:eastAsia="zh-CN"/>
        </w:rPr>
        <w:t>年，我县收到上级下达的政府性基金预算转移支付共</w:t>
      </w:r>
      <w:r>
        <w:rPr>
          <w:rFonts w:hint="eastAsia" w:cs="仿宋"/>
          <w:sz w:val="32"/>
          <w:szCs w:val="32"/>
          <w:lang w:val="en-US" w:eastAsia="zh-CN"/>
        </w:rPr>
        <w:t>5309</w:t>
      </w:r>
      <w:r>
        <w:rPr>
          <w:rFonts w:hint="eastAsia" w:ascii="仿宋" w:hAnsi="仿宋" w:eastAsia="仿宋" w:cs="仿宋"/>
          <w:sz w:val="32"/>
          <w:szCs w:val="32"/>
          <w:lang w:val="en-US" w:eastAsia="zh-CN"/>
        </w:rPr>
        <w:t>万元，比上年</w:t>
      </w:r>
      <w:r>
        <w:rPr>
          <w:rFonts w:hint="eastAsia" w:cs="仿宋"/>
          <w:sz w:val="32"/>
          <w:szCs w:val="32"/>
          <w:lang w:val="en-US" w:eastAsia="zh-CN"/>
        </w:rPr>
        <w:t>减少5813</w:t>
      </w:r>
      <w:r>
        <w:rPr>
          <w:rFonts w:hint="eastAsia" w:ascii="仿宋" w:hAnsi="仿宋" w:eastAsia="仿宋" w:cs="仿宋"/>
          <w:sz w:val="32"/>
          <w:szCs w:val="32"/>
          <w:lang w:val="en-US" w:eastAsia="zh-CN"/>
        </w:rPr>
        <w:t>万元，</w:t>
      </w:r>
      <w:r>
        <w:rPr>
          <w:rFonts w:hint="eastAsia" w:cs="仿宋"/>
          <w:sz w:val="32"/>
          <w:szCs w:val="32"/>
          <w:lang w:val="en-US" w:eastAsia="zh-CN"/>
        </w:rPr>
        <w:t>下降52.27</w:t>
      </w:r>
      <w:r>
        <w:rPr>
          <w:rFonts w:hint="eastAsia" w:ascii="仿宋" w:hAnsi="仿宋" w:eastAsia="仿宋" w:cs="仿宋"/>
          <w:sz w:val="32"/>
          <w:szCs w:val="32"/>
          <w:lang w:val="en-US" w:eastAsia="zh-CN"/>
        </w:rPr>
        <w:t>%，主要是因为：一是因疫情</w:t>
      </w:r>
      <w:r>
        <w:rPr>
          <w:rFonts w:hint="eastAsia" w:cs="仿宋"/>
          <w:sz w:val="32"/>
          <w:szCs w:val="32"/>
          <w:lang w:val="en-US" w:eastAsia="zh-CN"/>
        </w:rPr>
        <w:t>好转</w:t>
      </w:r>
      <w:r>
        <w:rPr>
          <w:rFonts w:hint="eastAsia" w:ascii="仿宋" w:hAnsi="仿宋" w:eastAsia="仿宋" w:cs="仿宋"/>
          <w:sz w:val="32"/>
          <w:szCs w:val="32"/>
          <w:lang w:val="en-US" w:eastAsia="zh-CN"/>
        </w:rPr>
        <w:t>，上级</w:t>
      </w:r>
      <w:r>
        <w:rPr>
          <w:rFonts w:hint="eastAsia" w:cs="仿宋"/>
          <w:sz w:val="32"/>
          <w:szCs w:val="32"/>
          <w:lang w:val="en-US" w:eastAsia="zh-CN"/>
        </w:rPr>
        <w:t>减少</w:t>
      </w:r>
      <w:r>
        <w:rPr>
          <w:rFonts w:hint="eastAsia" w:ascii="仿宋" w:hAnsi="仿宋" w:eastAsia="仿宋" w:cs="仿宋"/>
          <w:sz w:val="32"/>
          <w:szCs w:val="32"/>
          <w:lang w:val="en-US" w:eastAsia="zh-CN"/>
        </w:rPr>
        <w:t>了</w:t>
      </w:r>
      <w:r>
        <w:rPr>
          <w:rFonts w:hint="eastAsia" w:ascii="仿宋" w:hAnsi="仿宋" w:eastAsia="仿宋" w:cs="仿宋"/>
          <w:kern w:val="2"/>
          <w:sz w:val="32"/>
          <w:szCs w:val="32"/>
          <w:lang w:val="en-US" w:eastAsia="zh-CN" w:bidi="ar-SA"/>
        </w:rPr>
        <w:t>抗疫特别国债的转移支付。具体明细情况如下：</w:t>
      </w:r>
    </w:p>
    <w:p>
      <w:pPr>
        <w:numPr>
          <w:ilvl w:val="0"/>
          <w:numId w:val="2"/>
        </w:numPr>
        <w:bidi w:val="0"/>
        <w:rPr>
          <w:rFonts w:hint="eastAsia"/>
          <w:lang w:val="en-US" w:eastAsia="zh-CN"/>
        </w:rPr>
      </w:pPr>
      <w:r>
        <w:rPr>
          <w:rFonts w:hint="eastAsia"/>
          <w:lang w:val="en-US" w:eastAsia="zh-CN"/>
        </w:rPr>
        <w:t>国家电影事业发展专项资金相关收入50万元，增长      400%。</w:t>
      </w:r>
    </w:p>
    <w:p>
      <w:pPr>
        <w:numPr>
          <w:ilvl w:val="0"/>
          <w:numId w:val="2"/>
        </w:numPr>
        <w:bidi w:val="0"/>
        <w:rPr>
          <w:rFonts w:hint="eastAsia"/>
          <w:lang w:val="en-US" w:eastAsia="zh-CN"/>
        </w:rPr>
      </w:pPr>
      <w:r>
        <w:rPr>
          <w:rFonts w:hint="eastAsia"/>
          <w:lang w:val="en-US" w:eastAsia="zh-CN"/>
        </w:rPr>
        <w:t>大中型水库移民后期扶持基金收入132万元，下降 39.73%。</w:t>
      </w:r>
    </w:p>
    <w:p>
      <w:pPr>
        <w:numPr>
          <w:ilvl w:val="0"/>
          <w:numId w:val="2"/>
        </w:numPr>
        <w:bidi w:val="0"/>
        <w:rPr>
          <w:rFonts w:hint="eastAsia"/>
          <w:lang w:val="en-US" w:eastAsia="zh-CN"/>
        </w:rPr>
      </w:pPr>
      <w:r>
        <w:rPr>
          <w:rFonts w:hint="eastAsia"/>
          <w:lang w:val="en-US" w:eastAsia="zh-CN"/>
        </w:rPr>
        <w:t>城市基础设施配套费相关收入13万，新增项目。</w:t>
      </w:r>
    </w:p>
    <w:p>
      <w:pPr>
        <w:numPr>
          <w:ilvl w:val="0"/>
          <w:numId w:val="2"/>
        </w:numPr>
        <w:bidi w:val="0"/>
        <w:rPr>
          <w:rFonts w:hint="eastAsia"/>
          <w:lang w:val="en-US" w:eastAsia="zh-CN"/>
        </w:rPr>
      </w:pPr>
      <w:r>
        <w:rPr>
          <w:rFonts w:hint="eastAsia"/>
          <w:lang w:val="en-US" w:eastAsia="zh-CN"/>
        </w:rPr>
        <w:t>国家重大水利工程建设基金相关收入3680万元，增长59.1%。</w:t>
      </w:r>
    </w:p>
    <w:p>
      <w:pPr>
        <w:numPr>
          <w:ilvl w:val="0"/>
          <w:numId w:val="2"/>
        </w:numPr>
        <w:bidi w:val="0"/>
        <w:rPr>
          <w:rFonts w:hint="default"/>
          <w:lang w:val="en-US" w:eastAsia="zh-CN"/>
        </w:rPr>
      </w:pPr>
      <w:r>
        <w:rPr>
          <w:rFonts w:hint="default"/>
          <w:lang w:val="en-US" w:eastAsia="zh-CN"/>
        </w:rPr>
        <w:t>彩票发行机构和彩票销售机构的业务费用</w:t>
      </w:r>
      <w:r>
        <w:rPr>
          <w:rFonts w:hint="eastAsia"/>
          <w:lang w:val="en-US" w:eastAsia="zh-CN"/>
        </w:rPr>
        <w:t>28万元，增长64.71%。</w:t>
      </w:r>
    </w:p>
    <w:p>
      <w:pPr>
        <w:numPr>
          <w:ilvl w:val="0"/>
          <w:numId w:val="2"/>
        </w:numPr>
        <w:bidi w:val="0"/>
        <w:rPr>
          <w:rFonts w:hint="eastAsia"/>
          <w:lang w:val="en-US" w:eastAsia="zh-CN"/>
        </w:rPr>
      </w:pPr>
      <w:r>
        <w:rPr>
          <w:rFonts w:hint="eastAsia"/>
          <w:lang w:val="en-US" w:eastAsia="zh-CN"/>
        </w:rPr>
        <w:t>彩票公益金收入1406万元，增长62.92%。</w:t>
      </w:r>
    </w:p>
    <w:p>
      <w:pPr>
        <w:numPr>
          <w:ilvl w:val="0"/>
          <w:numId w:val="2"/>
        </w:numPr>
        <w:bidi w:val="0"/>
        <w:rPr>
          <w:rFonts w:hint="default" w:ascii="仿宋" w:hAnsi="仿宋" w:eastAsia="仿宋" w:cs="仿宋"/>
          <w:szCs w:val="32"/>
          <w:lang w:val="en-US" w:eastAsia="zh-CN"/>
        </w:rPr>
      </w:pPr>
      <w:r>
        <w:rPr>
          <w:rFonts w:hint="eastAsia"/>
          <w:lang w:val="en-US" w:eastAsia="zh-CN"/>
        </w:rPr>
        <w:t>抗疫特别国债收入0万元，下降100%。</w:t>
      </w:r>
    </w:p>
    <w:p>
      <w:pPr>
        <w:pStyle w:val="4"/>
        <w:keepNext w:val="0"/>
        <w:keepLines w:val="0"/>
        <w:pageBreakBefore w:val="0"/>
        <w:widowControl w:val="0"/>
        <w:kinsoku/>
        <w:wordWrap/>
        <w:overflowPunct/>
        <w:topLinePunct w:val="0"/>
        <w:autoSpaceDE/>
        <w:autoSpaceDN/>
        <w:bidi w:val="0"/>
        <w:adjustRightInd/>
        <w:ind w:left="-960" w:leftChars="-3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drawing>
          <wp:anchor distT="0" distB="0" distL="114300" distR="114300" simplePos="0" relativeHeight="251666432" behindDoc="0" locked="0" layoutInCell="1" allowOverlap="1">
            <wp:simplePos x="0" y="0"/>
            <wp:positionH relativeFrom="column">
              <wp:posOffset>-306705</wp:posOffset>
            </wp:positionH>
            <wp:positionV relativeFrom="page">
              <wp:posOffset>5090795</wp:posOffset>
            </wp:positionV>
            <wp:extent cx="5767070" cy="3810000"/>
            <wp:effectExtent l="4445" t="4445" r="19685" b="1460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rPr>
          <w:rFonts w:ascii="宋体" w:hAnsi="宋体" w:eastAsia="宋体" w:cs="宋体"/>
          <w:sz w:val="28"/>
          <w:szCs w:val="28"/>
        </w:rPr>
      </w:pPr>
    </w:p>
    <w:p>
      <w:pPr>
        <w:rPr>
          <w:rFonts w:ascii="宋体" w:hAnsi="宋体" w:eastAsia="宋体" w:cs="宋体"/>
          <w:sz w:val="28"/>
          <w:szCs w:val="28"/>
        </w:rPr>
      </w:pPr>
    </w:p>
    <w:p>
      <w:pPr>
        <w:ind w:left="640" w:leftChars="200"/>
        <w:rPr>
          <w:rFonts w:ascii="宋体" w:hAnsi="宋体" w:eastAsia="宋体" w:cs="宋体"/>
          <w:sz w:val="28"/>
          <w:szCs w:val="28"/>
        </w:rPr>
      </w:pPr>
    </w:p>
    <w:p>
      <w:pPr>
        <w:ind w:left="640" w:leftChars="200"/>
        <w:rPr>
          <w:rFonts w:ascii="宋体" w:hAnsi="宋体" w:eastAsia="宋体" w:cs="宋体"/>
          <w:sz w:val="28"/>
          <w:szCs w:val="28"/>
        </w:rPr>
      </w:pPr>
      <w:r>
        <w:rPr>
          <w:sz w:val="21"/>
        </w:rPr>
        <w:pict>
          <v:shape id="_x0000_s2051" o:spid="_x0000_s2051" o:spt="202" type="#_x0000_t202" style="position:absolute;left:0pt;margin-left:-91.4pt;margin-top:5.85pt;height:124.4pt;width:596.95pt;z-index:251660288;mso-width-relative:page;mso-height-relative:page;" fillcolor="#9DC3E6" filled="t" stroked="t" coordsize="21600,21600">
            <v:path/>
            <v:fill type="gradientRadial" on="t" color2="fill lighten(147)" focus="100%" focussize="0f,0f" focusposition="0f,0f" method="linear sigma">
              <o:fill type="gradientCenter" v:ext="backwardCompatible"/>
            </v:fill>
            <v:stroke color="#FFC000"/>
            <v:imagedata o:title=""/>
            <o:lock v:ext="edit" aspectratio="f"/>
            <v:textbox>
              <w:txbxContent>
                <w:p>
                  <w:pPr>
                    <w:keepNext w:val="0"/>
                    <w:keepLines w:val="0"/>
                    <w:pageBreakBefore w:val="0"/>
                    <w:widowControl w:val="0"/>
                    <w:kinsoku/>
                    <w:wordWrap/>
                    <w:overflowPunct/>
                    <w:topLinePunct w:val="0"/>
                    <w:autoSpaceDE/>
                    <w:autoSpaceDN/>
                    <w:bidi w:val="0"/>
                    <w:adjustRightInd/>
                    <w:snapToGrid/>
                    <w:ind w:firstLine="1084" w:firstLineChars="300"/>
                    <w:jc w:val="left"/>
                    <w:textAlignment w:val="auto"/>
                    <w:rPr>
                      <w:rFonts w:hint="eastAsia" w:ascii="黑体" w:hAnsi="黑体" w:eastAsia="黑体" w:cs="黑体"/>
                      <w:b/>
                      <w:sz w:val="36"/>
                      <w:szCs w:val="36"/>
                    </w:rPr>
                  </w:pPr>
                </w:p>
                <w:p>
                  <w:pPr>
                    <w:keepNext w:val="0"/>
                    <w:keepLines w:val="0"/>
                    <w:pageBreakBefore w:val="0"/>
                    <w:widowControl w:val="0"/>
                    <w:numPr>
                      <w:ilvl w:val="0"/>
                      <w:numId w:val="0"/>
                    </w:numPr>
                    <w:kinsoku/>
                    <w:wordWrap/>
                    <w:overflowPunct/>
                    <w:topLinePunct w:val="0"/>
                    <w:autoSpaceDE/>
                    <w:autoSpaceDN/>
                    <w:bidi w:val="0"/>
                    <w:adjustRightInd/>
                    <w:snapToGrid/>
                    <w:ind w:firstLine="1325" w:firstLineChars="300"/>
                    <w:jc w:val="left"/>
                    <w:textAlignment w:val="auto"/>
                    <w:rPr>
                      <w:rFonts w:hint="eastAsia" w:ascii="黑体" w:hAnsi="黑体" w:eastAsia="黑体" w:cs="黑体"/>
                      <w:b/>
                      <w:sz w:val="44"/>
                      <w:szCs w:val="44"/>
                    </w:rPr>
                  </w:pPr>
                  <w:r>
                    <w:rPr>
                      <w:rFonts w:hint="eastAsia" w:ascii="黑体" w:hAnsi="黑体" w:eastAsia="黑体" w:cs="黑体"/>
                      <w:b/>
                      <w:sz w:val="44"/>
                      <w:szCs w:val="44"/>
                    </w:rPr>
                    <w:t>二、关于202</w:t>
                  </w:r>
                  <w:r>
                    <w:rPr>
                      <w:rFonts w:hint="eastAsia" w:ascii="黑体" w:hAnsi="黑体" w:eastAsia="黑体" w:cs="黑体"/>
                      <w:b/>
                      <w:sz w:val="44"/>
                      <w:szCs w:val="44"/>
                      <w:lang w:val="en-US" w:eastAsia="zh-CN"/>
                    </w:rPr>
                    <w:t>1</w:t>
                  </w:r>
                  <w:r>
                    <w:rPr>
                      <w:rFonts w:hint="eastAsia" w:ascii="黑体" w:hAnsi="黑体" w:eastAsia="黑体" w:cs="黑体"/>
                      <w:b/>
                      <w:sz w:val="44"/>
                      <w:szCs w:val="44"/>
                    </w:rPr>
                    <w:t>年南县“三公”经费支出情况说明</w:t>
                  </w:r>
                </w:p>
                <w:p>
                  <w:pPr>
                    <w:rPr>
                      <w:rFonts w:hint="eastAsia" w:eastAsiaTheme="minorEastAsia"/>
                      <w:lang w:val="en-US" w:eastAsia="zh-CN"/>
                    </w:rPr>
                  </w:pPr>
                  <w:r>
                    <w:rPr>
                      <w:rFonts w:hint="eastAsia"/>
                      <w:lang w:val="en-US" w:eastAsia="zh-CN"/>
                    </w:rPr>
                    <w:t xml:space="preserve"> </w:t>
                  </w:r>
                </w:p>
              </w:txbxContent>
            </v:textbox>
          </v:shape>
        </w:pict>
      </w:r>
    </w:p>
    <w:p>
      <w:pPr>
        <w:ind w:left="640" w:leftChars="200"/>
        <w:rPr>
          <w:rFonts w:ascii="宋体" w:hAnsi="宋体" w:eastAsia="宋体" w:cs="宋体"/>
          <w:sz w:val="28"/>
          <w:szCs w:val="28"/>
        </w:rPr>
      </w:pPr>
    </w:p>
    <w:p>
      <w:pPr>
        <w:ind w:left="640" w:leftChars="200"/>
        <w:rPr>
          <w:rFonts w:ascii="宋体" w:hAnsi="宋体" w:eastAsia="宋体" w:cs="宋体"/>
          <w:sz w:val="28"/>
          <w:szCs w:val="28"/>
        </w:rPr>
      </w:pPr>
    </w:p>
    <w:p>
      <w:pPr>
        <w:ind w:left="640" w:leftChars="200"/>
        <w:rPr>
          <w:rFonts w:ascii="宋体" w:hAnsi="宋体" w:eastAsia="宋体" w:cs="宋体"/>
          <w:sz w:val="28"/>
          <w:szCs w:val="28"/>
        </w:rPr>
      </w:pPr>
    </w:p>
    <w:p>
      <w:pPr>
        <w:rPr>
          <w:b/>
          <w:sz w:val="30"/>
          <w:szCs w:val="30"/>
        </w:rPr>
      </w:pPr>
    </w:p>
    <w:p>
      <w:pPr>
        <w:bidi w:val="0"/>
        <w:ind w:firstLine="640" w:firstLineChars="200"/>
        <w:rPr>
          <w:rFonts w:hint="eastAsia"/>
          <w:color w:val="000000" w:themeColor="text1"/>
        </w:rPr>
      </w:pPr>
      <w:r>
        <w:rPr>
          <w:rFonts w:hint="eastAsia"/>
        </w:rPr>
        <w:t>202</w:t>
      </w:r>
      <w:r>
        <w:rPr>
          <w:rFonts w:hint="eastAsia"/>
          <w:lang w:val="en-US" w:eastAsia="zh-CN"/>
        </w:rPr>
        <w:t>1</w:t>
      </w:r>
      <w:r>
        <w:rPr>
          <w:rFonts w:hint="eastAsia"/>
        </w:rPr>
        <w:t>年，县本级一般公共预算“三公经费”决算数为</w:t>
      </w:r>
      <w:r>
        <w:rPr>
          <w:rFonts w:hint="eastAsia"/>
          <w:lang w:val="en-US" w:eastAsia="zh-CN"/>
        </w:rPr>
        <w:t>895</w:t>
      </w:r>
      <w:r>
        <w:rPr>
          <w:rFonts w:hint="eastAsia"/>
        </w:rPr>
        <w:t>万元，</w:t>
      </w:r>
      <w:r>
        <w:rPr>
          <w:rFonts w:hint="eastAsia"/>
          <w:color w:val="000000" w:themeColor="text1"/>
        </w:rPr>
        <w:t>为预算数</w:t>
      </w:r>
      <w:r>
        <w:rPr>
          <w:rFonts w:hint="eastAsia"/>
          <w:color w:val="000000" w:themeColor="text1"/>
          <w:lang w:val="en-US" w:eastAsia="zh-CN"/>
        </w:rPr>
        <w:t>1301</w:t>
      </w:r>
      <w:r>
        <w:rPr>
          <w:rFonts w:hint="eastAsia"/>
          <w:color w:val="000000" w:themeColor="text1"/>
        </w:rPr>
        <w:t>万元的</w:t>
      </w:r>
      <w:r>
        <w:rPr>
          <w:rFonts w:hint="eastAsia"/>
          <w:color w:val="000000" w:themeColor="text1"/>
          <w:lang w:val="en-US" w:eastAsia="zh-CN"/>
        </w:rPr>
        <w:t>68.79</w:t>
      </w:r>
      <w:r>
        <w:rPr>
          <w:rFonts w:hint="eastAsia"/>
          <w:color w:val="000000" w:themeColor="text1"/>
        </w:rPr>
        <w:t>%。其中：</w:t>
      </w:r>
    </w:p>
    <w:p>
      <w:pPr>
        <w:bidi w:val="0"/>
        <w:ind w:firstLine="640" w:firstLineChars="200"/>
        <w:rPr>
          <w:rFonts w:hint="eastAsia"/>
          <w:color w:val="000000" w:themeColor="text1"/>
        </w:rPr>
      </w:pPr>
      <w:r>
        <w:rPr>
          <w:rFonts w:hint="eastAsia"/>
          <w:color w:val="000000" w:themeColor="text1"/>
        </w:rPr>
        <w:t>公务接待费</w:t>
      </w:r>
      <w:r>
        <w:rPr>
          <w:rFonts w:hint="eastAsia"/>
          <w:color w:val="000000" w:themeColor="text1"/>
          <w:lang w:val="en-US" w:eastAsia="zh-CN"/>
        </w:rPr>
        <w:t>385</w:t>
      </w:r>
      <w:r>
        <w:rPr>
          <w:rFonts w:hint="eastAsia"/>
          <w:color w:val="000000" w:themeColor="text1"/>
        </w:rPr>
        <w:t>万元，为预算数</w:t>
      </w:r>
      <w:r>
        <w:rPr>
          <w:rFonts w:hint="eastAsia"/>
          <w:color w:val="000000" w:themeColor="text1"/>
          <w:lang w:val="en-US" w:eastAsia="zh-CN"/>
        </w:rPr>
        <w:t>681</w:t>
      </w:r>
      <w:r>
        <w:rPr>
          <w:rFonts w:hint="eastAsia"/>
          <w:color w:val="000000" w:themeColor="text1"/>
        </w:rPr>
        <w:t>万元的</w:t>
      </w:r>
      <w:r>
        <w:rPr>
          <w:rFonts w:hint="eastAsia"/>
          <w:color w:val="000000" w:themeColor="text1"/>
          <w:lang w:val="en-US" w:eastAsia="zh-CN"/>
        </w:rPr>
        <w:t>56.53</w:t>
      </w:r>
      <w:r>
        <w:rPr>
          <w:rFonts w:hint="eastAsia"/>
          <w:color w:val="000000" w:themeColor="text1"/>
        </w:rPr>
        <w:t>%。</w:t>
      </w:r>
    </w:p>
    <w:p>
      <w:pPr>
        <w:bidi w:val="0"/>
        <w:ind w:firstLine="640" w:firstLineChars="200"/>
        <w:rPr>
          <w:rFonts w:hint="eastAsia"/>
          <w:color w:val="000000" w:themeColor="text1"/>
        </w:rPr>
      </w:pPr>
      <w:r>
        <w:rPr>
          <w:rFonts w:hint="eastAsia"/>
          <w:color w:val="000000" w:themeColor="text1"/>
        </w:rPr>
        <w:t>因公出国（境）费0万元，为预算数0万元的0%。</w:t>
      </w:r>
    </w:p>
    <w:p>
      <w:pPr>
        <w:bidi w:val="0"/>
        <w:ind w:firstLine="640" w:firstLineChars="200"/>
        <w:rPr>
          <w:rFonts w:hint="default" w:eastAsia="仿宋"/>
          <w:color w:val="FFC000"/>
          <w:lang w:val="en-US" w:eastAsia="zh-CN"/>
        </w:rPr>
      </w:pPr>
      <w:r>
        <w:rPr>
          <w:rFonts w:hint="eastAsia"/>
          <w:color w:val="000000" w:themeColor="text1"/>
        </w:rPr>
        <w:t>公务用车购置及运行维护费5</w:t>
      </w:r>
      <w:r>
        <w:rPr>
          <w:rFonts w:hint="eastAsia"/>
          <w:color w:val="000000" w:themeColor="text1"/>
          <w:lang w:val="en-US" w:eastAsia="zh-CN"/>
        </w:rPr>
        <w:t>10</w:t>
      </w:r>
      <w:r>
        <w:rPr>
          <w:rFonts w:hint="eastAsia"/>
          <w:color w:val="000000" w:themeColor="text1"/>
        </w:rPr>
        <w:t>万元，为预算数</w:t>
      </w:r>
      <w:r>
        <w:rPr>
          <w:rFonts w:hint="eastAsia"/>
          <w:color w:val="000000" w:themeColor="text1"/>
          <w:lang w:val="en-US" w:eastAsia="zh-CN"/>
        </w:rPr>
        <w:t>620</w:t>
      </w:r>
      <w:r>
        <w:rPr>
          <w:rFonts w:hint="eastAsia"/>
          <w:color w:val="000000" w:themeColor="text1"/>
        </w:rPr>
        <w:t>万元的</w:t>
      </w:r>
      <w:r>
        <w:rPr>
          <w:rFonts w:hint="eastAsia"/>
          <w:color w:val="000000" w:themeColor="text1"/>
          <w:lang w:val="en-US" w:eastAsia="zh-CN"/>
        </w:rPr>
        <w:t>82.26</w:t>
      </w:r>
      <w:r>
        <w:rPr>
          <w:rFonts w:hint="eastAsia"/>
          <w:color w:val="000000" w:themeColor="text1"/>
        </w:rPr>
        <w:t>%。</w:t>
      </w:r>
      <w:r>
        <w:rPr>
          <w:rFonts w:hint="eastAsia"/>
          <w:color w:val="000000" w:themeColor="text1"/>
          <w:lang w:eastAsia="zh-CN"/>
        </w:rPr>
        <w:t>其中</w:t>
      </w:r>
      <w:r>
        <w:rPr>
          <w:rFonts w:hint="eastAsia"/>
          <w:color w:val="000000" w:themeColor="text1"/>
        </w:rPr>
        <w:t>公务用车购置</w:t>
      </w:r>
      <w:r>
        <w:rPr>
          <w:rFonts w:hint="eastAsia"/>
          <w:color w:val="000000" w:themeColor="text1"/>
          <w:lang w:eastAsia="zh-CN"/>
        </w:rPr>
        <w:t>费</w:t>
      </w:r>
      <w:r>
        <w:rPr>
          <w:rFonts w:hint="eastAsia"/>
          <w:color w:val="000000" w:themeColor="text1"/>
          <w:lang w:val="en-US" w:eastAsia="zh-CN"/>
        </w:rPr>
        <w:t>0万元，预算未安排资金。公务用车运行费510万元，</w:t>
      </w:r>
      <w:r>
        <w:rPr>
          <w:rFonts w:hint="eastAsia"/>
          <w:color w:val="000000" w:themeColor="text1"/>
        </w:rPr>
        <w:t>为预算数</w:t>
      </w:r>
      <w:r>
        <w:rPr>
          <w:rFonts w:hint="eastAsia"/>
          <w:color w:val="000000" w:themeColor="text1"/>
          <w:lang w:val="en-US" w:eastAsia="zh-CN"/>
        </w:rPr>
        <w:t>620</w:t>
      </w:r>
      <w:r>
        <w:rPr>
          <w:rFonts w:hint="eastAsia"/>
          <w:color w:val="000000" w:themeColor="text1"/>
        </w:rPr>
        <w:t>万元的</w:t>
      </w:r>
      <w:r>
        <w:rPr>
          <w:rFonts w:hint="eastAsia"/>
          <w:color w:val="000000" w:themeColor="text1"/>
          <w:lang w:val="en-US" w:eastAsia="zh-CN"/>
        </w:rPr>
        <w:t>82.26</w:t>
      </w:r>
      <w:r>
        <w:rPr>
          <w:rFonts w:hint="eastAsia"/>
          <w:color w:val="000000" w:themeColor="text1"/>
        </w:rPr>
        <w:t>%。</w:t>
      </w:r>
    </w:p>
    <w:p>
      <w:pPr>
        <w:bidi w:val="0"/>
        <w:ind w:firstLine="640" w:firstLineChars="200"/>
        <w:rPr>
          <w:rFonts w:hint="eastAsia"/>
        </w:rPr>
      </w:pPr>
      <w:r>
        <w:rPr>
          <w:rFonts w:hint="eastAsia"/>
        </w:rPr>
        <w:t>我县“三公”经费下降主要是各预算单位严格按照中央八项规定和厉行节约要求，从严编列预算，从紧安排开支，确保了只减不增。</w:t>
      </w:r>
    </w:p>
    <w:p>
      <w:pPr>
        <w:pStyle w:val="2"/>
        <w:rPr>
          <w:rFonts w:hint="eastAsia"/>
        </w:rPr>
      </w:pPr>
    </w:p>
    <w:p>
      <w:pPr>
        <w:rPr>
          <w:rFonts w:hint="eastAsia"/>
        </w:rPr>
      </w:pPr>
    </w:p>
    <w:p>
      <w:pPr>
        <w:pStyle w:val="2"/>
        <w:rPr>
          <w:rFonts w:hint="eastAsia"/>
        </w:rPr>
      </w:pPr>
    </w:p>
    <w:p>
      <w:pPr>
        <w:rPr>
          <w:rFonts w:hint="eastAsia"/>
        </w:rPr>
      </w:pPr>
    </w:p>
    <w:p>
      <w:pPr>
        <w:rPr>
          <w:rFonts w:hint="eastAsia"/>
        </w:rPr>
      </w:pPr>
    </w:p>
    <w:tbl>
      <w:tblPr>
        <w:tblStyle w:val="6"/>
        <w:tblW w:w="96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4"/>
        <w:gridCol w:w="780"/>
        <w:gridCol w:w="780"/>
        <w:gridCol w:w="780"/>
        <w:gridCol w:w="780"/>
        <w:gridCol w:w="780"/>
        <w:gridCol w:w="780"/>
        <w:gridCol w:w="780"/>
        <w:gridCol w:w="780"/>
        <w:gridCol w:w="780"/>
        <w:gridCol w:w="78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jc w:val="center"/>
        </w:trPr>
        <w:tc>
          <w:tcPr>
            <w:tcW w:w="9624" w:type="dxa"/>
            <w:gridSpan w:val="12"/>
            <w:tcBorders>
              <w:top w:val="nil"/>
              <w:left w:val="nil"/>
              <w:bottom w:val="nil"/>
              <w:right w:val="nil"/>
            </w:tcBorders>
            <w:shd w:val="clear" w:color="auto" w:fill="auto"/>
            <w:noWrap/>
            <w:tcMar>
              <w:top w:w="0" w:type="dxa"/>
              <w:left w:w="108" w:type="dxa"/>
              <w:bottom w:w="0" w:type="dxa"/>
              <w:right w:w="108" w:type="dxa"/>
            </w:tcMar>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南县“三公"经费支出决算表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jc w:val="center"/>
        </w:trPr>
        <w:tc>
          <w:tcPr>
            <w:tcW w:w="1044" w:type="dxa"/>
            <w:tcBorders>
              <w:top w:val="nil"/>
              <w:left w:val="nil"/>
              <w:bottom w:val="nil"/>
              <w:right w:val="nil"/>
            </w:tcBorders>
            <w:shd w:val="clear" w:color="auto" w:fill="auto"/>
            <w:noWrap/>
            <w:tcMar>
              <w:top w:w="0" w:type="dxa"/>
              <w:left w:w="108" w:type="dxa"/>
              <w:bottom w:w="0" w:type="dxa"/>
              <w:right w:w="108" w:type="dxa"/>
            </w:tcMar>
            <w:vAlign w:val="bottom"/>
          </w:tcPr>
          <w:p>
            <w:pPr>
              <w:rPr>
                <w:rFonts w:hint="eastAsia" w:ascii="Arial" w:hAnsi="Arial" w:eastAsia="宋体" w:cs="Arial"/>
                <w:i w:val="0"/>
                <w:iCs w:val="0"/>
                <w:color w:val="000000"/>
                <w:sz w:val="20"/>
                <w:szCs w:val="20"/>
                <w:u w:val="none"/>
              </w:rPr>
            </w:pPr>
          </w:p>
        </w:tc>
        <w:tc>
          <w:tcPr>
            <w:tcW w:w="780" w:type="dxa"/>
            <w:tcBorders>
              <w:top w:val="nil"/>
              <w:left w:val="nil"/>
              <w:bottom w:val="nil"/>
              <w:right w:val="nil"/>
            </w:tcBorders>
            <w:shd w:val="clear" w:color="auto" w:fill="auto"/>
            <w:noWrap/>
            <w:tcMar>
              <w:top w:w="0" w:type="dxa"/>
              <w:left w:w="108" w:type="dxa"/>
              <w:bottom w:w="0" w:type="dxa"/>
              <w:right w:w="108" w:type="dxa"/>
            </w:tcMar>
            <w:vAlign w:val="bottom"/>
          </w:tcPr>
          <w:p>
            <w:pPr>
              <w:rPr>
                <w:rFonts w:hint="default" w:ascii="Arial" w:hAnsi="Arial" w:eastAsia="宋体" w:cs="Arial"/>
                <w:i w:val="0"/>
                <w:iCs w:val="0"/>
                <w:color w:val="000000"/>
                <w:sz w:val="20"/>
                <w:szCs w:val="20"/>
                <w:u w:val="none"/>
              </w:rPr>
            </w:pPr>
          </w:p>
        </w:tc>
        <w:tc>
          <w:tcPr>
            <w:tcW w:w="780" w:type="dxa"/>
            <w:tcBorders>
              <w:top w:val="nil"/>
              <w:left w:val="nil"/>
              <w:bottom w:val="nil"/>
              <w:right w:val="nil"/>
            </w:tcBorders>
            <w:shd w:val="clear" w:color="auto" w:fill="auto"/>
            <w:noWrap/>
            <w:tcMar>
              <w:top w:w="0" w:type="dxa"/>
              <w:left w:w="108" w:type="dxa"/>
              <w:bottom w:w="0" w:type="dxa"/>
              <w:right w:w="108" w:type="dxa"/>
            </w:tcMar>
            <w:vAlign w:val="bottom"/>
          </w:tcPr>
          <w:p>
            <w:pPr>
              <w:rPr>
                <w:rFonts w:hint="default" w:ascii="Arial" w:hAnsi="Arial" w:eastAsia="宋体" w:cs="Arial"/>
                <w:i w:val="0"/>
                <w:iCs w:val="0"/>
                <w:color w:val="000000"/>
                <w:sz w:val="20"/>
                <w:szCs w:val="20"/>
                <w:u w:val="none"/>
              </w:rPr>
            </w:pPr>
          </w:p>
        </w:tc>
        <w:tc>
          <w:tcPr>
            <w:tcW w:w="780" w:type="dxa"/>
            <w:tcBorders>
              <w:top w:val="nil"/>
              <w:left w:val="nil"/>
              <w:bottom w:val="nil"/>
              <w:right w:val="nil"/>
            </w:tcBorders>
            <w:shd w:val="clear" w:color="auto" w:fill="auto"/>
            <w:noWrap/>
            <w:tcMar>
              <w:top w:w="0" w:type="dxa"/>
              <w:left w:w="108" w:type="dxa"/>
              <w:bottom w:w="0" w:type="dxa"/>
              <w:right w:w="108" w:type="dxa"/>
            </w:tcMar>
            <w:vAlign w:val="bottom"/>
          </w:tcPr>
          <w:p>
            <w:pPr>
              <w:rPr>
                <w:rFonts w:hint="default" w:ascii="Arial" w:hAnsi="Arial" w:eastAsia="宋体" w:cs="Arial"/>
                <w:i w:val="0"/>
                <w:iCs w:val="0"/>
                <w:color w:val="000000"/>
                <w:sz w:val="20"/>
                <w:szCs w:val="20"/>
                <w:u w:val="none"/>
              </w:rPr>
            </w:pPr>
          </w:p>
        </w:tc>
        <w:tc>
          <w:tcPr>
            <w:tcW w:w="780" w:type="dxa"/>
            <w:tcBorders>
              <w:top w:val="nil"/>
              <w:left w:val="nil"/>
              <w:bottom w:val="nil"/>
              <w:right w:val="nil"/>
            </w:tcBorders>
            <w:shd w:val="clear" w:color="auto" w:fill="auto"/>
            <w:noWrap/>
            <w:tcMar>
              <w:top w:w="0" w:type="dxa"/>
              <w:left w:w="108" w:type="dxa"/>
              <w:bottom w:w="0" w:type="dxa"/>
              <w:right w:w="108" w:type="dxa"/>
            </w:tcMar>
            <w:vAlign w:val="bottom"/>
          </w:tcPr>
          <w:p>
            <w:pPr>
              <w:rPr>
                <w:rFonts w:hint="default" w:ascii="Arial" w:hAnsi="Arial" w:eastAsia="宋体" w:cs="Arial"/>
                <w:i w:val="0"/>
                <w:iCs w:val="0"/>
                <w:color w:val="000000"/>
                <w:sz w:val="20"/>
                <w:szCs w:val="20"/>
                <w:u w:val="none"/>
              </w:rPr>
            </w:pPr>
          </w:p>
        </w:tc>
        <w:tc>
          <w:tcPr>
            <w:tcW w:w="780" w:type="dxa"/>
            <w:tcBorders>
              <w:top w:val="nil"/>
              <w:left w:val="nil"/>
              <w:bottom w:val="nil"/>
              <w:right w:val="nil"/>
            </w:tcBorders>
            <w:shd w:val="clear" w:color="auto" w:fill="auto"/>
            <w:noWrap/>
            <w:tcMar>
              <w:top w:w="0" w:type="dxa"/>
              <w:left w:w="108" w:type="dxa"/>
              <w:bottom w:w="0" w:type="dxa"/>
              <w:right w:w="108" w:type="dxa"/>
            </w:tcMar>
            <w:vAlign w:val="bottom"/>
          </w:tcPr>
          <w:p>
            <w:pPr>
              <w:rPr>
                <w:rFonts w:hint="default" w:ascii="Arial" w:hAnsi="Arial" w:eastAsia="宋体" w:cs="Arial"/>
                <w:i w:val="0"/>
                <w:iCs w:val="0"/>
                <w:color w:val="000000"/>
                <w:sz w:val="20"/>
                <w:szCs w:val="20"/>
                <w:u w:val="none"/>
              </w:rPr>
            </w:pPr>
          </w:p>
        </w:tc>
        <w:tc>
          <w:tcPr>
            <w:tcW w:w="780" w:type="dxa"/>
            <w:tcBorders>
              <w:top w:val="nil"/>
              <w:left w:val="nil"/>
              <w:bottom w:val="nil"/>
              <w:right w:val="nil"/>
            </w:tcBorders>
            <w:shd w:val="clear" w:color="auto" w:fill="auto"/>
            <w:noWrap/>
            <w:tcMar>
              <w:top w:w="0" w:type="dxa"/>
              <w:left w:w="108" w:type="dxa"/>
              <w:bottom w:w="0" w:type="dxa"/>
              <w:right w:w="108" w:type="dxa"/>
            </w:tcMar>
            <w:vAlign w:val="bottom"/>
          </w:tcPr>
          <w:p>
            <w:pPr>
              <w:rPr>
                <w:rFonts w:hint="default" w:ascii="Arial" w:hAnsi="Arial" w:eastAsia="宋体" w:cs="Arial"/>
                <w:i w:val="0"/>
                <w:iCs w:val="0"/>
                <w:color w:val="000000"/>
                <w:sz w:val="20"/>
                <w:szCs w:val="20"/>
                <w:u w:val="none"/>
              </w:rPr>
            </w:pPr>
          </w:p>
        </w:tc>
        <w:tc>
          <w:tcPr>
            <w:tcW w:w="780" w:type="dxa"/>
            <w:tcBorders>
              <w:top w:val="nil"/>
              <w:left w:val="nil"/>
              <w:bottom w:val="nil"/>
              <w:right w:val="nil"/>
            </w:tcBorders>
            <w:shd w:val="clear" w:color="auto" w:fill="auto"/>
            <w:noWrap/>
            <w:tcMar>
              <w:top w:w="0" w:type="dxa"/>
              <w:left w:w="108" w:type="dxa"/>
              <w:bottom w:w="0" w:type="dxa"/>
              <w:right w:w="108" w:type="dxa"/>
            </w:tcMar>
            <w:vAlign w:val="bottom"/>
          </w:tcPr>
          <w:p>
            <w:pPr>
              <w:rPr>
                <w:rFonts w:hint="default" w:ascii="Arial" w:hAnsi="Arial" w:eastAsia="宋体" w:cs="Arial"/>
                <w:i w:val="0"/>
                <w:iCs w:val="0"/>
                <w:color w:val="000000"/>
                <w:sz w:val="20"/>
                <w:szCs w:val="20"/>
                <w:u w:val="none"/>
              </w:rPr>
            </w:pPr>
          </w:p>
        </w:tc>
        <w:tc>
          <w:tcPr>
            <w:tcW w:w="780" w:type="dxa"/>
            <w:tcBorders>
              <w:top w:val="nil"/>
              <w:left w:val="nil"/>
              <w:bottom w:val="nil"/>
              <w:right w:val="nil"/>
            </w:tcBorders>
            <w:shd w:val="clear" w:color="auto" w:fill="auto"/>
            <w:noWrap/>
            <w:tcMar>
              <w:top w:w="0" w:type="dxa"/>
              <w:left w:w="108" w:type="dxa"/>
              <w:bottom w:w="0" w:type="dxa"/>
              <w:right w:w="108" w:type="dxa"/>
            </w:tcMar>
            <w:vAlign w:val="bottom"/>
          </w:tcPr>
          <w:p>
            <w:pPr>
              <w:rPr>
                <w:rFonts w:hint="default" w:ascii="Arial" w:hAnsi="Arial" w:eastAsia="宋体" w:cs="Arial"/>
                <w:i w:val="0"/>
                <w:iCs w:val="0"/>
                <w:color w:val="000000"/>
                <w:sz w:val="20"/>
                <w:szCs w:val="20"/>
                <w:u w:val="none"/>
              </w:rPr>
            </w:pPr>
          </w:p>
        </w:tc>
        <w:tc>
          <w:tcPr>
            <w:tcW w:w="780" w:type="dxa"/>
            <w:tcBorders>
              <w:top w:val="nil"/>
              <w:left w:val="nil"/>
              <w:bottom w:val="nil"/>
              <w:right w:val="nil"/>
            </w:tcBorders>
            <w:shd w:val="clear" w:color="auto" w:fill="auto"/>
            <w:noWrap/>
            <w:tcMar>
              <w:top w:w="0" w:type="dxa"/>
              <w:left w:w="108" w:type="dxa"/>
              <w:bottom w:w="0" w:type="dxa"/>
              <w:right w:w="108" w:type="dxa"/>
            </w:tcMar>
            <w:vAlign w:val="bottom"/>
          </w:tcPr>
          <w:p>
            <w:pPr>
              <w:rPr>
                <w:rFonts w:hint="default" w:ascii="Arial" w:hAnsi="Arial" w:eastAsia="宋体" w:cs="Arial"/>
                <w:i w:val="0"/>
                <w:iCs w:val="0"/>
                <w:color w:val="000000"/>
                <w:sz w:val="20"/>
                <w:szCs w:val="20"/>
                <w:u w:val="none"/>
              </w:rPr>
            </w:pPr>
          </w:p>
        </w:tc>
        <w:tc>
          <w:tcPr>
            <w:tcW w:w="780" w:type="dxa"/>
            <w:tcBorders>
              <w:top w:val="nil"/>
              <w:left w:val="nil"/>
              <w:bottom w:val="nil"/>
              <w:right w:val="nil"/>
            </w:tcBorders>
            <w:shd w:val="clear" w:color="auto" w:fill="auto"/>
            <w:noWrap/>
            <w:tcMar>
              <w:top w:w="0" w:type="dxa"/>
              <w:left w:w="108" w:type="dxa"/>
              <w:bottom w:w="0" w:type="dxa"/>
              <w:right w:w="108" w:type="dxa"/>
            </w:tcMar>
            <w:vAlign w:val="bottom"/>
          </w:tcPr>
          <w:p>
            <w:pPr>
              <w:rPr>
                <w:rFonts w:hint="default" w:ascii="Arial" w:hAnsi="Arial" w:eastAsia="宋体" w:cs="Arial"/>
                <w:i w:val="0"/>
                <w:iCs w:val="0"/>
                <w:color w:val="000000"/>
                <w:sz w:val="20"/>
                <w:szCs w:val="20"/>
                <w:u w:val="none"/>
              </w:rPr>
            </w:pPr>
          </w:p>
        </w:tc>
        <w:tc>
          <w:tcPr>
            <w:tcW w:w="780" w:type="dxa"/>
            <w:tcBorders>
              <w:top w:val="nil"/>
              <w:left w:val="nil"/>
              <w:bottom w:val="nil"/>
              <w:right w:val="nil"/>
            </w:tcBorders>
            <w:shd w:val="clear" w:color="auto" w:fill="auto"/>
            <w:noWrap/>
            <w:tcMar>
              <w:top w:w="0" w:type="dxa"/>
              <w:left w:w="108" w:type="dxa"/>
              <w:bottom w:w="0" w:type="dxa"/>
              <w:right w:w="108" w:type="dxa"/>
            </w:tcMar>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jc w:val="center"/>
        </w:trPr>
        <w:tc>
          <w:tcPr>
            <w:tcW w:w="1044" w:type="dxa"/>
            <w:tcBorders>
              <w:top w:val="nil"/>
              <w:left w:val="nil"/>
              <w:bottom w:val="nil"/>
              <w:right w:val="nil"/>
            </w:tcBorders>
            <w:shd w:val="clear" w:color="auto" w:fill="auto"/>
            <w:noWrap/>
            <w:tcMar>
              <w:top w:w="0" w:type="dxa"/>
              <w:left w:w="108" w:type="dxa"/>
              <w:bottom w:w="0" w:type="dxa"/>
              <w:right w:w="108" w:type="dxa"/>
            </w:tcMar>
            <w:vAlign w:val="bottom"/>
          </w:tcPr>
          <w:p>
            <w:pPr>
              <w:rPr>
                <w:rFonts w:hint="eastAsia" w:ascii="宋体" w:hAnsi="宋体" w:eastAsia="宋体" w:cs="宋体"/>
                <w:i w:val="0"/>
                <w:iCs w:val="0"/>
                <w:color w:val="000000"/>
                <w:sz w:val="20"/>
                <w:szCs w:val="20"/>
                <w:u w:val="none"/>
              </w:rPr>
            </w:pPr>
          </w:p>
        </w:tc>
        <w:tc>
          <w:tcPr>
            <w:tcW w:w="780" w:type="dxa"/>
            <w:tcBorders>
              <w:top w:val="nil"/>
              <w:left w:val="nil"/>
              <w:bottom w:val="nil"/>
              <w:right w:val="nil"/>
            </w:tcBorders>
            <w:shd w:val="clear" w:color="auto" w:fill="auto"/>
            <w:noWrap/>
            <w:tcMar>
              <w:top w:w="0" w:type="dxa"/>
              <w:left w:w="108" w:type="dxa"/>
              <w:bottom w:w="0" w:type="dxa"/>
              <w:right w:w="108" w:type="dxa"/>
            </w:tcMar>
            <w:vAlign w:val="bottom"/>
          </w:tcPr>
          <w:p>
            <w:pPr>
              <w:rPr>
                <w:rFonts w:hint="default" w:ascii="Arial" w:hAnsi="Arial" w:eastAsia="宋体" w:cs="Arial"/>
                <w:i w:val="0"/>
                <w:iCs w:val="0"/>
                <w:color w:val="000000"/>
                <w:sz w:val="20"/>
                <w:szCs w:val="20"/>
                <w:u w:val="none"/>
              </w:rPr>
            </w:pPr>
          </w:p>
        </w:tc>
        <w:tc>
          <w:tcPr>
            <w:tcW w:w="780" w:type="dxa"/>
            <w:tcBorders>
              <w:top w:val="nil"/>
              <w:left w:val="nil"/>
              <w:bottom w:val="nil"/>
              <w:right w:val="nil"/>
            </w:tcBorders>
            <w:shd w:val="clear" w:color="auto" w:fill="auto"/>
            <w:noWrap/>
            <w:tcMar>
              <w:top w:w="0" w:type="dxa"/>
              <w:left w:w="108" w:type="dxa"/>
              <w:bottom w:w="0" w:type="dxa"/>
              <w:right w:w="108" w:type="dxa"/>
            </w:tcMar>
            <w:vAlign w:val="bottom"/>
          </w:tcPr>
          <w:p>
            <w:pPr>
              <w:rPr>
                <w:rFonts w:hint="default" w:ascii="Arial" w:hAnsi="Arial" w:eastAsia="宋体" w:cs="Arial"/>
                <w:i w:val="0"/>
                <w:iCs w:val="0"/>
                <w:color w:val="000000"/>
                <w:sz w:val="20"/>
                <w:szCs w:val="20"/>
                <w:u w:val="none"/>
              </w:rPr>
            </w:pPr>
          </w:p>
        </w:tc>
        <w:tc>
          <w:tcPr>
            <w:tcW w:w="780" w:type="dxa"/>
            <w:tcBorders>
              <w:top w:val="nil"/>
              <w:left w:val="nil"/>
              <w:bottom w:val="nil"/>
              <w:right w:val="nil"/>
            </w:tcBorders>
            <w:shd w:val="clear" w:color="auto" w:fill="auto"/>
            <w:noWrap/>
            <w:tcMar>
              <w:top w:w="0" w:type="dxa"/>
              <w:left w:w="108" w:type="dxa"/>
              <w:bottom w:w="0" w:type="dxa"/>
              <w:right w:w="108" w:type="dxa"/>
            </w:tcMar>
            <w:vAlign w:val="bottom"/>
          </w:tcPr>
          <w:p>
            <w:pPr>
              <w:rPr>
                <w:rFonts w:hint="default" w:ascii="Arial" w:hAnsi="Arial" w:eastAsia="宋体" w:cs="Arial"/>
                <w:i w:val="0"/>
                <w:iCs w:val="0"/>
                <w:color w:val="000000"/>
                <w:sz w:val="20"/>
                <w:szCs w:val="20"/>
                <w:u w:val="none"/>
              </w:rPr>
            </w:pPr>
          </w:p>
        </w:tc>
        <w:tc>
          <w:tcPr>
            <w:tcW w:w="780" w:type="dxa"/>
            <w:tcBorders>
              <w:top w:val="nil"/>
              <w:left w:val="nil"/>
              <w:bottom w:val="nil"/>
              <w:right w:val="nil"/>
            </w:tcBorders>
            <w:shd w:val="clear" w:color="auto" w:fill="auto"/>
            <w:noWrap/>
            <w:tcMar>
              <w:top w:w="0" w:type="dxa"/>
              <w:left w:w="108" w:type="dxa"/>
              <w:bottom w:w="0" w:type="dxa"/>
              <w:right w:w="108" w:type="dxa"/>
            </w:tcMar>
            <w:vAlign w:val="bottom"/>
          </w:tcPr>
          <w:p>
            <w:pPr>
              <w:rPr>
                <w:rFonts w:hint="default" w:ascii="Arial" w:hAnsi="Arial" w:eastAsia="宋体" w:cs="Arial"/>
                <w:i w:val="0"/>
                <w:iCs w:val="0"/>
                <w:color w:val="000000"/>
                <w:sz w:val="20"/>
                <w:szCs w:val="20"/>
                <w:u w:val="none"/>
              </w:rPr>
            </w:pPr>
          </w:p>
        </w:tc>
        <w:tc>
          <w:tcPr>
            <w:tcW w:w="780" w:type="dxa"/>
            <w:tcBorders>
              <w:top w:val="nil"/>
              <w:left w:val="nil"/>
              <w:bottom w:val="nil"/>
              <w:right w:val="nil"/>
            </w:tcBorders>
            <w:shd w:val="clear" w:color="auto" w:fill="auto"/>
            <w:noWrap/>
            <w:tcMar>
              <w:top w:w="0" w:type="dxa"/>
              <w:left w:w="108" w:type="dxa"/>
              <w:bottom w:w="0" w:type="dxa"/>
              <w:right w:w="108" w:type="dxa"/>
            </w:tcMar>
            <w:vAlign w:val="bottom"/>
          </w:tcPr>
          <w:p>
            <w:pPr>
              <w:rPr>
                <w:rFonts w:hint="default" w:ascii="Arial" w:hAnsi="Arial" w:eastAsia="宋体" w:cs="Arial"/>
                <w:i w:val="0"/>
                <w:iCs w:val="0"/>
                <w:color w:val="000000"/>
                <w:sz w:val="20"/>
                <w:szCs w:val="20"/>
                <w:u w:val="none"/>
              </w:rPr>
            </w:pPr>
          </w:p>
        </w:tc>
        <w:tc>
          <w:tcPr>
            <w:tcW w:w="780" w:type="dxa"/>
            <w:tcBorders>
              <w:top w:val="nil"/>
              <w:left w:val="nil"/>
              <w:bottom w:val="nil"/>
              <w:right w:val="nil"/>
            </w:tcBorders>
            <w:shd w:val="clear" w:color="auto" w:fill="auto"/>
            <w:noWrap/>
            <w:tcMar>
              <w:top w:w="0" w:type="dxa"/>
              <w:left w:w="108" w:type="dxa"/>
              <w:bottom w:w="0" w:type="dxa"/>
              <w:right w:w="108" w:type="dxa"/>
            </w:tcMar>
            <w:vAlign w:val="bottom"/>
          </w:tcPr>
          <w:p>
            <w:pPr>
              <w:rPr>
                <w:rFonts w:hint="default" w:ascii="Arial" w:hAnsi="Arial" w:eastAsia="宋体" w:cs="Arial"/>
                <w:i w:val="0"/>
                <w:iCs w:val="0"/>
                <w:color w:val="000000"/>
                <w:sz w:val="20"/>
                <w:szCs w:val="20"/>
                <w:u w:val="none"/>
              </w:rPr>
            </w:pPr>
          </w:p>
        </w:tc>
        <w:tc>
          <w:tcPr>
            <w:tcW w:w="780" w:type="dxa"/>
            <w:tcBorders>
              <w:top w:val="nil"/>
              <w:left w:val="nil"/>
              <w:bottom w:val="nil"/>
              <w:right w:val="nil"/>
            </w:tcBorders>
            <w:shd w:val="clear" w:color="auto" w:fill="auto"/>
            <w:noWrap/>
            <w:tcMar>
              <w:top w:w="0" w:type="dxa"/>
              <w:left w:w="108" w:type="dxa"/>
              <w:bottom w:w="0" w:type="dxa"/>
              <w:right w:w="108" w:type="dxa"/>
            </w:tcMar>
            <w:vAlign w:val="bottom"/>
          </w:tcPr>
          <w:p>
            <w:pPr>
              <w:rPr>
                <w:rFonts w:hint="default" w:ascii="Arial" w:hAnsi="Arial" w:eastAsia="宋体" w:cs="Arial"/>
                <w:i w:val="0"/>
                <w:iCs w:val="0"/>
                <w:color w:val="000000"/>
                <w:sz w:val="20"/>
                <w:szCs w:val="20"/>
                <w:u w:val="none"/>
              </w:rPr>
            </w:pPr>
          </w:p>
        </w:tc>
        <w:tc>
          <w:tcPr>
            <w:tcW w:w="780" w:type="dxa"/>
            <w:tcBorders>
              <w:top w:val="nil"/>
              <w:left w:val="nil"/>
              <w:bottom w:val="nil"/>
              <w:right w:val="nil"/>
            </w:tcBorders>
            <w:shd w:val="clear" w:color="auto" w:fill="auto"/>
            <w:noWrap/>
            <w:tcMar>
              <w:top w:w="0" w:type="dxa"/>
              <w:left w:w="108" w:type="dxa"/>
              <w:bottom w:w="0" w:type="dxa"/>
              <w:right w:w="108" w:type="dxa"/>
            </w:tcMar>
            <w:vAlign w:val="bottom"/>
          </w:tcPr>
          <w:p>
            <w:pPr>
              <w:rPr>
                <w:rFonts w:hint="default" w:ascii="Arial" w:hAnsi="Arial" w:eastAsia="宋体" w:cs="Arial"/>
                <w:i w:val="0"/>
                <w:iCs w:val="0"/>
                <w:color w:val="000000"/>
                <w:sz w:val="20"/>
                <w:szCs w:val="20"/>
                <w:u w:val="none"/>
              </w:rPr>
            </w:pPr>
          </w:p>
        </w:tc>
        <w:tc>
          <w:tcPr>
            <w:tcW w:w="780" w:type="dxa"/>
            <w:tcBorders>
              <w:top w:val="nil"/>
              <w:left w:val="nil"/>
              <w:bottom w:val="nil"/>
              <w:right w:val="nil"/>
            </w:tcBorders>
            <w:shd w:val="clear" w:color="auto" w:fill="auto"/>
            <w:noWrap/>
            <w:tcMar>
              <w:top w:w="0" w:type="dxa"/>
              <w:left w:w="108" w:type="dxa"/>
              <w:bottom w:w="0" w:type="dxa"/>
              <w:right w:w="108" w:type="dxa"/>
            </w:tcMar>
            <w:vAlign w:val="bottom"/>
          </w:tcPr>
          <w:p>
            <w:pPr>
              <w:rPr>
                <w:rFonts w:hint="default" w:ascii="Arial" w:hAnsi="Arial" w:eastAsia="宋体" w:cs="Arial"/>
                <w:i w:val="0"/>
                <w:iCs w:val="0"/>
                <w:color w:val="000000"/>
                <w:sz w:val="20"/>
                <w:szCs w:val="20"/>
                <w:u w:val="none"/>
              </w:rPr>
            </w:pPr>
          </w:p>
        </w:tc>
        <w:tc>
          <w:tcPr>
            <w:tcW w:w="1560" w:type="dxa"/>
            <w:gridSpan w:val="2"/>
            <w:tcBorders>
              <w:top w:val="nil"/>
              <w:left w:val="nil"/>
              <w:bottom w:val="nil"/>
              <w:right w:val="nil"/>
            </w:tcBorders>
            <w:shd w:val="clear" w:color="auto" w:fill="auto"/>
            <w:noWrap/>
            <w:tcMar>
              <w:top w:w="0" w:type="dxa"/>
              <w:left w:w="108" w:type="dxa"/>
              <w:bottom w:w="0" w:type="dxa"/>
              <w:right w:w="108" w:type="dxa"/>
            </w:tcMar>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4944" w:type="dxa"/>
            <w:gridSpan w:val="6"/>
            <w:tcBorders>
              <w:top w:val="single" w:color="000000" w:sz="4" w:space="0"/>
              <w:left w:val="single" w:color="000000" w:sz="4" w:space="0"/>
              <w:bottom w:val="single" w:color="000000" w:sz="4" w:space="0"/>
              <w:right w:val="single" w:color="000000" w:sz="4" w:space="0"/>
            </w:tcBorders>
            <w:shd w:val="clear" w:color="FFFFFF" w:fill="C0C0C0"/>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4680" w:type="dxa"/>
            <w:gridSpan w:val="6"/>
            <w:tcBorders>
              <w:top w:val="single" w:color="000000" w:sz="4" w:space="0"/>
              <w:left w:val="nil"/>
              <w:bottom w:val="single" w:color="000000" w:sz="4" w:space="0"/>
              <w:right w:val="single" w:color="000000" w:sz="4" w:space="0"/>
            </w:tcBorders>
            <w:shd w:val="clear" w:color="FFFFFF" w:fill="C0C0C0"/>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1044" w:type="dxa"/>
            <w:vMerge w:val="restart"/>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80" w:type="dxa"/>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2340" w:type="dxa"/>
            <w:gridSpan w:val="3"/>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780" w:type="dxa"/>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780" w:type="dxa"/>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80" w:type="dxa"/>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2340" w:type="dxa"/>
            <w:gridSpan w:val="3"/>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780" w:type="dxa"/>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0" w:hRule="atLeast"/>
          <w:jc w:val="center"/>
        </w:trPr>
        <w:tc>
          <w:tcPr>
            <w:tcW w:w="1044" w:type="dxa"/>
            <w:vMerge w:val="continue"/>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0"/>
                <w:szCs w:val="20"/>
                <w:u w:val="none"/>
              </w:rPr>
            </w:pPr>
          </w:p>
        </w:tc>
        <w:tc>
          <w:tcPr>
            <w:tcW w:w="780" w:type="dxa"/>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0"/>
                <w:szCs w:val="20"/>
                <w:u w:val="none"/>
              </w:rPr>
            </w:pPr>
          </w:p>
        </w:tc>
        <w:tc>
          <w:tcPr>
            <w:tcW w:w="780" w:type="dxa"/>
            <w:tcBorders>
              <w:top w:val="nil"/>
              <w:left w:val="nil"/>
              <w:bottom w:val="single" w:color="000000" w:sz="4" w:space="0"/>
              <w:right w:val="single" w:color="000000" w:sz="4" w:space="0"/>
            </w:tcBorders>
            <w:shd w:val="clear" w:color="FFFFFF" w:fill="C0C0C0"/>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780"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780"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780" w:type="dxa"/>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0"/>
                <w:szCs w:val="20"/>
                <w:u w:val="none"/>
              </w:rPr>
            </w:pPr>
          </w:p>
        </w:tc>
        <w:tc>
          <w:tcPr>
            <w:tcW w:w="780" w:type="dxa"/>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0"/>
                <w:szCs w:val="20"/>
                <w:u w:val="none"/>
              </w:rPr>
            </w:pPr>
          </w:p>
        </w:tc>
        <w:tc>
          <w:tcPr>
            <w:tcW w:w="780" w:type="dxa"/>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0"/>
                <w:szCs w:val="20"/>
                <w:u w:val="none"/>
              </w:rPr>
            </w:pPr>
          </w:p>
        </w:tc>
        <w:tc>
          <w:tcPr>
            <w:tcW w:w="780"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780"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780"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780" w:type="dxa"/>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1044" w:type="dxa"/>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80"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80"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780"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780"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80"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780"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780"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780"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780"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80"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780"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044" w:type="dxa"/>
            <w:tcBorders>
              <w:top w:val="nil"/>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1,301.00 </w:t>
            </w:r>
          </w:p>
        </w:tc>
        <w:tc>
          <w:tcPr>
            <w:tcW w:w="780" w:type="dxa"/>
            <w:tcBorders>
              <w:top w:val="nil"/>
              <w:left w:val="nil"/>
              <w:bottom w:val="single" w:color="000000" w:sz="4" w:space="0"/>
              <w:right w:val="single" w:color="000000" w:sz="4" w:space="0"/>
            </w:tcBorders>
            <w:shd w:val="clear" w:color="auto" w:fill="auto"/>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18"/>
                <w:szCs w:val="18"/>
                <w:u w:val="none"/>
              </w:rPr>
            </w:pPr>
          </w:p>
        </w:tc>
        <w:tc>
          <w:tcPr>
            <w:tcW w:w="780" w:type="dxa"/>
            <w:tcBorders>
              <w:top w:val="nil"/>
              <w:left w:val="nil"/>
              <w:bottom w:val="single" w:color="000000" w:sz="4" w:space="0"/>
              <w:right w:val="single" w:color="000000" w:sz="4"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620.00 </w:t>
            </w:r>
          </w:p>
        </w:tc>
        <w:tc>
          <w:tcPr>
            <w:tcW w:w="780" w:type="dxa"/>
            <w:tcBorders>
              <w:top w:val="nil"/>
              <w:left w:val="nil"/>
              <w:bottom w:val="single" w:color="000000" w:sz="4" w:space="0"/>
              <w:right w:val="single" w:color="000000" w:sz="4" w:space="0"/>
            </w:tcBorders>
            <w:shd w:val="clear" w:color="auto" w:fill="auto"/>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18"/>
                <w:szCs w:val="18"/>
                <w:u w:val="none"/>
              </w:rPr>
            </w:pPr>
          </w:p>
        </w:tc>
        <w:tc>
          <w:tcPr>
            <w:tcW w:w="780" w:type="dxa"/>
            <w:tcBorders>
              <w:top w:val="nil"/>
              <w:left w:val="nil"/>
              <w:bottom w:val="single" w:color="000000" w:sz="4" w:space="0"/>
              <w:right w:val="single" w:color="000000" w:sz="4"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620.00 </w:t>
            </w:r>
          </w:p>
        </w:tc>
        <w:tc>
          <w:tcPr>
            <w:tcW w:w="780" w:type="dxa"/>
            <w:tcBorders>
              <w:top w:val="nil"/>
              <w:left w:val="nil"/>
              <w:bottom w:val="single" w:color="000000" w:sz="4" w:space="0"/>
              <w:right w:val="single" w:color="000000" w:sz="4"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681.00 </w:t>
            </w:r>
          </w:p>
        </w:tc>
        <w:tc>
          <w:tcPr>
            <w:tcW w:w="780" w:type="dxa"/>
            <w:tcBorders>
              <w:top w:val="nil"/>
              <w:left w:val="nil"/>
              <w:bottom w:val="single" w:color="000000" w:sz="4" w:space="0"/>
              <w:right w:val="single" w:color="000000" w:sz="4"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895.00 </w:t>
            </w:r>
          </w:p>
        </w:tc>
        <w:tc>
          <w:tcPr>
            <w:tcW w:w="780" w:type="dxa"/>
            <w:tcBorders>
              <w:top w:val="nil"/>
              <w:left w:val="nil"/>
              <w:bottom w:val="single" w:color="000000" w:sz="4" w:space="0"/>
              <w:right w:val="single" w:color="000000" w:sz="4" w:space="0"/>
            </w:tcBorders>
            <w:shd w:val="clear" w:color="auto" w:fill="auto"/>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18"/>
                <w:szCs w:val="18"/>
                <w:u w:val="none"/>
              </w:rPr>
            </w:pPr>
          </w:p>
        </w:tc>
        <w:tc>
          <w:tcPr>
            <w:tcW w:w="780" w:type="dxa"/>
            <w:tcBorders>
              <w:top w:val="nil"/>
              <w:left w:val="nil"/>
              <w:bottom w:val="single" w:color="000000" w:sz="4" w:space="0"/>
              <w:right w:val="single" w:color="000000" w:sz="4"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510.00 </w:t>
            </w:r>
          </w:p>
        </w:tc>
        <w:tc>
          <w:tcPr>
            <w:tcW w:w="780" w:type="dxa"/>
            <w:tcBorders>
              <w:top w:val="nil"/>
              <w:left w:val="nil"/>
              <w:bottom w:val="single" w:color="000000" w:sz="4" w:space="0"/>
              <w:right w:val="single" w:color="000000" w:sz="4" w:space="0"/>
            </w:tcBorders>
            <w:shd w:val="clear" w:color="auto" w:fill="auto"/>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18"/>
                <w:szCs w:val="18"/>
                <w:u w:val="none"/>
              </w:rPr>
            </w:pPr>
          </w:p>
        </w:tc>
        <w:tc>
          <w:tcPr>
            <w:tcW w:w="780" w:type="dxa"/>
            <w:tcBorders>
              <w:top w:val="nil"/>
              <w:left w:val="nil"/>
              <w:bottom w:val="single" w:color="000000" w:sz="4" w:space="0"/>
              <w:right w:val="single" w:color="000000" w:sz="4"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510.00 </w:t>
            </w:r>
          </w:p>
        </w:tc>
        <w:tc>
          <w:tcPr>
            <w:tcW w:w="780" w:type="dxa"/>
            <w:tcBorders>
              <w:top w:val="nil"/>
              <w:left w:val="nil"/>
              <w:bottom w:val="single" w:color="000000" w:sz="4" w:space="0"/>
              <w:right w:val="single" w:color="000000" w:sz="4"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385.00 </w:t>
            </w:r>
          </w:p>
        </w:tc>
      </w:tr>
    </w:tbl>
    <w:p>
      <w:pPr>
        <w:pStyle w:val="2"/>
        <w:rPr>
          <w:rFonts w:hint="eastAsia"/>
        </w:rPr>
      </w:pPr>
    </w:p>
    <w:p>
      <w:pPr>
        <w:bidi w:val="0"/>
      </w:pPr>
    </w:p>
    <w:p>
      <w:pPr>
        <w:widowControl/>
        <w:shd w:val="clear" w:color="auto" w:fill="FFFFFF"/>
        <w:spacing w:line="480" w:lineRule="auto"/>
        <w:ind w:firstLine="600" w:firstLineChars="200"/>
        <w:jc w:val="left"/>
        <w:rPr>
          <w:rFonts w:ascii="宋体" w:hAnsi="宋体" w:eastAsia="宋体" w:cs="宋体"/>
          <w:sz w:val="30"/>
          <w:szCs w:val="30"/>
        </w:rPr>
      </w:pPr>
    </w:p>
    <w:p>
      <w:pPr>
        <w:ind w:firstLine="361" w:firstLineChars="100"/>
        <w:rPr>
          <w:b/>
          <w:sz w:val="36"/>
          <w:szCs w:val="36"/>
        </w:rPr>
      </w:pPr>
    </w:p>
    <w:p>
      <w:pPr>
        <w:ind w:firstLine="361" w:firstLineChars="100"/>
        <w:rPr>
          <w:b/>
          <w:sz w:val="36"/>
          <w:szCs w:val="36"/>
        </w:rPr>
      </w:pPr>
    </w:p>
    <w:p>
      <w:pPr>
        <w:ind w:firstLine="361" w:firstLineChars="100"/>
        <w:rPr>
          <w:b/>
          <w:sz w:val="36"/>
          <w:szCs w:val="36"/>
        </w:rPr>
      </w:pPr>
    </w:p>
    <w:p>
      <w:pPr>
        <w:ind w:firstLine="361" w:firstLineChars="100"/>
        <w:rPr>
          <w:b/>
          <w:sz w:val="36"/>
          <w:szCs w:val="36"/>
        </w:rPr>
      </w:pPr>
    </w:p>
    <w:p>
      <w:pPr>
        <w:pStyle w:val="4"/>
        <w:rPr>
          <w:rFonts w:hint="eastAsia" w:eastAsia="仿宋"/>
          <w:lang w:eastAsia="zh-CN"/>
        </w:rPr>
      </w:pPr>
    </w:p>
    <w:p>
      <w:pPr>
        <w:pStyle w:val="3"/>
        <w:rPr>
          <w:rFonts w:hint="eastAsia" w:eastAsia="仿宋"/>
          <w:lang w:eastAsia="zh-CN"/>
        </w:rPr>
      </w:pPr>
    </w:p>
    <w:p>
      <w:pPr>
        <w:rPr>
          <w:rFonts w:hint="eastAsia" w:eastAsia="仿宋"/>
          <w:lang w:eastAsia="zh-CN"/>
        </w:rPr>
      </w:pPr>
    </w:p>
    <w:p>
      <w:pPr>
        <w:pStyle w:val="2"/>
        <w:rPr>
          <w:rFonts w:hint="eastAsia"/>
          <w:lang w:eastAsia="zh-CN"/>
        </w:rPr>
      </w:pPr>
    </w:p>
    <w:p>
      <w:pPr>
        <w:pStyle w:val="3"/>
        <w:rPr>
          <w:rFonts w:hint="eastAsia"/>
          <w:lang w:eastAsia="zh-CN"/>
        </w:rPr>
      </w:pPr>
    </w:p>
    <w:p>
      <w:pPr>
        <w:rPr>
          <w:rFonts w:hint="eastAsia"/>
          <w:lang w:eastAsia="zh-CN"/>
        </w:rPr>
      </w:pPr>
    </w:p>
    <w:p>
      <w:pPr>
        <w:ind w:firstLine="210" w:firstLineChars="100"/>
        <w:rPr>
          <w:b/>
          <w:sz w:val="36"/>
          <w:szCs w:val="36"/>
        </w:rPr>
      </w:pPr>
      <w:r>
        <w:rPr>
          <w:sz w:val="21"/>
        </w:rPr>
        <w:pict>
          <v:shape id="_x0000_s2052" o:spid="_x0000_s2052" o:spt="202" type="#_x0000_t202" style="position:absolute;left:0pt;margin-left:-96.45pt;margin-top:16pt;height:124.4pt;width:596.95pt;z-index:251661312;mso-width-relative:page;mso-height-relative:page;" fillcolor="#9DC3E6" filled="t" stroked="t" coordsize="21600,21600">
            <v:path/>
            <v:fill type="gradientRadial" on="t" color2="fill lighten(147)" focus="100%" focussize="0f,0f" focusposition="0f,0f" method="linear sigma">
              <o:fill type="gradientCenter" v:ext="backwardCompatible"/>
            </v:fill>
            <v:stroke color="#FFC000"/>
            <v:imagedata o:title=""/>
            <o:lock v:ext="edit" aspectratio="f"/>
            <v:textbox>
              <w:txbxContent>
                <w:p>
                  <w:pPr>
                    <w:rPr>
                      <w:rFonts w:hint="eastAsia" w:ascii="黑体" w:hAnsi="黑体" w:eastAsia="黑体" w:cs="黑体"/>
                      <w:b/>
                      <w:sz w:val="44"/>
                      <w:szCs w:val="44"/>
                    </w:rPr>
                  </w:pPr>
                </w:p>
                <w:p>
                  <w:pPr>
                    <w:keepNext w:val="0"/>
                    <w:keepLines w:val="0"/>
                    <w:pageBreakBefore w:val="0"/>
                    <w:widowControl w:val="0"/>
                    <w:kinsoku/>
                    <w:wordWrap/>
                    <w:overflowPunct/>
                    <w:topLinePunct w:val="0"/>
                    <w:autoSpaceDE/>
                    <w:autoSpaceDN/>
                    <w:bidi w:val="0"/>
                    <w:adjustRightInd/>
                    <w:snapToGrid/>
                    <w:ind w:firstLine="1325" w:firstLineChars="300"/>
                    <w:jc w:val="left"/>
                    <w:textAlignment w:val="auto"/>
                    <w:rPr>
                      <w:rFonts w:ascii="黑体" w:hAnsi="黑体" w:eastAsia="黑体" w:cs="黑体"/>
                      <w:b/>
                      <w:sz w:val="44"/>
                      <w:szCs w:val="44"/>
                    </w:rPr>
                  </w:pPr>
                  <w:r>
                    <w:rPr>
                      <w:rFonts w:hint="eastAsia" w:ascii="黑体" w:hAnsi="黑体" w:eastAsia="黑体" w:cs="黑体"/>
                      <w:b/>
                      <w:sz w:val="44"/>
                      <w:szCs w:val="44"/>
                    </w:rPr>
                    <w:t>三、关于202</w:t>
                  </w:r>
                  <w:r>
                    <w:rPr>
                      <w:rFonts w:hint="eastAsia" w:ascii="黑体" w:hAnsi="黑体" w:eastAsia="黑体" w:cs="黑体"/>
                      <w:b/>
                      <w:sz w:val="44"/>
                      <w:szCs w:val="44"/>
                      <w:lang w:val="en-US" w:eastAsia="zh-CN"/>
                    </w:rPr>
                    <w:t>1</w:t>
                  </w:r>
                  <w:r>
                    <w:rPr>
                      <w:rFonts w:hint="eastAsia" w:ascii="黑体" w:hAnsi="黑体" w:eastAsia="黑体" w:cs="黑体"/>
                      <w:b/>
                      <w:sz w:val="44"/>
                      <w:szCs w:val="44"/>
                    </w:rPr>
                    <w:t>年南县政府债务情况说明</w:t>
                  </w:r>
                </w:p>
                <w:p>
                  <w:pPr>
                    <w:keepNext w:val="0"/>
                    <w:keepLines w:val="0"/>
                    <w:pageBreakBefore w:val="0"/>
                    <w:widowControl w:val="0"/>
                    <w:kinsoku/>
                    <w:wordWrap/>
                    <w:overflowPunct/>
                    <w:topLinePunct w:val="0"/>
                    <w:autoSpaceDE/>
                    <w:autoSpaceDN/>
                    <w:bidi w:val="0"/>
                    <w:adjustRightInd/>
                    <w:snapToGrid/>
                    <w:ind w:firstLine="960" w:firstLineChars="300"/>
                    <w:jc w:val="left"/>
                    <w:textAlignment w:val="auto"/>
                  </w:pPr>
                </w:p>
              </w:txbxContent>
            </v:textbox>
          </v:shape>
        </w:pict>
      </w:r>
    </w:p>
    <w:p>
      <w:pPr>
        <w:ind w:firstLine="361" w:firstLineChars="100"/>
        <w:rPr>
          <w:b/>
          <w:sz w:val="36"/>
          <w:szCs w:val="36"/>
        </w:rPr>
      </w:pPr>
    </w:p>
    <w:p>
      <w:pPr>
        <w:ind w:firstLine="361" w:firstLineChars="100"/>
        <w:rPr>
          <w:b/>
          <w:sz w:val="36"/>
          <w:szCs w:val="36"/>
        </w:rPr>
      </w:pPr>
    </w:p>
    <w:p>
      <w:pPr>
        <w:ind w:firstLine="361" w:firstLineChars="100"/>
        <w:rPr>
          <w:b/>
          <w:sz w:val="36"/>
          <w:szCs w:val="36"/>
        </w:rPr>
      </w:pPr>
    </w:p>
    <w:p>
      <w:pPr>
        <w:bidi w:val="0"/>
        <w:rPr>
          <w:rFonts w:hint="eastAsia"/>
        </w:rPr>
      </w:pPr>
    </w:p>
    <w:p>
      <w:pPr>
        <w:bidi w:val="0"/>
        <w:ind w:firstLine="640" w:firstLineChars="200"/>
        <w:rPr>
          <w:rFonts w:hint="eastAsia"/>
        </w:rPr>
      </w:pPr>
      <w:r>
        <w:rPr>
          <w:rFonts w:hint="eastAsia"/>
        </w:rPr>
        <w:t>202</w:t>
      </w:r>
      <w:r>
        <w:rPr>
          <w:rFonts w:hint="eastAsia"/>
          <w:lang w:val="en-US" w:eastAsia="zh-CN"/>
        </w:rPr>
        <w:t>1</w:t>
      </w:r>
      <w:r>
        <w:rPr>
          <w:rFonts w:hint="eastAsia"/>
        </w:rPr>
        <w:t>年，我县地方政府债务限额</w:t>
      </w:r>
      <w:r>
        <w:rPr>
          <w:rFonts w:hint="eastAsia"/>
          <w:lang w:val="en-US" w:eastAsia="zh-CN"/>
        </w:rPr>
        <w:t>375551</w:t>
      </w:r>
      <w:r>
        <w:rPr>
          <w:rFonts w:hint="eastAsia"/>
        </w:rPr>
        <w:t>万元，即我县 </w:t>
      </w:r>
      <w:r>
        <w:rPr>
          <w:rFonts w:hint="eastAsia"/>
          <w:lang w:val="en-US" w:eastAsia="zh-CN"/>
        </w:rPr>
        <w:t>2020</w:t>
      </w:r>
      <w:r>
        <w:rPr>
          <w:rFonts w:hint="eastAsia"/>
        </w:rPr>
        <w:t xml:space="preserve">年政府债务限额 </w:t>
      </w:r>
      <w:r>
        <w:rPr>
          <w:rFonts w:hint="eastAsia"/>
          <w:lang w:val="en-US" w:eastAsia="zh-CN"/>
        </w:rPr>
        <w:t>297051</w:t>
      </w:r>
      <w:r>
        <w:rPr>
          <w:rFonts w:hint="eastAsia"/>
        </w:rPr>
        <w:t>万元，加上 202</w:t>
      </w:r>
      <w:r>
        <w:rPr>
          <w:rFonts w:hint="eastAsia"/>
          <w:lang w:val="en-US" w:eastAsia="zh-CN"/>
        </w:rPr>
        <w:t>1</w:t>
      </w:r>
      <w:r>
        <w:rPr>
          <w:rFonts w:hint="eastAsia"/>
        </w:rPr>
        <w:t> 年新增债务限额</w:t>
      </w:r>
      <w:r>
        <w:rPr>
          <w:rFonts w:hint="eastAsia"/>
          <w:lang w:val="en-US" w:eastAsia="zh-CN"/>
        </w:rPr>
        <w:t>78500</w:t>
      </w:r>
      <w:r>
        <w:rPr>
          <w:rFonts w:hint="eastAsia"/>
        </w:rPr>
        <w:t>万元，则202</w:t>
      </w:r>
      <w:r>
        <w:rPr>
          <w:rFonts w:hint="eastAsia"/>
          <w:lang w:val="en-US" w:eastAsia="zh-CN"/>
        </w:rPr>
        <w:t>1</w:t>
      </w:r>
      <w:r>
        <w:rPr>
          <w:rFonts w:hint="eastAsia"/>
        </w:rPr>
        <w:t xml:space="preserve">年政府债务限额 </w:t>
      </w:r>
      <w:r>
        <w:rPr>
          <w:rFonts w:hint="eastAsia"/>
          <w:lang w:val="en-US" w:eastAsia="zh-CN"/>
        </w:rPr>
        <w:t>375551</w:t>
      </w:r>
      <w:r>
        <w:rPr>
          <w:rFonts w:hint="eastAsia"/>
        </w:rPr>
        <w:t>万元，其中一般债务限额</w:t>
      </w:r>
      <w:r>
        <w:rPr>
          <w:rFonts w:hint="eastAsia"/>
          <w:lang w:val="en-US" w:eastAsia="zh-CN"/>
        </w:rPr>
        <w:t>265920</w:t>
      </w:r>
      <w:r>
        <w:rPr>
          <w:rFonts w:hint="eastAsia"/>
        </w:rPr>
        <w:t>万元，专项债务限额</w:t>
      </w:r>
      <w:r>
        <w:rPr>
          <w:rFonts w:hint="eastAsia"/>
          <w:lang w:val="en-US" w:eastAsia="zh-CN"/>
        </w:rPr>
        <w:t>109631</w:t>
      </w:r>
      <w:r>
        <w:rPr>
          <w:rFonts w:hint="eastAsia"/>
        </w:rPr>
        <w:t>万元。</w:t>
      </w:r>
    </w:p>
    <w:p>
      <w:pPr>
        <w:bidi w:val="0"/>
        <w:ind w:firstLine="640" w:firstLineChars="200"/>
        <w:rPr>
          <w:rFonts w:hint="eastAsia"/>
        </w:rPr>
      </w:pPr>
      <w:r>
        <w:rPr>
          <w:rFonts w:hint="eastAsia"/>
        </w:rPr>
        <w:t>根据上述限额，202</w:t>
      </w:r>
      <w:r>
        <w:rPr>
          <w:rFonts w:hint="eastAsia"/>
          <w:lang w:val="en-US" w:eastAsia="zh-CN"/>
        </w:rPr>
        <w:t>1</w:t>
      </w:r>
      <w:r>
        <w:rPr>
          <w:rFonts w:hint="eastAsia"/>
        </w:rPr>
        <w:t> 年我县发行新增债券</w:t>
      </w:r>
      <w:r>
        <w:rPr>
          <w:rFonts w:hint="eastAsia"/>
          <w:lang w:val="en-US" w:eastAsia="zh-CN"/>
        </w:rPr>
        <w:t>77900</w:t>
      </w:r>
      <w:r>
        <w:rPr>
          <w:rFonts w:hint="eastAsia"/>
        </w:rPr>
        <w:t>万元，再融资债券 18967万元， 共计</w:t>
      </w:r>
      <w:r>
        <w:rPr>
          <w:rFonts w:hint="eastAsia"/>
          <w:lang w:val="en-US" w:eastAsia="zh-CN"/>
        </w:rPr>
        <w:t>96867</w:t>
      </w:r>
      <w:r>
        <w:rPr>
          <w:rFonts w:hint="eastAsia"/>
        </w:rPr>
        <w:t>万元。</w:t>
      </w:r>
    </w:p>
    <w:p>
      <w:pPr>
        <w:bidi w:val="0"/>
        <w:ind w:firstLine="640" w:firstLineChars="200"/>
        <w:rPr>
          <w:rFonts w:hint="eastAsia"/>
        </w:rPr>
      </w:pPr>
      <w:r>
        <w:rPr>
          <w:rFonts w:hint="eastAsia"/>
        </w:rPr>
        <w:t>202</w:t>
      </w:r>
      <w:r>
        <w:rPr>
          <w:rFonts w:hint="eastAsia"/>
          <w:lang w:val="en-US" w:eastAsia="zh-CN"/>
        </w:rPr>
        <w:t>1</w:t>
      </w:r>
      <w:r>
        <w:rPr>
          <w:rFonts w:hint="eastAsia"/>
        </w:rPr>
        <w:t>年债务还本支出1</w:t>
      </w:r>
      <w:r>
        <w:rPr>
          <w:rFonts w:hint="eastAsia"/>
          <w:lang w:val="en-US" w:eastAsia="zh-CN"/>
        </w:rPr>
        <w:t>8967</w:t>
      </w:r>
      <w:r>
        <w:rPr>
          <w:rFonts w:hint="eastAsia"/>
        </w:rPr>
        <w:t>万元，其中:一般债务还本支出</w:t>
      </w:r>
      <w:r>
        <w:rPr>
          <w:rFonts w:hint="eastAsia"/>
          <w:lang w:val="en-US" w:eastAsia="zh-CN"/>
        </w:rPr>
        <w:t>18967</w:t>
      </w:r>
      <w:r>
        <w:rPr>
          <w:rFonts w:hint="eastAsia"/>
        </w:rPr>
        <w:t>万元，专项债务还本0万元。</w:t>
      </w:r>
    </w:p>
    <w:p>
      <w:pPr>
        <w:bidi w:val="0"/>
        <w:ind w:firstLine="640" w:firstLineChars="200"/>
        <w:rPr>
          <w:rFonts w:hint="eastAsia"/>
        </w:rPr>
      </w:pPr>
      <w:r>
        <w:rPr>
          <w:rFonts w:hint="eastAsia"/>
        </w:rPr>
        <w:t>202</w:t>
      </w:r>
      <w:r>
        <w:rPr>
          <w:rFonts w:hint="eastAsia"/>
          <w:lang w:val="en-US" w:eastAsia="zh-CN"/>
        </w:rPr>
        <w:t>1</w:t>
      </w:r>
      <w:r>
        <w:rPr>
          <w:rFonts w:hint="eastAsia"/>
        </w:rPr>
        <w:t>年债务付息支出</w:t>
      </w:r>
      <w:r>
        <w:rPr>
          <w:rFonts w:hint="eastAsia"/>
          <w:lang w:val="en-US" w:eastAsia="zh-CN"/>
        </w:rPr>
        <w:t>10421</w:t>
      </w:r>
      <w:r>
        <w:rPr>
          <w:rFonts w:hint="eastAsia"/>
        </w:rPr>
        <w:t>万元，其中：一般债务付息支出</w:t>
      </w:r>
      <w:r>
        <w:rPr>
          <w:rFonts w:hint="eastAsia"/>
          <w:lang w:val="en-US" w:eastAsia="zh-CN"/>
        </w:rPr>
        <w:t>7938</w:t>
      </w:r>
      <w:r>
        <w:rPr>
          <w:rFonts w:hint="eastAsia"/>
        </w:rPr>
        <w:t>万元，专项债务付息支出</w:t>
      </w:r>
      <w:r>
        <w:rPr>
          <w:rFonts w:hint="eastAsia"/>
          <w:lang w:val="en-US" w:eastAsia="zh-CN"/>
        </w:rPr>
        <w:t>2483</w:t>
      </w:r>
      <w:r>
        <w:rPr>
          <w:rFonts w:hint="eastAsia"/>
        </w:rPr>
        <w:t>万元。</w:t>
      </w:r>
    </w:p>
    <w:p>
      <w:pPr>
        <w:bidi w:val="0"/>
        <w:ind w:firstLine="640" w:firstLineChars="200"/>
        <w:rPr>
          <w:rFonts w:hint="eastAsia" w:ascii="仿宋" w:hAnsi="仿宋" w:eastAsia="仿宋" w:cs="仿宋"/>
          <w:color w:val="000000" w:themeColor="text1"/>
          <w:kern w:val="0"/>
          <w:sz w:val="32"/>
          <w:szCs w:val="32"/>
        </w:rPr>
      </w:pPr>
      <w:r>
        <w:rPr>
          <w:rFonts w:hint="eastAsia"/>
        </w:rPr>
        <w:t>截至 202</w:t>
      </w:r>
      <w:r>
        <w:rPr>
          <w:rFonts w:hint="eastAsia"/>
          <w:lang w:val="en-US" w:eastAsia="zh-CN"/>
        </w:rPr>
        <w:t>1</w:t>
      </w:r>
      <w:r>
        <w:rPr>
          <w:rFonts w:hint="eastAsia"/>
        </w:rPr>
        <w:t xml:space="preserve">年底，我县地方政府债务余额 </w:t>
      </w:r>
      <w:r>
        <w:rPr>
          <w:rFonts w:hint="eastAsia"/>
          <w:lang w:val="en-US" w:eastAsia="zh-CN"/>
        </w:rPr>
        <w:t>374948</w:t>
      </w:r>
      <w:r>
        <w:rPr>
          <w:rFonts w:hint="eastAsia"/>
        </w:rPr>
        <w:t>万元，其中：一般债务余额</w:t>
      </w:r>
      <w:r>
        <w:rPr>
          <w:rFonts w:hint="eastAsia"/>
          <w:lang w:val="en-US" w:eastAsia="zh-CN"/>
        </w:rPr>
        <w:t>265317</w:t>
      </w:r>
      <w:r>
        <w:rPr>
          <w:rFonts w:hint="eastAsia"/>
        </w:rPr>
        <w:t>万元，专项债务余额</w:t>
      </w:r>
      <w:r>
        <w:rPr>
          <w:rFonts w:hint="eastAsia"/>
          <w:lang w:val="en-US" w:eastAsia="zh-CN"/>
        </w:rPr>
        <w:t>109631</w:t>
      </w:r>
      <w:r>
        <w:rPr>
          <w:rFonts w:hint="eastAsia"/>
        </w:rPr>
        <w:t>万元。控制在中央核定的债务限额</w:t>
      </w:r>
      <w:r>
        <w:rPr>
          <w:rFonts w:hint="eastAsia"/>
          <w:lang w:val="en-US" w:eastAsia="zh-CN"/>
        </w:rPr>
        <w:t>375551</w:t>
      </w:r>
      <w:r>
        <w:rPr>
          <w:rFonts w:hint="eastAsia"/>
        </w:rPr>
        <w:t>万元以内。202</w:t>
      </w:r>
      <w:r>
        <w:rPr>
          <w:rFonts w:hint="eastAsia"/>
          <w:lang w:val="en-US" w:eastAsia="zh-CN"/>
        </w:rPr>
        <w:t>1</w:t>
      </w:r>
      <w:r>
        <w:rPr>
          <w:rFonts w:hint="eastAsia"/>
        </w:rPr>
        <w:t>年平均利率3.5</w:t>
      </w:r>
      <w:r>
        <w:rPr>
          <w:rFonts w:hint="eastAsia"/>
          <w:lang w:val="en-US" w:eastAsia="zh-CN"/>
        </w:rPr>
        <w:t>8</w:t>
      </w:r>
      <w:r>
        <w:rPr>
          <w:rFonts w:hint="eastAsia"/>
        </w:rPr>
        <w:t>%。</w:t>
      </w:r>
      <w:r>
        <w:rPr>
          <w:rFonts w:hint="eastAsia"/>
          <w:lang w:val="en-US" w:eastAsia="zh-CN"/>
        </w:rPr>
        <w:t>新增</w:t>
      </w:r>
      <w:r>
        <w:rPr>
          <w:rFonts w:hint="eastAsia"/>
        </w:rPr>
        <w:t>债券从申报到发行再到使用，严格按照省厅下发的专项债券负面清单管理，依法依规用于公益性资本支出，按时按量拨付到项目单位，并对项目单位资金使用进行动态监管，确保债券资金不沉淀，不挪用。</w:t>
      </w:r>
    </w:p>
    <w:p>
      <w:pPr>
        <w:rPr>
          <w:rFonts w:hint="eastAsia"/>
        </w:rPr>
      </w:pPr>
    </w:p>
    <w:p>
      <w:pPr>
        <w:pStyle w:val="4"/>
        <w:rPr>
          <w:rFonts w:hint="eastAsia" w:eastAsia="仿宋"/>
          <w:lang w:eastAsia="zh-CN"/>
        </w:rPr>
      </w:pPr>
      <w:r>
        <w:rPr>
          <w:rFonts w:hint="eastAsia" w:eastAsia="仿宋"/>
          <w:lang w:eastAsia="zh-CN"/>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3"/>
        <w:rPr>
          <w:rFonts w:hint="eastAsia"/>
        </w:rPr>
      </w:pPr>
    </w:p>
    <w:p>
      <w:pPr>
        <w:rPr>
          <w:rFonts w:hint="eastAsia"/>
        </w:rPr>
      </w:pPr>
    </w:p>
    <w:p>
      <w:pPr>
        <w:pStyle w:val="4"/>
        <w:rPr>
          <w:rFonts w:hint="eastAsia"/>
        </w:rPr>
      </w:pPr>
    </w:p>
    <w:p>
      <w:pPr>
        <w:pStyle w:val="3"/>
        <w:rPr>
          <w:rFonts w:hint="eastAsia"/>
        </w:rPr>
      </w:pPr>
    </w:p>
    <w:p>
      <w:pPr>
        <w:rPr>
          <w:rFonts w:hint="eastAsia"/>
        </w:rPr>
      </w:pPr>
    </w:p>
    <w:p>
      <w:pPr>
        <w:pStyle w:val="4"/>
        <w:rPr>
          <w:rFonts w:hint="eastAsia"/>
        </w:rPr>
      </w:pPr>
    </w:p>
    <w:p>
      <w:pPr>
        <w:rPr>
          <w:rFonts w:hint="eastAsia"/>
        </w:rPr>
      </w:pPr>
    </w:p>
    <w:p>
      <w:pPr>
        <w:rPr>
          <w:rFonts w:hint="eastAsia"/>
        </w:rPr>
      </w:pPr>
    </w:p>
    <w:p>
      <w:pPr>
        <w:pStyle w:val="3"/>
      </w:pPr>
    </w:p>
    <w:p>
      <w:pPr>
        <w:pStyle w:val="2"/>
      </w:pPr>
      <w:bookmarkStart w:id="0" w:name="_GoBack"/>
      <w:bookmarkEnd w:id="0"/>
    </w:p>
    <w:p/>
    <w:p>
      <w:pPr>
        <w:rPr>
          <w:b/>
          <w:sz w:val="30"/>
          <w:szCs w:val="30"/>
        </w:rPr>
      </w:pPr>
      <w:r>
        <w:rPr>
          <w:sz w:val="21"/>
        </w:rPr>
        <w:pict>
          <v:shape id="_x0000_s2053" o:spid="_x0000_s2053" o:spt="202" type="#_x0000_t202" style="position:absolute;left:0pt;margin-left:-92.9pt;margin-top:7.9pt;height:124.4pt;width:601.4pt;z-index:251662336;mso-width-relative:page;mso-height-relative:page;" fillcolor="#9DC3E6" filled="t" stroked="t" coordsize="21600,21600">
            <v:path/>
            <v:fill type="gradientRadial" on="t" color2="fill lighten(147)" focus="100%" focussize="0f,0f" focusposition="0f,0f" method="linear sigma">
              <o:fill type="gradientCenter" v:ext="backwardCompatible"/>
            </v:fill>
            <v:stroke color="#FFC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ind w:firstLine="900" w:firstLineChars="300"/>
                    <w:jc w:val="left"/>
                    <w:textAlignment w:val="auto"/>
                    <w:rPr>
                      <w:rFonts w:hint="eastAsia"/>
                      <w:sz w:val="30"/>
                      <w:szCs w:val="30"/>
                    </w:rPr>
                  </w:pPr>
                </w:p>
                <w:p>
                  <w:pPr>
                    <w:keepNext w:val="0"/>
                    <w:keepLines w:val="0"/>
                    <w:pageBreakBefore w:val="0"/>
                    <w:widowControl w:val="0"/>
                    <w:kinsoku/>
                    <w:wordWrap/>
                    <w:overflowPunct/>
                    <w:topLinePunct w:val="0"/>
                    <w:autoSpaceDE/>
                    <w:autoSpaceDN/>
                    <w:bidi w:val="0"/>
                    <w:adjustRightInd/>
                    <w:snapToGrid/>
                    <w:ind w:firstLine="1320" w:firstLineChars="300"/>
                    <w:jc w:val="left"/>
                    <w:textAlignment w:val="auto"/>
                    <w:rPr>
                      <w:rFonts w:ascii="黑体" w:hAnsi="黑体" w:eastAsia="黑体" w:cs="黑体"/>
                      <w:b/>
                      <w:bCs/>
                      <w:sz w:val="44"/>
                      <w:szCs w:val="44"/>
                    </w:rPr>
                  </w:pPr>
                  <w:r>
                    <w:rPr>
                      <w:rFonts w:hint="eastAsia" w:ascii="黑体" w:hAnsi="黑体" w:eastAsia="黑体" w:cs="黑体"/>
                      <w:sz w:val="44"/>
                      <w:szCs w:val="44"/>
                    </w:rPr>
                    <w:t>四、关于</w:t>
                  </w:r>
                  <w:r>
                    <w:rPr>
                      <w:rFonts w:hint="eastAsia" w:ascii="黑体" w:hAnsi="黑体" w:eastAsia="黑体" w:cs="黑体"/>
                      <w:b/>
                      <w:bCs/>
                      <w:sz w:val="44"/>
                      <w:szCs w:val="44"/>
                    </w:rPr>
                    <w:t>202</w:t>
                  </w:r>
                  <w:r>
                    <w:rPr>
                      <w:rFonts w:hint="eastAsia" w:ascii="黑体" w:hAnsi="黑体" w:eastAsia="黑体" w:cs="黑体"/>
                      <w:b/>
                      <w:bCs/>
                      <w:sz w:val="44"/>
                      <w:szCs w:val="44"/>
                      <w:lang w:val="en-US" w:eastAsia="zh-CN"/>
                    </w:rPr>
                    <w:t>1</w:t>
                  </w:r>
                  <w:r>
                    <w:rPr>
                      <w:rFonts w:hint="eastAsia" w:ascii="黑体" w:hAnsi="黑体" w:eastAsia="黑体" w:cs="黑体"/>
                      <w:b/>
                      <w:bCs/>
                      <w:sz w:val="44"/>
                      <w:szCs w:val="44"/>
                    </w:rPr>
                    <w:t>年度南县预算绩效管理工作情况说明</w:t>
                  </w:r>
                </w:p>
                <w:p>
                  <w:pPr>
                    <w:keepNext w:val="0"/>
                    <w:keepLines w:val="0"/>
                    <w:pageBreakBefore w:val="0"/>
                    <w:widowControl w:val="0"/>
                    <w:kinsoku/>
                    <w:wordWrap/>
                    <w:overflowPunct/>
                    <w:topLinePunct w:val="0"/>
                    <w:autoSpaceDE/>
                    <w:autoSpaceDN/>
                    <w:bidi w:val="0"/>
                    <w:adjustRightInd/>
                    <w:snapToGrid/>
                    <w:ind w:firstLine="960" w:firstLineChars="300"/>
                    <w:jc w:val="left"/>
                    <w:textAlignment w:val="auto"/>
                  </w:pPr>
                </w:p>
              </w:txbxContent>
            </v:textbox>
          </v:shape>
        </w:pict>
      </w:r>
    </w:p>
    <w:p>
      <w:pPr>
        <w:rPr>
          <w:b/>
          <w:sz w:val="30"/>
          <w:szCs w:val="30"/>
        </w:rPr>
      </w:pPr>
    </w:p>
    <w:p>
      <w:pPr>
        <w:rPr>
          <w:b/>
          <w:sz w:val="30"/>
          <w:szCs w:val="30"/>
        </w:rPr>
      </w:pPr>
    </w:p>
    <w:p>
      <w:pPr>
        <w:rPr>
          <w:b/>
          <w:sz w:val="30"/>
          <w:szCs w:val="30"/>
        </w:rPr>
      </w:pPr>
    </w:p>
    <w:p>
      <w:pPr>
        <w:spacing w:line="600" w:lineRule="exact"/>
        <w:rPr>
          <w:rFonts w:ascii="仿宋_GB2312" w:hAnsi="仿宋_GB2312" w:eastAsia="仿宋_GB2312" w:cs="仿宋_GB2312"/>
        </w:rPr>
      </w:pPr>
    </w:p>
    <w:p>
      <w:pPr>
        <w:widowControl/>
        <w:shd w:val="clear" w:color="auto" w:fill="FFFFFF"/>
        <w:spacing w:line="480" w:lineRule="auto"/>
        <w:ind w:firstLine="640" w:firstLineChars="200"/>
        <w:jc w:val="left"/>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lang w:val="en-US" w:eastAsia="zh-CN"/>
        </w:rPr>
        <w:t>1.</w:t>
      </w:r>
      <w:r>
        <w:rPr>
          <w:rFonts w:hint="eastAsia" w:ascii="仿宋" w:hAnsi="仿宋" w:eastAsia="仿宋" w:cs="仿宋"/>
          <w:color w:val="000000" w:themeColor="text1"/>
          <w:kern w:val="0"/>
          <w:sz w:val="32"/>
          <w:szCs w:val="32"/>
        </w:rPr>
        <w:t>扶贫项目资金绩效工作圆满完成</w:t>
      </w:r>
    </w:p>
    <w:p>
      <w:pPr>
        <w:widowControl/>
        <w:shd w:val="clear" w:color="auto" w:fill="FFFFFF"/>
        <w:spacing w:line="480" w:lineRule="auto"/>
        <w:ind w:firstLine="640" w:firstLineChars="200"/>
        <w:jc w:val="left"/>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完成2020年度扶贫项目资金绩效自评审核工作及2020年度抗疫国债资金绩效自评审核工作。按照财政部及省财政厅的要求，我们对进入扶贫资金监控系统的2020年度32个扶贫项目,资金共计4807.24万元开展了绩效自评填报及审核工作；完成抗疫国债资金绩效自评审核工作，共4个项目，涉及资金7700万。</w:t>
      </w:r>
    </w:p>
    <w:p>
      <w:pPr>
        <w:widowControl/>
        <w:shd w:val="clear" w:color="auto" w:fill="FFFFFF"/>
        <w:spacing w:line="480" w:lineRule="auto"/>
        <w:ind w:firstLine="640" w:firstLineChars="200"/>
        <w:jc w:val="left"/>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lang w:val="en-US" w:eastAsia="zh-CN"/>
        </w:rPr>
        <w:t>2.</w:t>
      </w:r>
      <w:r>
        <w:rPr>
          <w:rFonts w:hint="eastAsia" w:ascii="仿宋" w:hAnsi="仿宋" w:eastAsia="仿宋" w:cs="仿宋"/>
          <w:color w:val="000000" w:themeColor="text1"/>
          <w:kern w:val="0"/>
          <w:sz w:val="32"/>
          <w:szCs w:val="32"/>
        </w:rPr>
        <w:t>绩效目标申报工作实现扩围提质</w:t>
      </w:r>
    </w:p>
    <w:p>
      <w:pPr>
        <w:widowControl/>
        <w:shd w:val="clear" w:color="auto" w:fill="FFFFFF"/>
        <w:spacing w:line="480" w:lineRule="auto"/>
        <w:ind w:firstLine="640" w:firstLineChars="200"/>
        <w:jc w:val="left"/>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完成了2021年度整体支出及县级专项资金绩效目标申报及批复工作，覆盖率达到了100%。2021年1月下发了关于《开展2021年度一级预算单位整体支出及本级专项资金预算绩效目标申报工作》的通知，要求对一级预算单位整体支出及本级专项资金全部进行绩效目标申报，并对县一级预算单位整体支出及县本级专项资金绩效目标进行了审核，批复工作已经完成。全年批复的项目支出包括公安、交通、司法、生态、发改、国土、教育、文化、旅游、卫生、计生、农业、科技等 103个部门（单位）536个项目，涉及资金115842.6万元。实现了预算单位绩效目标申报与部门预算同步管理。</w:t>
      </w:r>
    </w:p>
    <w:p>
      <w:pPr>
        <w:widowControl/>
        <w:shd w:val="clear" w:color="auto" w:fill="FFFFFF"/>
        <w:spacing w:line="480" w:lineRule="auto"/>
        <w:ind w:firstLine="640" w:firstLineChars="200"/>
        <w:jc w:val="left"/>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lang w:val="en-US" w:eastAsia="zh-CN"/>
        </w:rPr>
        <w:t>3.</w:t>
      </w:r>
      <w:r>
        <w:rPr>
          <w:rFonts w:hint="eastAsia" w:ascii="仿宋" w:hAnsi="仿宋" w:eastAsia="仿宋" w:cs="仿宋"/>
          <w:color w:val="000000" w:themeColor="text1"/>
          <w:kern w:val="0"/>
          <w:sz w:val="32"/>
          <w:szCs w:val="32"/>
        </w:rPr>
        <w:t>预算资金自评工作实现常态化</w:t>
      </w:r>
    </w:p>
    <w:p>
      <w:pPr>
        <w:widowControl/>
        <w:shd w:val="clear" w:color="auto" w:fill="FFFFFF"/>
        <w:spacing w:line="480" w:lineRule="auto"/>
        <w:ind w:firstLine="640" w:firstLineChars="200"/>
        <w:jc w:val="left"/>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完成了2020年度一般公共预算资金的自评工作。2021年3月下发了《关于开展2020年度一般公共预算资金绩效自评工作》的通知，对所有部门整体支出和单位项目支出开展绩效自评，提交绩效自评报告。并要求在各单位或财政局的门户网站上进行公示公开，接受公众监督，多层次推进绩效评价结果公开，提高评价工作透明度和结果公信力。</w:t>
      </w:r>
    </w:p>
    <w:p>
      <w:pPr>
        <w:widowControl/>
        <w:shd w:val="clear" w:color="auto" w:fill="FFFFFF"/>
        <w:spacing w:line="480" w:lineRule="auto"/>
        <w:ind w:firstLine="640" w:firstLineChars="200"/>
        <w:jc w:val="left"/>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lang w:val="en-US" w:eastAsia="zh-CN"/>
        </w:rPr>
        <w:t>4.</w:t>
      </w:r>
      <w:r>
        <w:rPr>
          <w:rFonts w:hint="eastAsia" w:ascii="仿宋" w:hAnsi="仿宋" w:eastAsia="仿宋" w:cs="仿宋"/>
          <w:color w:val="000000" w:themeColor="text1"/>
          <w:kern w:val="0"/>
          <w:sz w:val="32"/>
          <w:szCs w:val="32"/>
        </w:rPr>
        <w:t>重点绩效评价工作稳步推进</w:t>
      </w:r>
    </w:p>
    <w:p>
      <w:pPr>
        <w:widowControl/>
        <w:shd w:val="clear" w:color="auto" w:fill="FFFFFF"/>
        <w:spacing w:line="480" w:lineRule="auto"/>
        <w:ind w:firstLine="640" w:firstLineChars="200"/>
        <w:jc w:val="left"/>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2021年度，采取“业务股室推荐、年初预算筛选、热点民生项目选取”方式，先后对34个县级专项资金项目开展了重点绩效评价，共核查专项资金15688.33万元，涵盖预算单位或部门18个，延伸检查乡镇所站70次。在自评基础上，对项目的决策、实施、产出、效益等方面进行综合评价，其平均得分为83.44分，最高得分95分，最低得分73分。</w:t>
      </w:r>
    </w:p>
    <w:p>
      <w:pPr>
        <w:widowControl/>
        <w:shd w:val="clear" w:color="auto" w:fill="FFFFFF"/>
        <w:spacing w:line="480" w:lineRule="auto"/>
        <w:ind w:firstLine="640" w:firstLineChars="200"/>
        <w:jc w:val="left"/>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lang w:val="en-US" w:eastAsia="zh-CN"/>
        </w:rPr>
        <w:t>5.</w:t>
      </w:r>
      <w:r>
        <w:rPr>
          <w:rFonts w:hint="eastAsia" w:ascii="仿宋" w:hAnsi="仿宋" w:eastAsia="仿宋" w:cs="仿宋"/>
          <w:color w:val="000000" w:themeColor="text1"/>
          <w:kern w:val="0"/>
          <w:sz w:val="32"/>
          <w:szCs w:val="32"/>
        </w:rPr>
        <w:t>整体支出绩效评价常抓不懈</w:t>
      </w:r>
    </w:p>
    <w:p>
      <w:pPr>
        <w:widowControl/>
        <w:shd w:val="clear" w:color="auto" w:fill="FFFFFF"/>
        <w:spacing w:line="480" w:lineRule="auto"/>
        <w:ind w:firstLine="640" w:firstLineChars="200"/>
        <w:jc w:val="left"/>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本年度，我县从一级预算部门中选取了南县一中、南县疾病预防控制中心、南县农业农村局三个单位，聘请第三方对其进行部门整体绩效评价，评价范围涵盖2020年度基本支出和项目支出在内的所有财政资金，并要求根据评价结果进行整改。</w:t>
      </w:r>
    </w:p>
    <w:p>
      <w:pPr>
        <w:widowControl/>
        <w:shd w:val="clear" w:color="auto" w:fill="FFFFFF"/>
        <w:spacing w:line="480" w:lineRule="auto"/>
        <w:ind w:firstLine="640" w:firstLineChars="200"/>
        <w:jc w:val="left"/>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lang w:val="en-US" w:eastAsia="zh-CN"/>
        </w:rPr>
        <w:t>6.</w:t>
      </w:r>
      <w:r>
        <w:rPr>
          <w:rFonts w:hint="eastAsia" w:ascii="仿宋" w:hAnsi="仿宋" w:eastAsia="仿宋" w:cs="仿宋"/>
          <w:color w:val="000000" w:themeColor="text1"/>
          <w:kern w:val="0"/>
          <w:sz w:val="32"/>
          <w:szCs w:val="32"/>
        </w:rPr>
        <w:t>制度建设不断健全</w:t>
      </w:r>
    </w:p>
    <w:p>
      <w:pPr>
        <w:widowControl/>
        <w:shd w:val="clear" w:color="auto" w:fill="FFFFFF"/>
        <w:spacing w:line="480" w:lineRule="auto"/>
        <w:ind w:firstLine="640" w:firstLineChars="200"/>
        <w:jc w:val="left"/>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2021年，提请县政府印发了《南县人民政府关于全面实施预算绩效管理的指导意见》，对我县全面实施预算绩效管理的目标、任务及保障做出了具体分析，对提高我县预算绩效管理水平意义重大，为未来我县绩效管理工作奠定了发展方向。</w:t>
      </w:r>
    </w:p>
    <w:p>
      <w:pPr>
        <w:widowControl/>
        <w:shd w:val="clear" w:color="auto" w:fill="FFFFFF"/>
        <w:spacing w:line="480" w:lineRule="auto"/>
        <w:ind w:firstLine="640" w:firstLineChars="200"/>
        <w:jc w:val="left"/>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 </w:t>
      </w:r>
    </w:p>
    <w:p>
      <w:pPr>
        <w:widowControl/>
        <w:shd w:val="clear" w:color="auto" w:fill="FFFFFF"/>
        <w:spacing w:line="480" w:lineRule="auto"/>
        <w:ind w:firstLine="640" w:firstLineChars="200"/>
        <w:jc w:val="left"/>
        <w:rPr>
          <w:rFonts w:hint="eastAsia" w:ascii="仿宋" w:hAnsi="仿宋" w:eastAsia="仿宋" w:cs="仿宋"/>
          <w:color w:val="000000" w:themeColor="text1"/>
          <w:kern w:val="0"/>
          <w:sz w:val="32"/>
          <w:szCs w:val="32"/>
        </w:rPr>
      </w:pPr>
    </w:p>
    <w:p>
      <w:pPr>
        <w:widowControl/>
        <w:shd w:val="clear" w:color="auto" w:fill="FFFFFF"/>
        <w:spacing w:line="480" w:lineRule="auto"/>
        <w:ind w:firstLine="640" w:firstLineChars="200"/>
        <w:jc w:val="left"/>
        <w:rPr>
          <w:rFonts w:hint="eastAsia" w:ascii="仿宋" w:hAnsi="仿宋" w:eastAsia="仿宋" w:cs="仿宋"/>
          <w:color w:val="000000" w:themeColor="text1"/>
          <w:kern w:val="0"/>
          <w:sz w:val="32"/>
          <w:szCs w:val="32"/>
        </w:rPr>
      </w:pPr>
    </w:p>
    <w:p>
      <w:pPr>
        <w:widowControl/>
        <w:shd w:val="clear" w:color="auto" w:fill="FFFFFF"/>
        <w:spacing w:line="480" w:lineRule="auto"/>
        <w:ind w:firstLine="640" w:firstLineChars="200"/>
        <w:jc w:val="left"/>
        <w:rPr>
          <w:rFonts w:hint="eastAsia" w:ascii="仿宋" w:hAnsi="仿宋" w:eastAsia="仿宋" w:cs="仿宋"/>
          <w:color w:val="000000" w:themeColor="text1"/>
          <w:kern w:val="0"/>
          <w:sz w:val="32"/>
          <w:szCs w:val="32"/>
        </w:rPr>
      </w:pPr>
    </w:p>
    <w:p>
      <w:pPr>
        <w:widowControl/>
        <w:shd w:val="clear" w:color="auto" w:fill="FFFFFF"/>
        <w:spacing w:line="480" w:lineRule="auto"/>
        <w:ind w:firstLine="640" w:firstLineChars="200"/>
        <w:jc w:val="left"/>
        <w:rPr>
          <w:rFonts w:hint="eastAsia" w:ascii="仿宋" w:hAnsi="仿宋" w:eastAsia="仿宋" w:cs="仿宋"/>
          <w:color w:val="000000" w:themeColor="text1"/>
          <w:kern w:val="0"/>
          <w:sz w:val="32"/>
          <w:szCs w:val="32"/>
        </w:rPr>
      </w:pPr>
    </w:p>
    <w:sectPr>
      <w:headerReference r:id="rId5" w:type="default"/>
      <w:footerReference r:id="rId6" w:type="default"/>
      <w:pgSz w:w="11850" w:h="16783"/>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pPr>
      <w:r>
        <w:separator/>
      </w:r>
    </w:p>
  </w:footnote>
  <w:footnote w:type="continuationSeparator" w:id="1">
    <w:p>
      <w:pPr>
        <w:spacing w:line="48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dotted" w:color="auto"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E7D4E"/>
    <w:multiLevelType w:val="singleLevel"/>
    <w:tmpl w:val="033E7D4E"/>
    <w:lvl w:ilvl="0" w:tentative="0">
      <w:start w:val="1"/>
      <w:numFmt w:val="decimal"/>
      <w:suff w:val="nothing"/>
      <w:lvlText w:val="（%1）"/>
      <w:lvlJc w:val="left"/>
    </w:lvl>
  </w:abstractNum>
  <w:abstractNum w:abstractNumId="1">
    <w:nsid w:val="230B582E"/>
    <w:multiLevelType w:val="singleLevel"/>
    <w:tmpl w:val="230B582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M2YzE0YjJmOGE2ZWExNTNhZDc4OTRhYjEzMDk1OGYifQ=="/>
  </w:docVars>
  <w:rsids>
    <w:rsidRoot w:val="731F1D87"/>
    <w:rsid w:val="002B32B4"/>
    <w:rsid w:val="003E7C2D"/>
    <w:rsid w:val="005877F5"/>
    <w:rsid w:val="006A7BB7"/>
    <w:rsid w:val="00740D17"/>
    <w:rsid w:val="007E436B"/>
    <w:rsid w:val="008A2853"/>
    <w:rsid w:val="00B00F4F"/>
    <w:rsid w:val="00F26B55"/>
    <w:rsid w:val="02FE6915"/>
    <w:rsid w:val="04C46A2F"/>
    <w:rsid w:val="05914349"/>
    <w:rsid w:val="062D4B09"/>
    <w:rsid w:val="0888072F"/>
    <w:rsid w:val="0C7402CC"/>
    <w:rsid w:val="0C8C682A"/>
    <w:rsid w:val="0DD85BC2"/>
    <w:rsid w:val="10C73459"/>
    <w:rsid w:val="141454D8"/>
    <w:rsid w:val="149C0630"/>
    <w:rsid w:val="157F04ED"/>
    <w:rsid w:val="15E77FCB"/>
    <w:rsid w:val="171C150C"/>
    <w:rsid w:val="172F175A"/>
    <w:rsid w:val="18865FBE"/>
    <w:rsid w:val="1C020117"/>
    <w:rsid w:val="1C3324C3"/>
    <w:rsid w:val="1D176ECA"/>
    <w:rsid w:val="1E5A013E"/>
    <w:rsid w:val="2024256D"/>
    <w:rsid w:val="20F24F11"/>
    <w:rsid w:val="22324DBA"/>
    <w:rsid w:val="22F11CAA"/>
    <w:rsid w:val="239E4685"/>
    <w:rsid w:val="25AC4CEB"/>
    <w:rsid w:val="25B0796E"/>
    <w:rsid w:val="26AC4B80"/>
    <w:rsid w:val="28DC02B9"/>
    <w:rsid w:val="2A4F241A"/>
    <w:rsid w:val="2C0A47CF"/>
    <w:rsid w:val="2C3916B6"/>
    <w:rsid w:val="2E187120"/>
    <w:rsid w:val="2F2F5238"/>
    <w:rsid w:val="2F43204B"/>
    <w:rsid w:val="314D322A"/>
    <w:rsid w:val="319B2F2C"/>
    <w:rsid w:val="31A35EBA"/>
    <w:rsid w:val="31E43988"/>
    <w:rsid w:val="335F4DC3"/>
    <w:rsid w:val="33A04C43"/>
    <w:rsid w:val="33AC66C5"/>
    <w:rsid w:val="33F055C6"/>
    <w:rsid w:val="346B1773"/>
    <w:rsid w:val="34793538"/>
    <w:rsid w:val="37390EDC"/>
    <w:rsid w:val="37636201"/>
    <w:rsid w:val="38E94889"/>
    <w:rsid w:val="3A696F0D"/>
    <w:rsid w:val="3AA67748"/>
    <w:rsid w:val="3C166A9A"/>
    <w:rsid w:val="3D657ADC"/>
    <w:rsid w:val="3DC71406"/>
    <w:rsid w:val="3F272188"/>
    <w:rsid w:val="42CA782A"/>
    <w:rsid w:val="437F331A"/>
    <w:rsid w:val="43AB7AD9"/>
    <w:rsid w:val="452832A9"/>
    <w:rsid w:val="45857AEE"/>
    <w:rsid w:val="491C07F8"/>
    <w:rsid w:val="4AE40163"/>
    <w:rsid w:val="4BD05960"/>
    <w:rsid w:val="4D0C6327"/>
    <w:rsid w:val="4DAE2DDC"/>
    <w:rsid w:val="4DB23E36"/>
    <w:rsid w:val="4F5D7AAB"/>
    <w:rsid w:val="50B97663"/>
    <w:rsid w:val="5275758C"/>
    <w:rsid w:val="52F008B7"/>
    <w:rsid w:val="53CE5257"/>
    <w:rsid w:val="54186687"/>
    <w:rsid w:val="54620362"/>
    <w:rsid w:val="56E122AF"/>
    <w:rsid w:val="572802EF"/>
    <w:rsid w:val="574F4F4E"/>
    <w:rsid w:val="57C77502"/>
    <w:rsid w:val="581C2A0F"/>
    <w:rsid w:val="59230ACB"/>
    <w:rsid w:val="599C0E6D"/>
    <w:rsid w:val="59E77376"/>
    <w:rsid w:val="5B3E2EAE"/>
    <w:rsid w:val="5BB328C6"/>
    <w:rsid w:val="5C216890"/>
    <w:rsid w:val="5CD62661"/>
    <w:rsid w:val="5DD621CE"/>
    <w:rsid w:val="5F1D1BC2"/>
    <w:rsid w:val="5F6A37EC"/>
    <w:rsid w:val="608B2E0E"/>
    <w:rsid w:val="611D1779"/>
    <w:rsid w:val="61537B9D"/>
    <w:rsid w:val="62E750E4"/>
    <w:rsid w:val="64FD1FFD"/>
    <w:rsid w:val="65EE2909"/>
    <w:rsid w:val="66324C52"/>
    <w:rsid w:val="665B3234"/>
    <w:rsid w:val="668D59CF"/>
    <w:rsid w:val="67AD0940"/>
    <w:rsid w:val="68346681"/>
    <w:rsid w:val="68433C5A"/>
    <w:rsid w:val="68AA2899"/>
    <w:rsid w:val="6C8C3CA0"/>
    <w:rsid w:val="6D0475DF"/>
    <w:rsid w:val="6D2407A1"/>
    <w:rsid w:val="6D3E3815"/>
    <w:rsid w:val="6D6A7A6C"/>
    <w:rsid w:val="6DD1766D"/>
    <w:rsid w:val="702C24BB"/>
    <w:rsid w:val="719621B0"/>
    <w:rsid w:val="71DB3050"/>
    <w:rsid w:val="72D50D77"/>
    <w:rsid w:val="731F1D87"/>
    <w:rsid w:val="7339739F"/>
    <w:rsid w:val="74FA5D9A"/>
    <w:rsid w:val="77EB7040"/>
    <w:rsid w:val="782B77FD"/>
    <w:rsid w:val="797F6FDC"/>
    <w:rsid w:val="79CC4690"/>
    <w:rsid w:val="7C5657E4"/>
    <w:rsid w:val="7D112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auto"/>
      <w:jc w:val="both"/>
    </w:pPr>
    <w:rPr>
      <w:rFonts w:ascii="仿宋" w:hAnsi="仿宋" w:eastAsia="仿宋" w:cstheme="minorBidi"/>
      <w:kern w:val="2"/>
      <w:sz w:val="3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3">
    <w:name w:val="index 5"/>
    <w:basedOn w:val="1"/>
    <w:next w:val="1"/>
    <w:qFormat/>
    <w:uiPriority w:val="0"/>
    <w:pPr>
      <w:ind w:left="1680"/>
    </w:pPr>
    <w:rPr>
      <w:szCs w:val="24"/>
    </w:rPr>
  </w:style>
  <w:style w:type="paragraph" w:styleId="4">
    <w:name w:val="footer"/>
    <w:basedOn w:val="1"/>
    <w:next w:val="3"/>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800">
                <a:latin typeface="楷体" panose="02010609060101010101" charset="-122"/>
                <a:ea typeface="楷体" panose="02010609060101010101" charset="-122"/>
              </a:rPr>
              <a:t>一般公共预算转移支付总体情况（单位：万元）</a:t>
            </a:r>
            <a:endParaRPr sz="1800">
              <a:latin typeface="楷体" panose="02010609060101010101" charset="-122"/>
              <a:ea typeface="楷体" panose="02010609060101010101" charset="-122"/>
            </a:endParaRPr>
          </a:p>
        </c:rich>
      </c:tx>
      <c:layout>
        <c:manualLayout>
          <c:xMode val="edge"/>
          <c:yMode val="edge"/>
          <c:x val="0.1451875"/>
          <c:y val="0.0283333333333333"/>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Pt>
            <c:idx val="1"/>
            <c:invertIfNegative val="0"/>
            <c:bubble3D val="0"/>
            <c:spPr>
              <a:solidFill>
                <a:schemeClr val="accent2"/>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2020年</c:v>
                </c:pt>
              </c:strCache>
            </c:strRef>
          </c:cat>
          <c:val>
            <c:numRef>
              <c:f>Sheet1!$B$2:$B$3</c:f>
              <c:numCache>
                <c:formatCode>General</c:formatCode>
                <c:ptCount val="2"/>
                <c:pt idx="0">
                  <c:v>331745</c:v>
                </c:pt>
                <c:pt idx="1">
                  <c:v>372787</c:v>
                </c:pt>
              </c:numCache>
            </c:numRef>
          </c:val>
        </c:ser>
        <c:dLbls>
          <c:showLegendKey val="0"/>
          <c:showVal val="1"/>
          <c:showCatName val="0"/>
          <c:showSerName val="0"/>
          <c:showPercent val="0"/>
          <c:showBubbleSize val="0"/>
        </c:dLbls>
        <c:gapWidth val="219"/>
        <c:overlap val="-27"/>
        <c:axId val="846683248"/>
        <c:axId val="518808610"/>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2021年</c:v>
                      </c:pt>
                      <c:pt idx="1">
                        <c:v>2020年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2021年</c:v>
                      </c:pt>
                      <c:pt idx="1">
                        <c:v>2020年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8466832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8808610"/>
        <c:crosses val="autoZero"/>
        <c:auto val="1"/>
        <c:lblAlgn val="ctr"/>
        <c:lblOffset val="100"/>
        <c:noMultiLvlLbl val="0"/>
      </c:catAx>
      <c:valAx>
        <c:axId val="51880861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6683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800">
                <a:latin typeface="楷体" panose="02010609060101010101" charset="-122"/>
                <a:ea typeface="楷体" panose="02010609060101010101" charset="-122"/>
              </a:rPr>
              <a:t>一般性转移支付情况（单位：万元）</a:t>
            </a:r>
            <a:endParaRPr sz="1800">
              <a:latin typeface="楷体" panose="02010609060101010101" charset="-122"/>
              <a:ea typeface="楷体" panose="02010609060101010101" charset="-122"/>
            </a:endParaRPr>
          </a:p>
        </c:rich>
      </c:tx>
      <c:layout/>
      <c:overlay val="0"/>
      <c:spPr>
        <a:noFill/>
        <a:ln>
          <a:noFill/>
        </a:ln>
        <a:effectLst/>
      </c:spPr>
    </c:title>
    <c:autoTitleDeleted val="0"/>
    <c:plotArea>
      <c:layout>
        <c:manualLayout>
          <c:layoutTarget val="inner"/>
          <c:xMode val="edge"/>
          <c:yMode val="edge"/>
          <c:x val="0.113370237797941"/>
          <c:y val="0.0957045968349661"/>
          <c:w val="0.864161047753822"/>
          <c:h val="0.455337854810349"/>
        </c:manualLayout>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Sheet1!$A$2:$A$22</c:f>
              <c:strCache>
                <c:ptCount val="21"/>
                <c:pt idx="0">
                  <c:v>均衡性转移支付收入</c:v>
                </c:pt>
                <c:pt idx="1">
                  <c:v>县级基本财力保障机制奖补资金收入</c:v>
                </c:pt>
                <c:pt idx="2">
                  <c:v>结算补助收入</c:v>
                </c:pt>
                <c:pt idx="3">
                  <c:v>企业事业单位划转补助收入</c:v>
                </c:pt>
                <c:pt idx="4">
                  <c:v>产粮(油)大县奖励资金收入</c:v>
                </c:pt>
                <c:pt idx="5">
                  <c:v>重点生态功能区转移支付收入</c:v>
                </c:pt>
                <c:pt idx="6">
                  <c:v>固定数额补助收入</c:v>
                </c:pt>
                <c:pt idx="7">
                  <c:v>革命老区转移支付收入</c:v>
                </c:pt>
                <c:pt idx="8">
                  <c:v>贫困地区转移支付收入</c:v>
                </c:pt>
                <c:pt idx="9">
                  <c:v>公共安全共同财政事权转移支付收入</c:v>
                </c:pt>
                <c:pt idx="10">
                  <c:v>教育共同财政事权转移支付收入</c:v>
                </c:pt>
                <c:pt idx="11">
                  <c:v>文化旅游体育与传媒共同财政事权转移支付收入</c:v>
                </c:pt>
                <c:pt idx="12">
                  <c:v>社会保障和就业共同财政事权转移支付收入</c:v>
                </c:pt>
                <c:pt idx="13">
                  <c:v>医疗卫生共同财政事权转移支付收入</c:v>
                </c:pt>
                <c:pt idx="14">
                  <c:v>节能环保共同财政事权转移支付收入</c:v>
                </c:pt>
                <c:pt idx="15">
                  <c:v>农林水共同财政事权转移支付收入</c:v>
                </c:pt>
                <c:pt idx="16">
                  <c:v>交通运输共同财政事权转移支付收入</c:v>
                </c:pt>
                <c:pt idx="17">
                  <c:v>住房保障共同财政事权转移支付收入</c:v>
                </c:pt>
                <c:pt idx="18">
                  <c:v>粮油物资储备共同财政事权转移支付收入</c:v>
                </c:pt>
                <c:pt idx="19">
                  <c:v>灾害防治及应急管理共同财政事权转移支付收入</c:v>
                </c:pt>
                <c:pt idx="20">
                  <c:v>其他一般性转移支付收入</c:v>
                </c:pt>
              </c:strCache>
            </c:strRef>
          </c:cat>
          <c:val>
            <c:numRef>
              <c:f>Sheet1!$B$2:$B$18</c:f>
              <c:numCache>
                <c:formatCode>#,##0</c:formatCode>
                <c:ptCount val="17"/>
                <c:pt idx="0">
                  <c:v>69797</c:v>
                </c:pt>
                <c:pt idx="1">
                  <c:v>25995</c:v>
                </c:pt>
                <c:pt idx="2">
                  <c:v>3292</c:v>
                </c:pt>
                <c:pt idx="3" c:formatCode="General">
                  <c:v>89</c:v>
                </c:pt>
                <c:pt idx="4">
                  <c:v>4306</c:v>
                </c:pt>
                <c:pt idx="5">
                  <c:v>3446</c:v>
                </c:pt>
                <c:pt idx="6">
                  <c:v>21713</c:v>
                </c:pt>
                <c:pt idx="7">
                  <c:v>1772</c:v>
                </c:pt>
                <c:pt idx="8">
                  <c:v>4072</c:v>
                </c:pt>
                <c:pt idx="9" c:formatCode="General">
                  <c:v>969</c:v>
                </c:pt>
                <c:pt idx="10">
                  <c:v>14120</c:v>
                </c:pt>
                <c:pt idx="11" c:formatCode="General">
                  <c:v>545</c:v>
                </c:pt>
                <c:pt idx="12">
                  <c:v>29449</c:v>
                </c:pt>
                <c:pt idx="13">
                  <c:v>39660</c:v>
                </c:pt>
                <c:pt idx="14">
                  <c:v>1048</c:v>
                </c:pt>
                <c:pt idx="15">
                  <c:v>32629</c:v>
                </c:pt>
                <c:pt idx="16">
                  <c:v>2437</c:v>
                </c:pt>
              </c:numCache>
            </c:numRef>
          </c:val>
        </c:ser>
        <c:ser>
          <c:idx val="1"/>
          <c:order val="1"/>
          <c:tx>
            <c:strRef>
              <c:f>Sheet1!$C$1</c:f>
              <c:strCache>
                <c:ptCount val="1"/>
                <c:pt idx="0">
                  <c:v>2020年</c:v>
                </c:pt>
              </c:strCache>
            </c:strRef>
          </c:tx>
          <c:spPr>
            <a:solidFill>
              <a:schemeClr val="accent2"/>
            </a:solidFill>
            <a:ln>
              <a:noFill/>
            </a:ln>
            <a:effectLst/>
          </c:spPr>
          <c:invertIfNegative val="0"/>
          <c:dLbls>
            <c:delete val="1"/>
          </c:dLbls>
          <c:cat>
            <c:strRef>
              <c:f>Sheet1!$A$2:$A$22</c:f>
              <c:strCache>
                <c:ptCount val="21"/>
                <c:pt idx="0">
                  <c:v>均衡性转移支付收入</c:v>
                </c:pt>
                <c:pt idx="1">
                  <c:v>县级基本财力保障机制奖补资金收入</c:v>
                </c:pt>
                <c:pt idx="2">
                  <c:v>结算补助收入</c:v>
                </c:pt>
                <c:pt idx="3">
                  <c:v>企业事业单位划转补助收入</c:v>
                </c:pt>
                <c:pt idx="4">
                  <c:v>产粮(油)大县奖励资金收入</c:v>
                </c:pt>
                <c:pt idx="5">
                  <c:v>重点生态功能区转移支付收入</c:v>
                </c:pt>
                <c:pt idx="6">
                  <c:v>固定数额补助收入</c:v>
                </c:pt>
                <c:pt idx="7">
                  <c:v>革命老区转移支付收入</c:v>
                </c:pt>
                <c:pt idx="8">
                  <c:v>贫困地区转移支付收入</c:v>
                </c:pt>
                <c:pt idx="9">
                  <c:v>公共安全共同财政事权转移支付收入</c:v>
                </c:pt>
                <c:pt idx="10">
                  <c:v>教育共同财政事权转移支付收入</c:v>
                </c:pt>
                <c:pt idx="11">
                  <c:v>文化旅游体育与传媒共同财政事权转移支付收入</c:v>
                </c:pt>
                <c:pt idx="12">
                  <c:v>社会保障和就业共同财政事权转移支付收入</c:v>
                </c:pt>
                <c:pt idx="13">
                  <c:v>医疗卫生共同财政事权转移支付收入</c:v>
                </c:pt>
                <c:pt idx="14">
                  <c:v>节能环保共同财政事权转移支付收入</c:v>
                </c:pt>
                <c:pt idx="15">
                  <c:v>农林水共同财政事权转移支付收入</c:v>
                </c:pt>
                <c:pt idx="16">
                  <c:v>交通运输共同财政事权转移支付收入</c:v>
                </c:pt>
                <c:pt idx="17">
                  <c:v>住房保障共同财政事权转移支付收入</c:v>
                </c:pt>
                <c:pt idx="18">
                  <c:v>粮油物资储备共同财政事权转移支付收入</c:v>
                </c:pt>
                <c:pt idx="19">
                  <c:v>灾害防治及应急管理共同财政事权转移支付收入</c:v>
                </c:pt>
                <c:pt idx="20">
                  <c:v>其他一般性转移支付收入</c:v>
                </c:pt>
              </c:strCache>
            </c:strRef>
          </c:cat>
          <c:val>
            <c:numRef>
              <c:f>Sheet1!$C$2:$C$19</c:f>
              <c:numCache>
                <c:formatCode>General</c:formatCode>
                <c:ptCount val="18"/>
                <c:pt idx="0">
                  <c:v>65215</c:v>
                </c:pt>
                <c:pt idx="1">
                  <c:v>47531</c:v>
                </c:pt>
                <c:pt idx="2">
                  <c:v>4428</c:v>
                </c:pt>
                <c:pt idx="3">
                  <c:v>89</c:v>
                </c:pt>
                <c:pt idx="4">
                  <c:v>4250</c:v>
                </c:pt>
                <c:pt idx="5">
                  <c:v>3360</c:v>
                </c:pt>
                <c:pt idx="6">
                  <c:v>21353</c:v>
                </c:pt>
                <c:pt idx="7">
                  <c:v>1509</c:v>
                </c:pt>
                <c:pt idx="8">
                  <c:v>4522</c:v>
                </c:pt>
                <c:pt idx="9">
                  <c:v>902</c:v>
                </c:pt>
                <c:pt idx="10">
                  <c:v>13302</c:v>
                </c:pt>
                <c:pt idx="11">
                  <c:v>1241</c:v>
                </c:pt>
                <c:pt idx="12">
                  <c:v>30594</c:v>
                </c:pt>
                <c:pt idx="13">
                  <c:v>38410</c:v>
                </c:pt>
                <c:pt idx="14">
                  <c:v>626</c:v>
                </c:pt>
                <c:pt idx="15">
                  <c:v>38518</c:v>
                </c:pt>
                <c:pt idx="16">
                  <c:v>2792</c:v>
                </c:pt>
                <c:pt idx="17">
                  <c:v>6003</c:v>
                </c:pt>
              </c:numCache>
            </c:numRef>
          </c:val>
        </c:ser>
        <c:dLbls>
          <c:showLegendKey val="0"/>
          <c:showVal val="1"/>
          <c:showCatName val="0"/>
          <c:showSerName val="0"/>
          <c:showPercent val="0"/>
          <c:showBubbleSize val="0"/>
        </c:dLbls>
        <c:gapWidth val="219"/>
        <c:overlap val="-27"/>
        <c:axId val="159211627"/>
        <c:axId val="139959189"/>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Sheet1!$A$2:$A$22</c15:sqref>
                        </c15:formulaRef>
                      </c:ext>
                    </c:extLst>
                    <c:strCache>
                      <c:ptCount val="21"/>
                      <c:pt idx="0">
                        <c:v>均衡性转移支付收入</c:v>
                      </c:pt>
                      <c:pt idx="1">
                        <c:v>县级基本财力保障机制奖补资金收入</c:v>
                      </c:pt>
                      <c:pt idx="2">
                        <c:v>结算补助收入</c:v>
                      </c:pt>
                      <c:pt idx="3">
                        <c:v>企业事业单位划转补助收入</c:v>
                      </c:pt>
                      <c:pt idx="4">
                        <c:v>产粮(油)大县奖励资金收入</c:v>
                      </c:pt>
                      <c:pt idx="5">
                        <c:v>重点生态功能区转移支付收入</c:v>
                      </c:pt>
                      <c:pt idx="6">
                        <c:v>固定数额补助收入</c:v>
                      </c:pt>
                      <c:pt idx="7">
                        <c:v>革命老区转移支付收入</c:v>
                      </c:pt>
                      <c:pt idx="8">
                        <c:v>贫困地区转移支付收入</c:v>
                      </c:pt>
                      <c:pt idx="9">
                        <c:v>公共安全共同财政事权转移支付收入</c:v>
                      </c:pt>
                      <c:pt idx="10">
                        <c:v>教育共同财政事权转移支付收入</c:v>
                      </c:pt>
                      <c:pt idx="11">
                        <c:v>文化旅游体育与传媒共同财政事权转移支付收入</c:v>
                      </c:pt>
                      <c:pt idx="12">
                        <c:v>社会保障和就业共同财政事权转移支付收入</c:v>
                      </c:pt>
                      <c:pt idx="13">
                        <c:v>医疗卫生共同财政事权转移支付收入</c:v>
                      </c:pt>
                      <c:pt idx="14">
                        <c:v>节能环保共同财政事权转移支付收入</c:v>
                      </c:pt>
                      <c:pt idx="15">
                        <c:v>农林水共同财政事权转移支付收入</c:v>
                      </c:pt>
                      <c:pt idx="16">
                        <c:v>交通运输共同财政事权转移支付收入</c:v>
                      </c:pt>
                      <c:pt idx="17">
                        <c:v>住房保障共同财政事权转移支付收入</c:v>
                      </c:pt>
                      <c:pt idx="18">
                        <c:v>粮油物资储备共同财政事权转移支付收入</c:v>
                      </c:pt>
                      <c:pt idx="19">
                        <c:v>灾害防治及应急管理共同财政事权转移支付收入</c:v>
                      </c:pt>
                      <c:pt idx="20">
                        <c:v>其他一般性转移支付收入</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15921162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9959189"/>
        <c:crosses val="autoZero"/>
        <c:auto val="1"/>
        <c:lblAlgn val="ctr"/>
        <c:lblOffset val="100"/>
        <c:noMultiLvlLbl val="0"/>
      </c:catAx>
      <c:valAx>
        <c:axId val="13995918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921162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t" anchorCtr="0"/>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800">
                <a:latin typeface="楷体" panose="02010609060101010101" charset="-122"/>
                <a:ea typeface="楷体" panose="02010609060101010101" charset="-122"/>
              </a:rPr>
              <a:t>专项转移支付情况（单位：万元）</a:t>
            </a:r>
            <a:endParaRPr sz="1800">
              <a:latin typeface="楷体" panose="02010609060101010101" charset="-122"/>
              <a:ea typeface="楷体" panose="02010609060101010101" charset="-122"/>
            </a:endParaRPr>
          </a:p>
        </c:rich>
      </c:tx>
      <c:layout>
        <c:manualLayout>
          <c:xMode val="edge"/>
          <c:yMode val="edge"/>
          <c:x val="0.230432060112711"/>
          <c:y val="0.0216216216216216"/>
        </c:manualLayout>
      </c:layout>
      <c:overlay val="0"/>
      <c:spPr>
        <a:noFill/>
        <a:ln>
          <a:noFill/>
        </a:ln>
        <a:effectLst/>
      </c:spPr>
    </c:title>
    <c:autoTitleDeleted val="0"/>
    <c:plotArea>
      <c:layout>
        <c:manualLayout>
          <c:layoutTarget val="inner"/>
          <c:xMode val="edge"/>
          <c:yMode val="edge"/>
          <c:x val="0.0887936247986342"/>
          <c:y val="0.122048364153627"/>
          <c:w val="0.889916456603996"/>
          <c:h val="0.586685633001422"/>
        </c:manualLayout>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Sheet1!$A$2:$A$21</c:f>
              <c:strCache>
                <c:ptCount val="20"/>
                <c:pt idx="0">
                  <c:v>一般公共服务</c:v>
                </c:pt>
                <c:pt idx="1">
                  <c:v>国防</c:v>
                </c:pt>
                <c:pt idx="2">
                  <c:v>公共安全</c:v>
                </c:pt>
                <c:pt idx="3">
                  <c:v>教育</c:v>
                </c:pt>
                <c:pt idx="4">
                  <c:v>科学技术</c:v>
                </c:pt>
                <c:pt idx="5">
                  <c:v>文化旅游体育与传媒</c:v>
                </c:pt>
                <c:pt idx="6">
                  <c:v>社会保障和就业</c:v>
                </c:pt>
                <c:pt idx="7">
                  <c:v>卫生健康</c:v>
                </c:pt>
                <c:pt idx="8">
                  <c:v>节能环保</c:v>
                </c:pt>
                <c:pt idx="9">
                  <c:v>城乡社区</c:v>
                </c:pt>
                <c:pt idx="10">
                  <c:v>农林水</c:v>
                </c:pt>
                <c:pt idx="11">
                  <c:v>交通运输</c:v>
                </c:pt>
                <c:pt idx="12">
                  <c:v>资源勘探工业信息等</c:v>
                </c:pt>
                <c:pt idx="13">
                  <c:v>商业服务业等</c:v>
                </c:pt>
                <c:pt idx="14">
                  <c:v>金融</c:v>
                </c:pt>
                <c:pt idx="15">
                  <c:v>自然资源海洋气象等</c:v>
                </c:pt>
                <c:pt idx="16">
                  <c:v>住房保障</c:v>
                </c:pt>
                <c:pt idx="17">
                  <c:v>粮油物资储备</c:v>
                </c:pt>
                <c:pt idx="18">
                  <c:v>灾害防治及应急管理</c:v>
                </c:pt>
                <c:pt idx="19">
                  <c:v>其他收入</c:v>
                </c:pt>
              </c:strCache>
            </c:strRef>
          </c:cat>
          <c:val>
            <c:numRef>
              <c:f>Sheet1!$B$2:$B$21</c:f>
              <c:numCache>
                <c:formatCode>General</c:formatCode>
                <c:ptCount val="20"/>
                <c:pt idx="0">
                  <c:v>3799</c:v>
                </c:pt>
                <c:pt idx="1">
                  <c:v>111</c:v>
                </c:pt>
                <c:pt idx="2">
                  <c:v>135</c:v>
                </c:pt>
                <c:pt idx="3">
                  <c:v>446</c:v>
                </c:pt>
                <c:pt idx="4">
                  <c:v>687</c:v>
                </c:pt>
                <c:pt idx="5">
                  <c:v>376</c:v>
                </c:pt>
                <c:pt idx="6">
                  <c:v>926</c:v>
                </c:pt>
                <c:pt idx="7">
                  <c:v>1125</c:v>
                </c:pt>
                <c:pt idx="8">
                  <c:v>10890</c:v>
                </c:pt>
                <c:pt idx="9">
                  <c:v>1213</c:v>
                </c:pt>
                <c:pt idx="10">
                  <c:v>29609</c:v>
                </c:pt>
                <c:pt idx="11">
                  <c:v>10855</c:v>
                </c:pt>
                <c:pt idx="12">
                  <c:v>1152</c:v>
                </c:pt>
                <c:pt idx="13">
                  <c:v>267</c:v>
                </c:pt>
                <c:pt idx="14">
                  <c:v>90</c:v>
                </c:pt>
                <c:pt idx="15">
                  <c:v>1891</c:v>
                </c:pt>
                <c:pt idx="16">
                  <c:v>3386</c:v>
                </c:pt>
                <c:pt idx="17">
                  <c:v>194</c:v>
                </c:pt>
                <c:pt idx="18">
                  <c:v>173</c:v>
                </c:pt>
                <c:pt idx="19">
                  <c:v>0</c:v>
                </c:pt>
              </c:numCache>
            </c:numRef>
          </c:val>
        </c:ser>
        <c:ser>
          <c:idx val="1"/>
          <c:order val="1"/>
          <c:tx>
            <c:strRef>
              <c:f>Sheet1!$C$1</c:f>
              <c:strCache>
                <c:ptCount val="1"/>
                <c:pt idx="0">
                  <c:v>2020年</c:v>
                </c:pt>
              </c:strCache>
            </c:strRef>
          </c:tx>
          <c:spPr>
            <a:solidFill>
              <a:schemeClr val="accent2"/>
            </a:solidFill>
            <a:ln>
              <a:noFill/>
            </a:ln>
            <a:effectLst/>
          </c:spPr>
          <c:invertIfNegative val="0"/>
          <c:dLbls>
            <c:delete val="1"/>
          </c:dLbls>
          <c:cat>
            <c:strRef>
              <c:f>Sheet1!$A$2:$A$21</c:f>
              <c:strCache>
                <c:ptCount val="20"/>
                <c:pt idx="0">
                  <c:v>一般公共服务</c:v>
                </c:pt>
                <c:pt idx="1">
                  <c:v>国防</c:v>
                </c:pt>
                <c:pt idx="2">
                  <c:v>公共安全</c:v>
                </c:pt>
                <c:pt idx="3">
                  <c:v>教育</c:v>
                </c:pt>
                <c:pt idx="4">
                  <c:v>科学技术</c:v>
                </c:pt>
                <c:pt idx="5">
                  <c:v>文化旅游体育与传媒</c:v>
                </c:pt>
                <c:pt idx="6">
                  <c:v>社会保障和就业</c:v>
                </c:pt>
                <c:pt idx="7">
                  <c:v>卫生健康</c:v>
                </c:pt>
                <c:pt idx="8">
                  <c:v>节能环保</c:v>
                </c:pt>
                <c:pt idx="9">
                  <c:v>城乡社区</c:v>
                </c:pt>
                <c:pt idx="10">
                  <c:v>农林水</c:v>
                </c:pt>
                <c:pt idx="11">
                  <c:v>交通运输</c:v>
                </c:pt>
                <c:pt idx="12">
                  <c:v>资源勘探工业信息等</c:v>
                </c:pt>
                <c:pt idx="13">
                  <c:v>商业服务业等</c:v>
                </c:pt>
                <c:pt idx="14">
                  <c:v>金融</c:v>
                </c:pt>
                <c:pt idx="15">
                  <c:v>自然资源海洋气象等</c:v>
                </c:pt>
                <c:pt idx="16">
                  <c:v>住房保障</c:v>
                </c:pt>
                <c:pt idx="17">
                  <c:v>粮油物资储备</c:v>
                </c:pt>
                <c:pt idx="18">
                  <c:v>灾害防治及应急管理</c:v>
                </c:pt>
                <c:pt idx="19">
                  <c:v>其他收入</c:v>
                </c:pt>
              </c:strCache>
            </c:strRef>
          </c:cat>
          <c:val>
            <c:numRef>
              <c:f>Sheet1!$C$2:$C$21</c:f>
              <c:numCache>
                <c:formatCode>General</c:formatCode>
                <c:ptCount val="20"/>
                <c:pt idx="0">
                  <c:v>2873</c:v>
                </c:pt>
                <c:pt idx="1">
                  <c:v>0</c:v>
                </c:pt>
                <c:pt idx="2">
                  <c:v>128</c:v>
                </c:pt>
                <c:pt idx="3">
                  <c:v>1751</c:v>
                </c:pt>
                <c:pt idx="4">
                  <c:v>1013</c:v>
                </c:pt>
                <c:pt idx="5">
                  <c:v>1295</c:v>
                </c:pt>
                <c:pt idx="6">
                  <c:v>579</c:v>
                </c:pt>
                <c:pt idx="7">
                  <c:v>2643</c:v>
                </c:pt>
                <c:pt idx="8">
                  <c:v>9031</c:v>
                </c:pt>
                <c:pt idx="9">
                  <c:v>286</c:v>
                </c:pt>
                <c:pt idx="10">
                  <c:v>41150</c:v>
                </c:pt>
                <c:pt idx="11">
                  <c:v>4380</c:v>
                </c:pt>
                <c:pt idx="12">
                  <c:v>1535</c:v>
                </c:pt>
                <c:pt idx="13">
                  <c:v>1872</c:v>
                </c:pt>
                <c:pt idx="14">
                  <c:v>794</c:v>
                </c:pt>
                <c:pt idx="15">
                  <c:v>728</c:v>
                </c:pt>
                <c:pt idx="16">
                  <c:v>5931</c:v>
                </c:pt>
                <c:pt idx="17">
                  <c:v>303</c:v>
                </c:pt>
                <c:pt idx="18">
                  <c:v>582</c:v>
                </c:pt>
                <c:pt idx="19">
                  <c:v>1361</c:v>
                </c:pt>
              </c:numCache>
            </c:numRef>
          </c:val>
        </c:ser>
        <c:dLbls>
          <c:showLegendKey val="0"/>
          <c:showVal val="1"/>
          <c:showCatName val="0"/>
          <c:showSerName val="0"/>
          <c:showPercent val="0"/>
          <c:showBubbleSize val="0"/>
        </c:dLbls>
        <c:gapWidth val="219"/>
        <c:overlap val="-27"/>
        <c:axId val="585089879"/>
        <c:axId val="961659356"/>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Sheet1!$A$2:$A$21</c15:sqref>
                        </c15:formulaRef>
                      </c:ext>
                    </c:extLst>
                    <c:strCache>
                      <c:ptCount val="20"/>
                      <c:pt idx="0">
                        <c:v>一般公共服务</c:v>
                      </c:pt>
                      <c:pt idx="1">
                        <c:v>国防</c:v>
                      </c:pt>
                      <c:pt idx="2">
                        <c:v>公共安全</c:v>
                      </c:pt>
                      <c:pt idx="3">
                        <c:v>教育</c:v>
                      </c:pt>
                      <c:pt idx="4">
                        <c:v>科学技术</c:v>
                      </c:pt>
                      <c:pt idx="5">
                        <c:v>文化旅游体育与传媒</c:v>
                      </c:pt>
                      <c:pt idx="6">
                        <c:v>社会保障和就业</c:v>
                      </c:pt>
                      <c:pt idx="7">
                        <c:v>卫生健康</c:v>
                      </c:pt>
                      <c:pt idx="8">
                        <c:v>节能环保</c:v>
                      </c:pt>
                      <c:pt idx="9">
                        <c:v>城乡社区</c:v>
                      </c:pt>
                      <c:pt idx="10">
                        <c:v>农林水</c:v>
                      </c:pt>
                      <c:pt idx="11">
                        <c:v>交通运输</c:v>
                      </c:pt>
                      <c:pt idx="12">
                        <c:v>资源勘探工业信息等</c:v>
                      </c:pt>
                      <c:pt idx="13">
                        <c:v>商业服务业等</c:v>
                      </c:pt>
                      <c:pt idx="14">
                        <c:v>金融</c:v>
                      </c:pt>
                      <c:pt idx="15">
                        <c:v>自然资源海洋气象等</c:v>
                      </c:pt>
                      <c:pt idx="16">
                        <c:v>住房保障</c:v>
                      </c:pt>
                      <c:pt idx="17">
                        <c:v>粮油物资储备</c:v>
                      </c:pt>
                      <c:pt idx="18">
                        <c:v>灾害防治及应急管理</c:v>
                      </c:pt>
                      <c:pt idx="19">
                        <c:v>其他收入</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58508987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1659356"/>
        <c:crosses val="autoZero"/>
        <c:auto val="1"/>
        <c:lblAlgn val="ctr"/>
        <c:lblOffset val="100"/>
        <c:noMultiLvlLbl val="0"/>
      </c:catAx>
      <c:valAx>
        <c:axId val="9616593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508987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800">
                <a:latin typeface="楷体" panose="02010609060101010101" charset="-122"/>
                <a:ea typeface="楷体" panose="02010609060101010101" charset="-122"/>
              </a:rPr>
              <a:t>政府性基金转移支付情况（单位：万元）</a:t>
            </a:r>
            <a:endParaRPr sz="1800">
              <a:latin typeface="楷体" panose="02010609060101010101" charset="-122"/>
              <a:ea typeface="楷体" panose="02010609060101010101" charset="-122"/>
            </a:endParaRPr>
          </a:p>
        </c:rich>
      </c:tx>
      <c:layout>
        <c:manualLayout>
          <c:xMode val="edge"/>
          <c:yMode val="edge"/>
          <c:x val="0.1655"/>
          <c:y val="0.0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国家电影事业发展专项资金相关收入</c:v>
                </c:pt>
                <c:pt idx="1">
                  <c:v>大中型水库移民后期扶持基金收入</c:v>
                </c:pt>
                <c:pt idx="2">
                  <c:v>城市基础设施配套费相关收入</c:v>
                </c:pt>
                <c:pt idx="3">
                  <c:v>国家重大水利工程建设基金相关收入</c:v>
                </c:pt>
              </c:strCache>
            </c:strRef>
          </c:cat>
          <c:val>
            <c:numRef>
              <c:f>Sheet1!$B$2:$B$5</c:f>
              <c:numCache>
                <c:formatCode>General</c:formatCode>
                <c:ptCount val="4"/>
                <c:pt idx="0">
                  <c:v>50</c:v>
                </c:pt>
                <c:pt idx="1">
                  <c:v>132</c:v>
                </c:pt>
                <c:pt idx="2">
                  <c:v>13</c:v>
                </c:pt>
                <c:pt idx="3">
                  <c:v>3680</c:v>
                </c:pt>
              </c:numCache>
            </c:numRef>
          </c:val>
        </c:ser>
        <c:ser>
          <c:idx val="1"/>
          <c:order val="1"/>
          <c:tx>
            <c:strRef>
              <c:f>Sheet1!$C$1</c:f>
              <c:strCache>
                <c:ptCount val="1"/>
                <c:pt idx="0">
                  <c:v>2020年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国家电影事业发展专项资金相关收入</c:v>
                </c:pt>
                <c:pt idx="1">
                  <c:v>大中型水库移民后期扶持基金收入</c:v>
                </c:pt>
                <c:pt idx="2">
                  <c:v>城市基础设施配套费相关收入</c:v>
                </c:pt>
                <c:pt idx="3">
                  <c:v>国家重大水利工程建设基金相关收入</c:v>
                </c:pt>
              </c:strCache>
            </c:strRef>
          </c:cat>
          <c:val>
            <c:numRef>
              <c:f>Sheet1!$C$2:$C$5</c:f>
              <c:numCache>
                <c:formatCode>General</c:formatCode>
                <c:ptCount val="4"/>
                <c:pt idx="0">
                  <c:v>10</c:v>
                </c:pt>
                <c:pt idx="1">
                  <c:v>219</c:v>
                </c:pt>
                <c:pt idx="2">
                  <c:v>0</c:v>
                </c:pt>
                <c:pt idx="3">
                  <c:v>2313</c:v>
                </c:pt>
              </c:numCache>
            </c:numRef>
          </c:val>
        </c:ser>
        <c:dLbls>
          <c:showLegendKey val="0"/>
          <c:showVal val="1"/>
          <c:showCatName val="0"/>
          <c:showSerName val="0"/>
          <c:showPercent val="0"/>
          <c:showBubbleSize val="0"/>
        </c:dLbls>
        <c:gapWidth val="219"/>
        <c:overlap val="-27"/>
        <c:axId val="546231958"/>
        <c:axId val="749593963"/>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系列 3</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Sheet1!$A$2:$A$5</c15:sqref>
                        </c15:formulaRef>
                      </c:ext>
                    </c:extLst>
                    <c:strCache>
                      <c:ptCount val="4"/>
                      <c:pt idx="0">
                        <c:v>国家电影事业发展专项资金相关收入</c:v>
                      </c:pt>
                      <c:pt idx="1">
                        <c:v>大中型水库移民后期扶持基金收入</c:v>
                      </c:pt>
                      <c:pt idx="2">
                        <c:v>城市基础设施配套费相关收入</c:v>
                      </c:pt>
                      <c:pt idx="3">
                        <c:v>国家重大水利工程建设基金相关收入</c:v>
                      </c:pt>
                    </c:strCache>
                  </c:strRef>
                </c:cat>
                <c:val>
                  <c:numRef>
                    <c:extLst>
                      <c:ext uri="{02D57815-91ED-43cb-92C2-25804820EDAC}">
                        <c15:formulaRef>
                          <c15:sqref>Sheet1!$D$2:$D$5</c15:sqref>
                        </c15:formulaRef>
                      </c:ext>
                    </c:extLst>
                    <c:numCache>
                      <c:formatCode>General</c:formatCode>
                      <c:ptCount val="4"/>
                      <c:pt idx="0">
                        <c:v>2</c:v>
                      </c:pt>
                      <c:pt idx="1">
                        <c:v>2</c:v>
                      </c:pt>
                      <c:pt idx="2">
                        <c:v>3</c:v>
                      </c:pt>
                      <c:pt idx="3">
                        <c:v>5</c:v>
                      </c:pt>
                    </c:numCache>
                  </c:numRef>
                </c:val>
              </c15:ser>
            </c15:filteredBarSeries>
          </c:ext>
        </c:extLst>
      </c:barChart>
      <c:catAx>
        <c:axId val="54623195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9593963"/>
        <c:crosses val="autoZero"/>
        <c:auto val="1"/>
        <c:lblAlgn val="ctr"/>
        <c:lblOffset val="100"/>
        <c:noMultiLvlLbl val="0"/>
      </c:catAx>
      <c:valAx>
        <c:axId val="7495939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623195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800">
                <a:latin typeface="楷体" panose="02010609060101010101" charset="-122"/>
                <a:ea typeface="楷体" panose="02010609060101010101" charset="-122"/>
              </a:rPr>
              <a:t>地方政府债务余额情况</a:t>
            </a:r>
            <a:endParaRPr sz="1800">
              <a:latin typeface="楷体" panose="02010609060101010101" charset="-122"/>
              <a:ea typeface="楷体" panose="02010609060101010101" charset="-122"/>
            </a:endParaRPr>
          </a:p>
        </c:rich>
      </c:tx>
      <c:layout/>
      <c:overlay val="0"/>
      <c:spPr>
        <a:noFill/>
        <a:ln>
          <a:noFill/>
        </a:ln>
        <a:effectLst/>
      </c:spPr>
    </c:title>
    <c:autoTitleDeleted val="0"/>
    <c:plotArea>
      <c:layout/>
      <c:pieChart>
        <c:varyColors val="1"/>
        <c:ser>
          <c:idx val="0"/>
          <c:order val="0"/>
          <c:tx>
            <c:strRef>
              <c:f>Sheet1!$B$1</c:f>
              <c:strCache>
                <c:ptCount val="1"/>
                <c:pt idx="0">
                  <c:v>地方政府债务余额情况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1200">
                        <a:latin typeface="楷体" panose="02010609060101010101" charset="-122"/>
                        <a:ea typeface="楷体" panose="02010609060101010101" charset="-122"/>
                      </a:rPr>
                      <a:t>70.76%</a:t>
                    </a:r>
                    <a:endParaRPr sz="1200">
                      <a:latin typeface="楷体" panose="02010609060101010101" charset="-122"/>
                      <a:ea typeface="楷体" panose="02010609060101010101" charset="-122"/>
                    </a:endParaRPr>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1200">
                        <a:latin typeface="楷体" panose="02010609060101010101" charset="-122"/>
                        <a:ea typeface="楷体" panose="02010609060101010101" charset="-122"/>
                      </a:rPr>
                      <a:t>29.24%</a:t>
                    </a:r>
                    <a:endParaRPr sz="1200">
                      <a:latin typeface="楷体" panose="02010609060101010101" charset="-122"/>
                      <a:ea typeface="楷体" panose="02010609060101010101" charset="-122"/>
                    </a:endParaRP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一般债务余额</c:v>
                </c:pt>
                <c:pt idx="1">
                  <c:v>专项债务余额</c:v>
                </c:pt>
              </c:strCache>
            </c:strRef>
          </c:cat>
          <c:val>
            <c:numRef>
              <c:f>Sheet1!$B$2:$B$3</c:f>
              <c:numCache>
                <c:formatCode>0.00%</c:formatCode>
                <c:ptCount val="2"/>
                <c:pt idx="0">
                  <c:v>0.7076</c:v>
                </c:pt>
                <c:pt idx="1">
                  <c:v>0.2924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4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楷体" panose="02010609060101010101" charset="-122"/>
                <a:cs typeface="+mn-cs"/>
              </a:defRPr>
            </a:pPr>
          </a:p>
        </c:txPr>
      </c:legendEntry>
      <c:legendEntry>
        <c:idx val="1"/>
        <c:txPr>
          <a:bodyPr rot="0" spcFirstLastPara="0" vertOverflow="ellipsis" vert="horz" wrap="square" anchor="ctr" anchorCtr="1"/>
          <a:lstStyle/>
          <a:p>
            <a:pPr>
              <a:defRPr lang="zh-CN" sz="14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楷体" panose="02010609060101010101" charset="-122"/>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3254</Words>
  <Characters>4019</Characters>
  <Lines>23</Lines>
  <Paragraphs>6</Paragraphs>
  <TotalTime>0</TotalTime>
  <ScaleCrop>false</ScaleCrop>
  <LinksUpToDate>false</LinksUpToDate>
  <CharactersWithSpaces>4059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2022-03-31T07:49:00Z</dcterms:created>
  <dc:creator>Administrator</dc:creator>
  <cp:lastModifiedBy>不二、～</cp:lastModifiedBy>
  <dcterms:modified xsi:type="dcterms:W3CDTF">2023-09-11T08:23:57Z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A33DD80417E24864B70CB21C84327B12_12</vt:lpwstr>
  </property>
</Properties>
</file>