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pacing w:line="58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南县“十四五”文化旅游广电体育</w:t>
      </w:r>
    </w:p>
    <w:p>
      <w:pPr>
        <w:keepNext w:val="0"/>
        <w:keepLines w:val="0"/>
        <w:pageBreakBefore w:val="0"/>
        <w:kinsoku/>
        <w:wordWrap/>
        <w:topLinePunct w:val="0"/>
        <w:autoSpaceDE/>
        <w:autoSpaceDN/>
        <w:bidi w:val="0"/>
        <w:adjustRightInd/>
        <w:spacing w:line="580" w:lineRule="exact"/>
        <w:jc w:val="center"/>
        <w:textAlignment w:val="auto"/>
        <w:rPr>
          <w:rFonts w:ascii="宋体" w:hAnsi="宋体" w:eastAsia="宋体" w:cs="宋体"/>
          <w:b/>
          <w:bCs/>
          <w:sz w:val="44"/>
          <w:szCs w:val="44"/>
        </w:rPr>
      </w:pPr>
      <w:r>
        <w:rPr>
          <w:rFonts w:hint="eastAsia" w:ascii="宋体" w:hAnsi="宋体" w:eastAsia="宋体" w:cs="宋体"/>
          <w:b/>
          <w:bCs/>
          <w:sz w:val="44"/>
          <w:szCs w:val="44"/>
        </w:rPr>
        <w:t>发展规划（2021-2025）</w:t>
      </w:r>
    </w:p>
    <w:p>
      <w:pPr>
        <w:keepNext w:val="0"/>
        <w:keepLines w:val="0"/>
        <w:pageBreakBefore w:val="0"/>
        <w:tabs>
          <w:tab w:val="left" w:pos="3930"/>
        </w:tabs>
        <w:kinsoku/>
        <w:wordWrap/>
        <w:topLinePunct w:val="0"/>
        <w:autoSpaceDE/>
        <w:autoSpaceDN/>
        <w:bidi w:val="0"/>
        <w:adjustRightInd/>
        <w:spacing w:line="5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ab/>
      </w:r>
    </w:p>
    <w:p>
      <w:pPr>
        <w:pStyle w:val="5"/>
        <w:keepNext w:val="0"/>
        <w:keepLines w:val="0"/>
        <w:pageBreakBefore w:val="0"/>
        <w:kinsoku/>
        <w:wordWrap/>
        <w:topLinePunct w:val="0"/>
        <w:autoSpaceDE/>
        <w:autoSpaceDN/>
        <w:bidi w:val="0"/>
        <w:adjustRightInd/>
        <w:spacing w:before="0" w:beforeAutospacing="0" w:after="0" w:afterAutospacing="0"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为推进南县文化旅游体育广电事业高质量发展，进一步满足人民群众日益增长的精神文化、旅游休闲、体育健身需求，推动南</w:t>
      </w:r>
      <w:r>
        <w:rPr>
          <w:rFonts w:hint="eastAsia" w:ascii="仿宋_GB2312" w:hAnsi="仿宋_GB2312" w:eastAsia="仿宋_GB2312" w:cs="仿宋_GB2312"/>
          <w:color w:val="auto"/>
          <w:sz w:val="32"/>
          <w:szCs w:val="32"/>
        </w:rPr>
        <w:t>县文化旅游</w:t>
      </w:r>
      <w:r>
        <w:rPr>
          <w:rFonts w:hint="eastAsia" w:ascii="仿宋_GB2312" w:hAnsi="仿宋_GB2312" w:eastAsia="仿宋_GB2312" w:cs="仿宋_GB2312"/>
          <w:color w:val="auto"/>
          <w:sz w:val="32"/>
          <w:szCs w:val="32"/>
          <w:lang w:eastAsia="zh-CN"/>
        </w:rPr>
        <w:t>广电</w:t>
      </w:r>
      <w:r>
        <w:rPr>
          <w:rFonts w:hint="eastAsia" w:ascii="仿宋_GB2312" w:hAnsi="仿宋_GB2312" w:eastAsia="仿宋_GB2312" w:cs="仿宋_GB2312"/>
          <w:color w:val="auto"/>
          <w:sz w:val="32"/>
          <w:szCs w:val="32"/>
        </w:rPr>
        <w:t>体育大发展大繁荣，促进经济社会又稳又好发展，</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益阳市“十</w:t>
      </w:r>
      <w:r>
        <w:rPr>
          <w:rFonts w:hint="eastAsia" w:ascii="仿宋_GB2312" w:hAnsi="仿宋_GB2312" w:eastAsia="仿宋_GB2312" w:cs="仿宋_GB2312"/>
          <w:sz w:val="32"/>
          <w:szCs w:val="32"/>
        </w:rPr>
        <w:t>四五”文化旅游广电体育发展规划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结合我县实际，特制定南县“十四五”文化旅游广电体育发展规划。</w:t>
      </w:r>
    </w:p>
    <w:p>
      <w:pPr>
        <w:keepNext w:val="0"/>
        <w:keepLines w:val="0"/>
        <w:pageBreakBefore w:val="0"/>
        <w:kinsoku/>
        <w:wordWrap/>
        <w:topLinePunct w:val="0"/>
        <w:autoSpaceDE/>
        <w:autoSpaceDN/>
        <w:bidi w:val="0"/>
        <w:adjustRightInd/>
        <w:snapToGrid w:val="0"/>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一、“十三五”规划回顾</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楷体" w:hAnsi="楷体" w:eastAsia="楷体" w:cs="楷体"/>
          <w:bCs/>
          <w:sz w:val="32"/>
          <w:szCs w:val="32"/>
        </w:rPr>
      </w:pPr>
      <w:r>
        <w:rPr>
          <w:rFonts w:hint="eastAsia" w:ascii="楷体" w:hAnsi="楷体" w:eastAsia="楷体" w:cs="楷体"/>
          <w:bCs/>
          <w:sz w:val="32"/>
          <w:szCs w:val="32"/>
        </w:rPr>
        <w:t>(一)发展成绩</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“十三五”期间，</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县文化旅游广电体育事业在县委、县政府的坚强领导下，抢抓机遇，奋力开拓，着力构建与全面建成小康社会相适应的公共文化、</w:t>
      </w:r>
      <w:r>
        <w:rPr>
          <w:rFonts w:hint="eastAsia" w:ascii="仿宋_GB2312" w:hAnsi="仿宋_GB2312" w:eastAsia="仿宋_GB2312" w:cs="仿宋_GB2312"/>
          <w:sz w:val="32"/>
          <w:szCs w:val="32"/>
          <w:lang w:val="en-US" w:eastAsia="zh-CN"/>
        </w:rPr>
        <w:t>全域</w:t>
      </w:r>
      <w:r>
        <w:rPr>
          <w:rFonts w:hint="eastAsia" w:ascii="仿宋_GB2312" w:hAnsi="仿宋_GB2312" w:eastAsia="仿宋_GB2312" w:cs="仿宋_GB2312"/>
          <w:sz w:val="32"/>
          <w:szCs w:val="32"/>
        </w:rPr>
        <w:t>旅游、广播电视和体育服务体系，加快推动文化和旅游产业发展，各项工作取得显著成效。</w:t>
      </w:r>
    </w:p>
    <w:p>
      <w:pPr>
        <w:keepNext w:val="0"/>
        <w:keepLines w:val="0"/>
        <w:pageBreakBefore w:val="0"/>
        <w:kinsoku/>
        <w:wordWrap/>
        <w:topLinePunct w:val="0"/>
        <w:autoSpaceDE/>
        <w:autoSpaceDN/>
        <w:bidi w:val="0"/>
        <w:adjustRightInd/>
        <w:spacing w:line="580" w:lineRule="exact"/>
        <w:ind w:firstLine="643"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
          <w:sz w:val="32"/>
          <w:szCs w:val="32"/>
        </w:rPr>
        <w:t>1.现代公共文化服务体系架构完备。</w:t>
      </w:r>
      <w:r>
        <w:rPr>
          <w:rFonts w:hint="eastAsia" w:ascii="仿宋_GB2312" w:hAnsi="仿宋_GB2312" w:eastAsia="仿宋_GB2312" w:cs="仿宋_GB2312"/>
          <w:sz w:val="32"/>
          <w:szCs w:val="32"/>
          <w:lang w:eastAsia="zh-CN"/>
        </w:rPr>
        <w:t>五年来</w:t>
      </w:r>
      <w:r>
        <w:rPr>
          <w:rFonts w:hint="eastAsia" w:ascii="仿宋_GB2312" w:hAnsi="仿宋_GB2312" w:eastAsia="仿宋_GB2312" w:cs="仿宋_GB2312"/>
          <w:sz w:val="32"/>
          <w:szCs w:val="32"/>
        </w:rPr>
        <w:t>，我县文化馆、图书馆、博物馆（段德昌生平业绩陈列馆）、厂窖惨案遇难同胞纪念馆4个公共服务窗口单位均实现免费对外开放，其中县图书馆新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家分馆，县文化馆建设了南县公共“文旅云”、数字文化馆平台，实现文旅信息与省级平台精准、无缝对接，开启了南县文旅智能化、数字化发展的新征程。</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12个乡镇中除厂窖镇外，均建设有300平方米以上建筑面积的独立文体卫站，其中国家一级站2个（华阁镇、乌嘴乡）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二级站2个（南洲镇、武圣宫镇）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级站7个（中鱼口镇、三仙湖镇、茅草街镇、明山头镇、青树嘴镇、麻河口镇、浪拔湖镇），全县132个行政村均按省政府“七个一”标准对村级综合文化中心进行了完善，形成了以“四馆、一站、一中心”为主体，覆盖城乡、功能齐备、三级联动的现代公共文化服务体系。</w:t>
      </w:r>
    </w:p>
    <w:p>
      <w:pPr>
        <w:keepNext w:val="0"/>
        <w:keepLines w:val="0"/>
        <w:pageBreakBefore w:val="0"/>
        <w:kinsoku/>
        <w:wordWrap/>
        <w:topLinePunct w:val="0"/>
        <w:autoSpaceDE/>
        <w:autoSpaceDN/>
        <w:bidi w:val="0"/>
        <w:adjustRightIn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2.文化事业欣欣向荣。</w:t>
      </w:r>
      <w:r>
        <w:rPr>
          <w:rFonts w:hint="eastAsia" w:ascii="仿宋_GB2312" w:hAnsi="仿宋_GB2312" w:eastAsia="仿宋_GB2312" w:cs="仿宋_GB2312"/>
          <w:sz w:val="32"/>
          <w:szCs w:val="32"/>
        </w:rPr>
        <w:t>五年来，共投入300余万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用于农村文化服务站所免费开放和农家书屋日常管</w:t>
      </w:r>
      <w:r>
        <w:rPr>
          <w:rFonts w:hint="eastAsia" w:ascii="仿宋_GB2312" w:hAnsi="仿宋_GB2312" w:eastAsia="仿宋_GB2312" w:cs="仿宋_GB2312"/>
          <w:color w:val="auto"/>
          <w:sz w:val="32"/>
          <w:szCs w:val="32"/>
        </w:rPr>
        <w:t>理，新增藏书</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完成演艺惠民·送戏下乡200场次、送电影近万场、送图书3万册，送共享工程科技讲座视频下乡60余次，开展各类文化</w:t>
      </w:r>
      <w:r>
        <w:rPr>
          <w:rFonts w:hint="eastAsia" w:ascii="仿宋_GB2312" w:hAnsi="仿宋_GB2312" w:eastAsia="仿宋_GB2312" w:cs="仿宋_GB2312"/>
          <w:sz w:val="32"/>
          <w:szCs w:val="32"/>
        </w:rPr>
        <w:t>艺术培训班150场次，培养文体骨干500余人，发现艺术“苗子”百余人。完成涂家台遗址和厂窖惨案遗址保护规划编制，</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《南县文化体育志》《南县地花鼓》</w:t>
      </w:r>
      <w:r>
        <w:rPr>
          <w:rFonts w:hint="eastAsia" w:ascii="仿宋_GB2312" w:hAnsi="仿宋_GB2312" w:eastAsia="仿宋_GB2312" w:cs="仿宋_GB2312"/>
          <w:sz w:val="32"/>
          <w:szCs w:val="32"/>
          <w:lang w:eastAsia="zh-CN"/>
        </w:rPr>
        <w:t>二期</w:t>
      </w:r>
      <w:r>
        <w:rPr>
          <w:rFonts w:hint="eastAsia" w:ascii="仿宋_GB2312" w:hAnsi="仿宋_GB2312" w:eastAsia="仿宋_GB2312" w:cs="仿宋_GB2312"/>
          <w:sz w:val="32"/>
          <w:szCs w:val="32"/>
        </w:rPr>
        <w:t>、三期，《全国爱国主义教育示范基地巡礼系列图书——厂窖惨案遇难同胞纪念馆》编撰工作。加大对非遗传承人支持力度，做好非物质文化遗产的传承和保护工作。厂窖惨案遇难同胞纪念馆获评“全国爱国主义教育示范基地”“湖南省四星级优秀青少</w:t>
      </w:r>
      <w:r>
        <w:rPr>
          <w:rFonts w:hint="eastAsia" w:ascii="仿宋_GB2312" w:hAnsi="仿宋_GB2312" w:eastAsia="仿宋_GB2312" w:cs="仿宋_GB2312"/>
          <w:color w:val="auto"/>
          <w:sz w:val="32"/>
          <w:szCs w:val="32"/>
        </w:rPr>
        <w:t>年校外活动基地”称号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sz w:val="32"/>
          <w:szCs w:val="32"/>
        </w:rPr>
        <w:t>县成功申报为2018-2020年度“中国民间文化艺术之乡”。</w:t>
      </w:r>
    </w:p>
    <w:p>
      <w:pPr>
        <w:keepNext w:val="0"/>
        <w:keepLines w:val="0"/>
        <w:pageBreakBefore w:val="0"/>
        <w:kinsoku/>
        <w:wordWrap/>
        <w:topLinePunct w:val="0"/>
        <w:autoSpaceDE/>
        <w:autoSpaceDN/>
        <w:bidi w:val="0"/>
        <w:adjustRightIn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3.全域旅游跨跃发展。</w:t>
      </w:r>
      <w:r>
        <w:rPr>
          <w:rFonts w:hint="eastAsia" w:ascii="仿宋_GB2312" w:hAnsi="仿宋_GB2312" w:eastAsia="仿宋_GB2312" w:cs="仿宋_GB2312"/>
          <w:sz w:val="32"/>
          <w:szCs w:val="32"/>
        </w:rPr>
        <w:t>成立了南县创建国家全域旅游示范区工作领导小组，编制了《全域旅游发展总体规划》，开启南县全域旅游新时代。先后投入资金20多亿元用于建设通景公路、自行车赛道等基础设施建设，完善洞庭龙女、南洲特色餐饮一条街、幸福港湾等旅游功能；设立旅游集散中心、大型生态停车场、旅游标识标牌，新建景区游客服务中心、旅游观景平台，加快智慧景区建设；大力开展旅游厕所革命，新建或改建厕所60余座。倾力打造的“湖南首个涂鸦艺术村”罗文村，被评为国家3A级旅游景区和首批全国乡村旅游重点村。德昌公园和厂窖惨案遇难同胞纪念馆完成了提质升级，德昌公园成功申报为国家3A级旅游景区，厂窖惨案遇难同胞纪念馆被</w:t>
      </w:r>
      <w:r>
        <w:rPr>
          <w:rFonts w:hint="eastAsia" w:ascii="仿宋_GB2312" w:hAnsi="仿宋_GB2312" w:eastAsia="仿宋_GB2312" w:cs="仿宋_GB2312"/>
          <w:sz w:val="32"/>
          <w:szCs w:val="32"/>
          <w:lang w:eastAsia="zh-CN"/>
        </w:rPr>
        <w:t>命名</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全国爱国主义教育示范基地</w:t>
      </w:r>
      <w:r>
        <w:rPr>
          <w:rFonts w:hint="eastAsia" w:ascii="仿宋_GB2312" w:hAnsi="仿宋_GB2312" w:eastAsia="仿宋_GB2312" w:cs="仿宋_GB2312"/>
          <w:sz w:val="32"/>
          <w:szCs w:val="32"/>
        </w:rPr>
        <w:t>。</w:t>
      </w:r>
      <w:r>
        <w:rPr>
          <w:rFonts w:hint="eastAsia" w:ascii="仿宋" w:hAnsi="仿宋" w:eastAsia="仿宋" w:cs="仿宋"/>
          <w:sz w:val="32"/>
          <w:szCs w:val="32"/>
        </w:rPr>
        <w:t>瑞沣国际</w:t>
      </w:r>
      <w:r>
        <w:rPr>
          <w:rFonts w:hint="eastAsia" w:ascii="仿宋" w:hAnsi="仿宋" w:eastAsia="仿宋" w:cs="仿宋"/>
          <w:sz w:val="32"/>
          <w:szCs w:val="32"/>
          <w:lang w:eastAsia="zh-CN"/>
        </w:rPr>
        <w:t>大</w:t>
      </w:r>
      <w:r>
        <w:rPr>
          <w:rFonts w:hint="eastAsia" w:ascii="仿宋" w:hAnsi="仿宋" w:eastAsia="仿宋" w:cs="仿宋"/>
          <w:sz w:val="32"/>
          <w:szCs w:val="32"/>
        </w:rPr>
        <w:t>酒店、维也纳国际</w:t>
      </w:r>
      <w:r>
        <w:rPr>
          <w:rFonts w:hint="eastAsia" w:ascii="仿宋" w:hAnsi="仿宋" w:eastAsia="仿宋" w:cs="仿宋"/>
          <w:sz w:val="32"/>
          <w:szCs w:val="32"/>
          <w:lang w:eastAsia="zh-CN"/>
        </w:rPr>
        <w:t>大</w:t>
      </w:r>
      <w:r>
        <w:rPr>
          <w:rFonts w:hint="eastAsia" w:ascii="仿宋" w:hAnsi="仿宋" w:eastAsia="仿宋" w:cs="仿宋"/>
          <w:sz w:val="32"/>
          <w:szCs w:val="32"/>
        </w:rPr>
        <w:t>酒店</w:t>
      </w:r>
      <w:r>
        <w:rPr>
          <w:rFonts w:hint="eastAsia" w:ascii="仿宋" w:hAnsi="仿宋" w:eastAsia="仿宋" w:cs="仿宋"/>
          <w:sz w:val="32"/>
          <w:szCs w:val="32"/>
          <w:lang w:eastAsia="zh-CN"/>
        </w:rPr>
        <w:t>（大世界店）成功创建为三</w:t>
      </w:r>
      <w:r>
        <w:rPr>
          <w:rFonts w:hint="eastAsia" w:ascii="仿宋" w:hAnsi="仿宋" w:eastAsia="仿宋" w:cs="仿宋"/>
          <w:sz w:val="32"/>
          <w:szCs w:val="32"/>
        </w:rPr>
        <w:t>星级</w:t>
      </w:r>
      <w:r>
        <w:rPr>
          <w:rFonts w:hint="eastAsia" w:ascii="仿宋" w:hAnsi="仿宋" w:eastAsia="仿宋" w:cs="仿宋"/>
          <w:sz w:val="32"/>
          <w:szCs w:val="32"/>
          <w:lang w:eastAsia="zh-CN"/>
        </w:rPr>
        <w:t>旅游饭店；南县</w:t>
      </w:r>
      <w:r>
        <w:rPr>
          <w:rFonts w:hint="eastAsia" w:ascii="仿宋" w:hAnsi="仿宋" w:eastAsia="仿宋" w:cs="仿宋"/>
          <w:sz w:val="32"/>
          <w:szCs w:val="32"/>
        </w:rPr>
        <w:t>文化旅行社</w:t>
      </w:r>
      <w:r>
        <w:rPr>
          <w:rFonts w:hint="eastAsia" w:ascii="仿宋" w:hAnsi="仿宋" w:eastAsia="仿宋" w:cs="仿宋"/>
          <w:sz w:val="32"/>
          <w:szCs w:val="32"/>
          <w:lang w:eastAsia="zh-CN"/>
        </w:rPr>
        <w:t>成功创建为湖南省三</w:t>
      </w:r>
      <w:r>
        <w:rPr>
          <w:rFonts w:hint="eastAsia" w:ascii="仿宋" w:hAnsi="仿宋" w:eastAsia="仿宋" w:cs="仿宋"/>
          <w:sz w:val="32"/>
          <w:szCs w:val="32"/>
        </w:rPr>
        <w:t>星级旅行社</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rPr>
        <w:t>成功申报10家星级乡村旅游区（点），其中和滨龟鳖生态园、呈宝龟趣园被评为五星级乡村旅游区（点）。五年来，全县共接待游客 2250多万人次，旅游收入 220.1亿元，年平均增长46.2%，成功创建首批“湖南省全域旅游示范区”。</w:t>
      </w:r>
    </w:p>
    <w:p>
      <w:pPr>
        <w:keepNext w:val="0"/>
        <w:keepLines w:val="0"/>
        <w:pageBreakBefore w:val="0"/>
        <w:widowControl/>
        <w:kinsoku/>
        <w:wordWrap/>
        <w:topLinePunct w:val="0"/>
        <w:autoSpaceDE/>
        <w:autoSpaceDN/>
        <w:bidi w:val="0"/>
        <w:adjustRightIn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4.广电事业惠及民生。</w:t>
      </w:r>
      <w:r>
        <w:rPr>
          <w:rFonts w:hint="eastAsia" w:ascii="仿宋_GB2312" w:hAnsi="仿宋_GB2312" w:eastAsia="仿宋_GB2312" w:cs="仿宋_GB2312"/>
          <w:sz w:val="32"/>
          <w:szCs w:val="32"/>
        </w:rPr>
        <w:t>五年来，全面完成直播卫星“户户通”用户摸底、信息采集、设备安装与调试等工作。投入500余万元采购“村村响”广播设备，对全县132</w:t>
      </w:r>
      <w:r>
        <w:rPr>
          <w:rFonts w:hint="eastAsia" w:ascii="仿宋_GB2312" w:hAnsi="仿宋_GB2312" w:eastAsia="仿宋_GB2312" w:cs="仿宋_GB2312"/>
          <w:color w:val="auto"/>
          <w:sz w:val="32"/>
          <w:szCs w:val="32"/>
        </w:rPr>
        <w:t>个行政村完成广播升级改造。完成广电监测中心建设，投入运营后实行24小时全天</w:t>
      </w:r>
      <w:r>
        <w:rPr>
          <w:rFonts w:hint="eastAsia" w:ascii="仿宋_GB2312" w:hAnsi="仿宋_GB2312" w:eastAsia="仿宋_GB2312" w:cs="仿宋_GB2312"/>
          <w:color w:val="auto"/>
          <w:sz w:val="32"/>
          <w:szCs w:val="32"/>
          <w:lang w:eastAsia="zh-CN"/>
        </w:rPr>
        <w:t>候</w:t>
      </w:r>
      <w:r>
        <w:rPr>
          <w:rFonts w:hint="eastAsia" w:ascii="仿宋_GB2312" w:hAnsi="仿宋_GB2312" w:eastAsia="仿宋_GB2312" w:cs="仿宋_GB2312"/>
          <w:color w:val="auto"/>
          <w:sz w:val="32"/>
          <w:szCs w:val="32"/>
        </w:rPr>
        <w:t>值班，每季度不定期检查，各环节严防死守，确保广播电视安全播出。</w:t>
      </w:r>
      <w:r>
        <w:rPr>
          <w:rFonts w:hint="eastAsia" w:ascii="仿宋_GB2312" w:hAnsi="仿宋_GB2312" w:eastAsia="仿宋_GB2312" w:cs="仿宋_GB2312"/>
          <w:color w:val="auto"/>
          <w:sz w:val="32"/>
          <w:szCs w:val="32"/>
          <w:lang w:val="en-US" w:eastAsia="zh-CN"/>
        </w:rPr>
        <w:t>全县</w:t>
      </w:r>
      <w:r>
        <w:rPr>
          <w:rFonts w:hint="eastAsia" w:ascii="仿宋_GB2312" w:hAnsi="仿宋_GB2312" w:eastAsia="仿宋_GB2312" w:cs="仿宋_GB2312"/>
          <w:color w:val="auto"/>
          <w:sz w:val="32"/>
          <w:szCs w:val="32"/>
        </w:rPr>
        <w:t>3家“小片网”全部整治到位，积压</w:t>
      </w:r>
      <w:r>
        <w:rPr>
          <w:rFonts w:hint="eastAsia" w:ascii="仿宋_GB2312" w:hAnsi="仿宋_GB2312" w:eastAsia="仿宋_GB2312" w:cs="仿宋_GB2312"/>
          <w:sz w:val="32"/>
          <w:szCs w:val="32"/>
        </w:rPr>
        <w:t>多年的历史遗留难题得以解决。我县获得2019年省重点民生实事项目“数字广播电视户户通工程”建设先进单位。</w:t>
      </w:r>
    </w:p>
    <w:p>
      <w:pPr>
        <w:pStyle w:val="9"/>
        <w:keepNext w:val="0"/>
        <w:keepLines w:val="0"/>
        <w:pageBreakBefore w:val="0"/>
        <w:kinsoku/>
        <w:wordWrap/>
        <w:topLinePunct w:val="0"/>
        <w:autoSpaceDE/>
        <w:autoSpaceDN/>
        <w:bidi w:val="0"/>
        <w:adjustRightIn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5.体育事业蒸蒸日上。</w:t>
      </w:r>
      <w:r>
        <w:rPr>
          <w:rFonts w:hint="eastAsia" w:ascii="仿宋_GB2312" w:hAnsi="仿宋_GB2312" w:eastAsia="仿宋_GB2312" w:cs="仿宋_GB2312"/>
          <w:sz w:val="32"/>
          <w:szCs w:val="32"/>
        </w:rPr>
        <w:t>五年来，先后制定了《南县全民健身计划2016—2020》《推动“运动南县”建设 创建全民运动健身模范县》等一系列事关体育发展的纲领性文件，做好国民体质监测工作。全民健身社团组织逐步壮大，成立了气排球、微马、游泳、自行车、太极拳、武术、广场舞等18个协会和俱乐部；县城内社区60%设立了全民健身指导站，基层健身站达到每万人1个以上；培养了近千名社会体育指导员，其中国家</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体育指导员近140人；体育彩票站点达到42个。全县12个乡镇均配套安装了全民健身器材，132个行政村的健身器材安装覆盖率达80%。在三仙湖平原水库建设45公里的自行车赛道，南茅运河两岸的县城段修建了一条长约3.5公里的全民健身长廊，逐步健全南县市民15分钟健身圈。</w:t>
      </w:r>
    </w:p>
    <w:p>
      <w:pPr>
        <w:keepNext w:val="0"/>
        <w:keepLines w:val="0"/>
        <w:pageBreakBefore w:val="0"/>
        <w:kinsoku/>
        <w:wordWrap/>
        <w:topLinePunct w:val="0"/>
        <w:autoSpaceDE/>
        <w:autoSpaceDN/>
        <w:bidi w:val="0"/>
        <w:adjustRightIn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6.</w:t>
      </w:r>
      <w:r>
        <w:rPr>
          <w:rFonts w:hint="eastAsia" w:ascii="仿宋_GB2312" w:hAnsi="仿宋_GB2312" w:eastAsia="仿宋_GB2312" w:cs="仿宋_GB2312"/>
          <w:b/>
          <w:sz w:val="32"/>
          <w:szCs w:val="32"/>
          <w:lang w:eastAsia="zh-CN"/>
        </w:rPr>
        <w:t>产业融合势态良好。</w:t>
      </w:r>
      <w:r>
        <w:rPr>
          <w:rFonts w:hint="eastAsia" w:ascii="仿宋_GB2312" w:hAnsi="仿宋_GB2312" w:eastAsia="仿宋_GB2312" w:cs="仿宋_GB2312"/>
          <w:sz w:val="32"/>
          <w:szCs w:val="32"/>
        </w:rPr>
        <w:t>五年来，共主办或承办文艺活动90余场、旅游节会活动10余场、体育赛事活动70场。其中，以全国广场舞大赛、“欢乐潇湘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我们的中国梦”系列活动、“改革开放40年之魅力南县”等为代表的国家级或省级文艺活动12场；以国际涂鸦艺术节暨稻虾文化旅游节、“惠聚湘鄂边·乐购南洲城”购物节等</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代表的自有品牌旅游节会活动10余次；承办以中国新能源汽车拉力锦标赛·环洞庭湖站、环中国国际公路自行车</w:t>
      </w:r>
      <w:r>
        <w:rPr>
          <w:rFonts w:hint="eastAsia" w:ascii="仿宋_GB2312" w:hAnsi="仿宋_GB2312" w:eastAsia="仿宋_GB2312" w:cs="仿宋_GB2312"/>
          <w:color w:val="auto"/>
          <w:sz w:val="32"/>
          <w:szCs w:val="32"/>
        </w:rPr>
        <w:t>赛、中·塞国际篮球对抗巡回赛等为代表的“国字号”体育赛事共16次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举办了以“三湘悦动·洞庭奔跑”等</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代表的省级体育活动20</w:t>
      </w:r>
      <w:r>
        <w:rPr>
          <w:rFonts w:hint="eastAsia" w:ascii="仿宋_GB2312" w:hAnsi="仿宋_GB2312" w:eastAsia="仿宋_GB2312" w:cs="仿宋_GB2312"/>
          <w:sz w:val="32"/>
          <w:szCs w:val="32"/>
        </w:rPr>
        <w:t>余次。先后推出了南县全域旅游风光片等5部对外形象宣传片，并推出了由著名音乐家何沐阳创作，当红组合凤凰传奇演唱的南县全域旅游主题歌曲《瞄着你就爱》。文化旅游体育</w:t>
      </w:r>
      <w:r>
        <w:rPr>
          <w:rFonts w:hint="eastAsia" w:ascii="仿宋_GB2312" w:hAnsi="仿宋_GB2312" w:eastAsia="仿宋_GB2312" w:cs="仿宋_GB2312"/>
          <w:sz w:val="32"/>
          <w:szCs w:val="32"/>
          <w:lang w:eastAsia="zh-CN"/>
        </w:rPr>
        <w:t>深度</w:t>
      </w:r>
      <w:r>
        <w:rPr>
          <w:rFonts w:hint="eastAsia" w:ascii="仿宋_GB2312" w:hAnsi="仿宋_GB2312" w:eastAsia="仿宋_GB2312" w:cs="仿宋_GB2312"/>
          <w:sz w:val="32"/>
          <w:szCs w:val="32"/>
        </w:rPr>
        <w:t>融合，积极赋能南县高质量发展。</w:t>
      </w:r>
    </w:p>
    <w:p>
      <w:pPr>
        <w:keepNext w:val="0"/>
        <w:keepLines w:val="0"/>
        <w:pageBreakBefore w:val="0"/>
        <w:kinsoku/>
        <w:wordWrap/>
        <w:topLinePunct w:val="0"/>
        <w:autoSpaceDE/>
        <w:autoSpaceDN/>
        <w:bidi w:val="0"/>
        <w:adjustRightInd/>
        <w:spacing w:line="580" w:lineRule="exact"/>
        <w:ind w:firstLine="643"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sz w:val="32"/>
          <w:szCs w:val="32"/>
        </w:rPr>
        <w:t>7.</w:t>
      </w:r>
      <w:r>
        <w:rPr>
          <w:rFonts w:hint="eastAsia" w:ascii="仿宋_GB2312" w:hAnsi="仿宋_GB2312" w:eastAsia="仿宋_GB2312" w:cs="仿宋_GB2312"/>
          <w:b/>
          <w:sz w:val="32"/>
          <w:szCs w:val="32"/>
          <w:lang w:eastAsia="zh-CN"/>
        </w:rPr>
        <w:t>行业管理</w:t>
      </w:r>
      <w:r>
        <w:rPr>
          <w:rFonts w:hint="eastAsia" w:ascii="仿宋_GB2312" w:hAnsi="仿宋_GB2312" w:eastAsia="仿宋_GB2312" w:cs="仿宋_GB2312"/>
          <w:b/>
          <w:sz w:val="32"/>
          <w:szCs w:val="32"/>
        </w:rPr>
        <w:t>规范</w:t>
      </w:r>
      <w:r>
        <w:rPr>
          <w:rFonts w:hint="eastAsia" w:ascii="仿宋_GB2312" w:hAnsi="仿宋_GB2312" w:eastAsia="仿宋_GB2312" w:cs="仿宋_GB2312"/>
          <w:b/>
          <w:sz w:val="32"/>
          <w:szCs w:val="32"/>
          <w:lang w:eastAsia="zh-CN"/>
        </w:rPr>
        <w:t>有序</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五年来，“扫黄打非”工作全面铺开，开展“清源</w:t>
      </w:r>
      <w:r>
        <w:rPr>
          <w:rFonts w:hint="eastAsia" w:ascii="仿宋_GB2312" w:hAnsi="仿宋_GB2312" w:eastAsia="仿宋_GB2312" w:cs="仿宋_GB2312"/>
          <w:color w:val="auto"/>
          <w:sz w:val="32"/>
          <w:szCs w:val="32"/>
        </w:rPr>
        <w:t>”“固边”“净网”“护苗”“秋风”等专项行动120余次，出动执法人员1500余人次，对全县网吧、娱乐场所、出版物市场、旅行社等110余家文化场所进行安全生产大检查，立案调查各类违法案件172件，办结156件，罚没金额200万元，有力打击了违法行为，净化了我县文化市场环境。以“三创”工作为主要抓手，组织各景区、文化场所进行消防演练，对全县高危险性体育项目进行规范化检查，每年开展“防事故保安全”“5.19 中国旅游日”等宣传活动，筑牢行业安全防线。2016年、2017年县文化综合执法大队连续两年被评为“湖南省文化行政执法先进单位”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2017年</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文化旅游广电体育局被评为全省“扫黄打非”先进集体，南洲镇东红社区入选全国“扫黄打非”进基层示范点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2018年南洲镇南洲村入选全省“扫黄打非”进基层示范点。</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楷体" w:hAnsi="楷体" w:eastAsia="楷体" w:cs="楷体"/>
          <w:bCs/>
          <w:kern w:val="0"/>
          <w:sz w:val="32"/>
          <w:szCs w:val="32"/>
          <w:shd w:val="clear" w:color="auto" w:fill="FFFFFF"/>
        </w:rPr>
      </w:pPr>
      <w:r>
        <w:rPr>
          <w:rFonts w:hint="eastAsia" w:ascii="楷体" w:hAnsi="楷体" w:eastAsia="楷体" w:cs="楷体"/>
          <w:bCs/>
          <w:sz w:val="32"/>
          <w:szCs w:val="32"/>
        </w:rPr>
        <w:t>（二）存在的问题</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“十四五”时期，我县文旅广体事业的发展面临人才供给滞后和产业发展要素不足等问题，需要各相关部门统一思想、共克时艰、共开新局。</w:t>
      </w:r>
    </w:p>
    <w:p>
      <w:pPr>
        <w:keepNext w:val="0"/>
        <w:keepLines w:val="0"/>
        <w:pageBreakBefore w:val="0"/>
        <w:kinsoku/>
        <w:wordWrap/>
        <w:topLinePunct w:val="0"/>
        <w:autoSpaceDE/>
        <w:autoSpaceDN/>
        <w:bidi w:val="0"/>
        <w:adjustRightIn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1.人才供给严重滞后于创新发展需要。一是</w:t>
      </w:r>
      <w:r>
        <w:rPr>
          <w:rFonts w:hint="eastAsia" w:ascii="仿宋_GB2312" w:hAnsi="仿宋_GB2312" w:eastAsia="仿宋_GB2312" w:cs="仿宋_GB2312"/>
          <w:sz w:val="32"/>
          <w:szCs w:val="32"/>
        </w:rPr>
        <w:t>缺乏文化、旅游、体育专业人才。文化体育旅游专业人才“出不来”“引不进”与“留不住”等现象比较普遍，高素质、领军型文化旅游专业人才奇缺，文旅产业发展所急需的理念创新、艺术创作、创意设计、产业运营、产品策划等方面人才缺口较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缺乏广播技术人才。农村广播“村村响”设备技术含量越来越高，县、乡从事广播技术人员且懂简单维修维护人员越来越少，没有建立相应培训机制，想学却无处学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高水平的体育教练员缺乏，竞技体育后备人才培养体系不健全，体校招生难问题突出，后备人才的培养、储备和可持续发展面临较大的困难。</w:t>
      </w:r>
    </w:p>
    <w:p>
      <w:pPr>
        <w:keepNext w:val="0"/>
        <w:keepLines w:val="0"/>
        <w:pageBreakBefore w:val="0"/>
        <w:kinsoku/>
        <w:wordWrap/>
        <w:topLinePunct w:val="0"/>
        <w:autoSpaceDE/>
        <w:autoSpaceDN/>
        <w:bidi w:val="0"/>
        <w:adjustRightInd/>
        <w:spacing w:line="58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2.产业发展要素配置不足。一是</w:t>
      </w:r>
      <w:r>
        <w:rPr>
          <w:rFonts w:hint="eastAsia" w:ascii="仿宋_GB2312" w:hAnsi="仿宋_GB2312" w:eastAsia="仿宋_GB2312" w:cs="仿宋_GB2312"/>
          <w:sz w:val="32"/>
          <w:szCs w:val="32"/>
        </w:rPr>
        <w:t>文旅广体各项事业基本为公益性服务业，在社会需求不断激增的情况下，基</w:t>
      </w:r>
      <w:r>
        <w:rPr>
          <w:rFonts w:hint="eastAsia" w:ascii="仿宋_GB2312" w:hAnsi="仿宋_GB2312" w:eastAsia="仿宋_GB2312" w:cs="仿宋_GB2312"/>
          <w:color w:val="auto"/>
          <w:sz w:val="32"/>
          <w:szCs w:val="32"/>
        </w:rPr>
        <w:t>础建设及服务要加速跟进，资金缺口大。业务经费、人员经费不足，如</w:t>
      </w:r>
      <w:r>
        <w:rPr>
          <w:rFonts w:hint="eastAsia" w:ascii="仿宋_GB2312" w:hAnsi="仿宋_GB2312" w:eastAsia="仿宋_GB2312" w:cs="仿宋_GB2312"/>
          <w:color w:val="auto"/>
          <w:sz w:val="32"/>
          <w:szCs w:val="32"/>
          <w:lang w:eastAsia="zh-CN"/>
        </w:rPr>
        <w:t>文保中心、</w:t>
      </w:r>
      <w:r>
        <w:rPr>
          <w:rFonts w:hint="eastAsia" w:ascii="仿宋_GB2312" w:hAnsi="仿宋_GB2312" w:eastAsia="仿宋_GB2312" w:cs="仿宋_GB2312"/>
          <w:color w:val="auto"/>
          <w:sz w:val="32"/>
          <w:szCs w:val="32"/>
        </w:rPr>
        <w:t>博物馆、文化馆、图书馆等只能勉强保证人员工资补助，各项群众文化活动难以开展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文化执法经费严重不足，执法必需设施设备缺乏，限制了办案的数量和质量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土地要素市场供给不足。文旅项目用地需求迅速增长与用地供应政策缺位之间的矛盾长期存在，影响文旅产业的高质量可持续发展。</w:t>
      </w:r>
    </w:p>
    <w:p>
      <w:pPr>
        <w:keepNext w:val="0"/>
        <w:keepLines w:val="0"/>
        <w:pageBreakBefore w:val="0"/>
        <w:kinsoku/>
        <w:wordWrap/>
        <w:topLinePunct w:val="0"/>
        <w:autoSpaceDE/>
        <w:autoSpaceDN/>
        <w:bidi w:val="0"/>
        <w:adjustRightInd/>
        <w:spacing w:line="580" w:lineRule="exact"/>
        <w:ind w:firstLine="640" w:firstLineChars="200"/>
        <w:textAlignment w:val="auto"/>
        <w:outlineLvl w:val="0"/>
        <w:rPr>
          <w:rFonts w:ascii="Times New Roman" w:hAnsi="Times New Roman" w:eastAsia="宋体" w:cs="Times New Roman"/>
          <w:color w:val="auto"/>
          <w:sz w:val="32"/>
          <w:szCs w:val="32"/>
        </w:rPr>
      </w:pPr>
      <w:bookmarkStart w:id="0" w:name="_Toc83893007"/>
      <w:r>
        <w:rPr>
          <w:rFonts w:hint="eastAsia" w:ascii="黑体" w:hAnsi="黑体" w:eastAsia="黑体" w:cs="黑体"/>
          <w:color w:val="auto"/>
          <w:sz w:val="32"/>
          <w:szCs w:val="32"/>
        </w:rPr>
        <w:t>二、“十四五”发展环境分析</w:t>
      </w:r>
      <w:bookmarkEnd w:id="0"/>
    </w:p>
    <w:p>
      <w:pPr>
        <w:keepNext w:val="0"/>
        <w:keepLines w:val="0"/>
        <w:pageBreakBefore w:val="0"/>
        <w:kinsoku/>
        <w:wordWrap/>
        <w:topLinePunct w:val="0"/>
        <w:autoSpaceDE/>
        <w:autoSpaceDN/>
        <w:bidi w:val="0"/>
        <w:adjustRightInd/>
        <w:spacing w:line="580" w:lineRule="exact"/>
        <w:ind w:firstLine="640" w:firstLineChars="200"/>
        <w:textAlignment w:val="auto"/>
        <w:outlineLvl w:val="0"/>
        <w:rPr>
          <w:rFonts w:ascii="楷体" w:hAnsi="楷体" w:eastAsia="楷体" w:cs="楷体"/>
          <w:bCs/>
          <w:color w:val="auto"/>
          <w:sz w:val="32"/>
          <w:szCs w:val="32"/>
        </w:rPr>
      </w:pPr>
      <w:r>
        <w:rPr>
          <w:rFonts w:hint="eastAsia" w:ascii="楷体" w:hAnsi="楷体" w:eastAsia="楷体" w:cs="楷体"/>
          <w:bCs/>
          <w:color w:val="auto"/>
          <w:sz w:val="32"/>
          <w:szCs w:val="32"/>
        </w:rPr>
        <w:t>（一）发展机遇</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“十四五”时期，南县文化旅游</w:t>
      </w:r>
      <w:r>
        <w:rPr>
          <w:rFonts w:hint="eastAsia" w:ascii="仿宋_GB2312" w:hAnsi="仿宋_GB2312" w:eastAsia="仿宋_GB2312" w:cs="仿宋_GB2312"/>
          <w:color w:val="auto"/>
          <w:sz w:val="32"/>
          <w:szCs w:val="32"/>
          <w:lang w:eastAsia="zh-CN"/>
        </w:rPr>
        <w:t>广电</w:t>
      </w:r>
      <w:r>
        <w:rPr>
          <w:rFonts w:hint="eastAsia" w:ascii="仿宋_GB2312" w:hAnsi="仿宋_GB2312" w:eastAsia="仿宋_GB2312" w:cs="仿宋_GB2312"/>
          <w:color w:val="auto"/>
          <w:sz w:val="32"/>
          <w:szCs w:val="32"/>
        </w:rPr>
        <w:t>体育</w:t>
      </w:r>
      <w:r>
        <w:rPr>
          <w:rFonts w:hint="eastAsia" w:ascii="仿宋_GB2312" w:hAnsi="仿宋_GB2312" w:eastAsia="仿宋_GB2312" w:cs="仿宋_GB2312"/>
          <w:color w:val="auto"/>
          <w:sz w:val="32"/>
          <w:szCs w:val="32"/>
          <w:lang w:eastAsia="zh-CN"/>
        </w:rPr>
        <w:t>事业</w:t>
      </w:r>
      <w:r>
        <w:rPr>
          <w:rFonts w:hint="eastAsia" w:ascii="仿宋_GB2312" w:hAnsi="仿宋_GB2312" w:eastAsia="仿宋_GB2312" w:cs="仿宋_GB2312"/>
          <w:color w:val="auto"/>
          <w:sz w:val="32"/>
          <w:szCs w:val="32"/>
        </w:rPr>
        <w:t>发展要抢抓省、市重大发展机遇，进一步发挥</w:t>
      </w:r>
      <w:r>
        <w:rPr>
          <w:rFonts w:hint="eastAsia" w:ascii="仿宋_GB2312" w:hAnsi="仿宋_GB2312" w:eastAsia="仿宋_GB2312" w:cs="仿宋_GB2312"/>
          <w:color w:val="auto"/>
          <w:sz w:val="32"/>
          <w:szCs w:val="32"/>
          <w:lang w:eastAsia="zh-CN"/>
        </w:rPr>
        <w:t>湖乡文化</w:t>
      </w:r>
      <w:r>
        <w:rPr>
          <w:rFonts w:hint="eastAsia" w:ascii="仿宋_GB2312" w:hAnsi="仿宋_GB2312" w:eastAsia="仿宋_GB2312" w:cs="仿宋_GB2312"/>
          <w:color w:val="auto"/>
          <w:sz w:val="32"/>
          <w:szCs w:val="32"/>
        </w:rPr>
        <w:t>以及红色</w:t>
      </w:r>
      <w:r>
        <w:rPr>
          <w:rFonts w:hint="eastAsia" w:ascii="仿宋_GB2312" w:hAnsi="仿宋_GB2312" w:eastAsia="仿宋_GB2312" w:cs="仿宋_GB2312"/>
          <w:color w:val="auto"/>
          <w:sz w:val="32"/>
          <w:szCs w:val="32"/>
          <w:lang w:eastAsia="zh-CN"/>
        </w:rPr>
        <w:t>旅游</w:t>
      </w:r>
      <w:r>
        <w:rPr>
          <w:rFonts w:hint="eastAsia" w:ascii="仿宋_GB2312" w:hAnsi="仿宋_GB2312" w:eastAsia="仿宋_GB2312" w:cs="仿宋_GB2312"/>
          <w:color w:val="auto"/>
          <w:sz w:val="32"/>
          <w:szCs w:val="32"/>
        </w:rPr>
        <w:t>资</w:t>
      </w:r>
      <w:r>
        <w:rPr>
          <w:rFonts w:hint="eastAsia" w:ascii="仿宋_GB2312" w:hAnsi="仿宋_GB2312" w:eastAsia="仿宋_GB2312" w:cs="仿宋_GB2312"/>
          <w:sz w:val="32"/>
          <w:szCs w:val="32"/>
        </w:rPr>
        <w:t>源优势，进一步巩固省级全域旅游示范区创建成果，争创国家级全域旅游示范区，做强乡村旅游、特色小镇，打造文旅融合新南县。</w:t>
      </w:r>
    </w:p>
    <w:p>
      <w:pPr>
        <w:keepNext w:val="0"/>
        <w:keepLines w:val="0"/>
        <w:pageBreakBefore w:val="0"/>
        <w:kinsoku/>
        <w:wordWrap/>
        <w:topLinePunct w:val="0"/>
        <w:autoSpaceDE/>
        <w:autoSpaceDN/>
        <w:bidi w:val="0"/>
        <w:adjustRightInd/>
        <w:spacing w:line="580" w:lineRule="exact"/>
        <w:ind w:firstLine="63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1.技术创新带来的发展机遇</w:t>
      </w:r>
    </w:p>
    <w:p>
      <w:pPr>
        <w:keepNext w:val="0"/>
        <w:keepLines w:val="0"/>
        <w:pageBreakBefore w:val="0"/>
        <w:kinsoku/>
        <w:wordWrap/>
        <w:topLinePunct w:val="0"/>
        <w:autoSpaceDE/>
        <w:autoSpaceDN/>
        <w:bidi w:val="0"/>
        <w:adjustRightInd/>
        <w:spacing w:line="58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当前，5G消费大周期临近，云计算、大数据、人工智能等新技术将带动体验经济升级、消费升级，文化、旅游、体育行业资源整合、融合发展将面临机遇期。</w:t>
      </w:r>
    </w:p>
    <w:p>
      <w:pPr>
        <w:keepNext w:val="0"/>
        <w:keepLines w:val="0"/>
        <w:pageBreakBefore w:val="0"/>
        <w:kinsoku/>
        <w:wordWrap/>
        <w:topLinePunct w:val="0"/>
        <w:autoSpaceDE/>
        <w:autoSpaceDN/>
        <w:bidi w:val="0"/>
        <w:adjustRightInd/>
        <w:spacing w:line="580" w:lineRule="exact"/>
        <w:ind w:firstLine="63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2.政策红利带来的发展机遇</w:t>
      </w:r>
    </w:p>
    <w:p>
      <w:pPr>
        <w:keepNext w:val="0"/>
        <w:keepLines w:val="0"/>
        <w:pageBreakBefore w:val="0"/>
        <w:kinsoku/>
        <w:wordWrap/>
        <w:topLinePunct w:val="0"/>
        <w:autoSpaceDE/>
        <w:autoSpaceDN/>
        <w:bidi w:val="0"/>
        <w:adjustRightInd/>
        <w:spacing w:line="58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南县地处长江经济带、洞庭湖生态经济区腹地，同时是革命老区县，在乡村振兴、红色文化旅游项目建设等方面将享受扶持政策。</w:t>
      </w:r>
    </w:p>
    <w:p>
      <w:pPr>
        <w:keepNext w:val="0"/>
        <w:keepLines w:val="0"/>
        <w:pageBreakBefore w:val="0"/>
        <w:kinsoku/>
        <w:wordWrap/>
        <w:topLinePunct w:val="0"/>
        <w:autoSpaceDE/>
        <w:autoSpaceDN/>
        <w:bidi w:val="0"/>
        <w:adjustRightInd/>
        <w:spacing w:line="58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3.区域合作带来的发展机遇</w:t>
      </w:r>
    </w:p>
    <w:p>
      <w:pPr>
        <w:keepNext w:val="0"/>
        <w:keepLines w:val="0"/>
        <w:pageBreakBefore w:val="0"/>
        <w:kinsoku/>
        <w:wordWrap/>
        <w:overflowPunct w:val="0"/>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“十四五”时期，基于新交通体系以及新一代信息技术的对外合作路径进一步拓展，南县与湘鄂赣边、武汉城市群、长株潭城市群等区域的合作更便捷，</w:t>
      </w:r>
      <w:r>
        <w:rPr>
          <w:rFonts w:hint="eastAsia" w:ascii="仿宋_GB2312" w:hAnsi="仿宋_GB2312" w:eastAsia="仿宋_GB2312" w:cs="仿宋_GB2312"/>
          <w:color w:val="auto"/>
          <w:sz w:val="32"/>
          <w:szCs w:val="32"/>
        </w:rPr>
        <w:t>有利于</w:t>
      </w:r>
      <w:r>
        <w:rPr>
          <w:rFonts w:hint="eastAsia" w:ascii="仿宋_GB2312" w:hAnsi="仿宋_GB2312" w:eastAsia="仿宋_GB2312" w:cs="仿宋_GB2312"/>
          <w:color w:val="auto"/>
          <w:sz w:val="32"/>
          <w:szCs w:val="32"/>
          <w:lang w:val="en-US" w:eastAsia="zh-CN"/>
        </w:rPr>
        <w:t>促进</w:t>
      </w:r>
      <w:r>
        <w:rPr>
          <w:rFonts w:hint="eastAsia" w:ascii="仿宋_GB2312" w:hAnsi="仿宋_GB2312" w:eastAsia="仿宋_GB2312" w:cs="仿宋_GB2312"/>
          <w:color w:val="auto"/>
          <w:sz w:val="32"/>
          <w:szCs w:val="32"/>
        </w:rPr>
        <w:t>南县文旅体融合发展。</w:t>
      </w:r>
    </w:p>
    <w:p>
      <w:pPr>
        <w:keepNext w:val="0"/>
        <w:keepLines w:val="0"/>
        <w:pageBreakBefore w:val="0"/>
        <w:kinsoku/>
        <w:wordWrap/>
        <w:overflowPunct w:val="0"/>
        <w:topLinePunct w:val="0"/>
        <w:autoSpaceDE/>
        <w:autoSpaceDN/>
        <w:bidi w:val="0"/>
        <w:adjustRightInd/>
        <w:spacing w:line="58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（二）主要挑战</w:t>
      </w:r>
    </w:p>
    <w:p>
      <w:pPr>
        <w:keepNext w:val="0"/>
        <w:keepLines w:val="0"/>
        <w:pageBreakBefore w:val="0"/>
        <w:kinsoku/>
        <w:wordWrap/>
        <w:overflowPunct w:val="0"/>
        <w:topLinePunct w:val="0"/>
        <w:autoSpaceDE/>
        <w:autoSpaceDN/>
        <w:bidi w:val="0"/>
        <w:adjustRightIn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从外部环境看，新冠肺炎疫情对文旅消费习惯造成重大影响，疫情防控常态化将从客观上改变人们的出游习惯，出境游、国内长途游等传统旅游产品受到较大冲击。</w:t>
      </w:r>
    </w:p>
    <w:p>
      <w:pPr>
        <w:keepNext w:val="0"/>
        <w:keepLines w:val="0"/>
        <w:pageBreakBefore w:val="0"/>
        <w:kinsoku/>
        <w:wordWrap/>
        <w:overflowPunct w:val="0"/>
        <w:topLinePunct w:val="0"/>
        <w:autoSpaceDE/>
        <w:autoSpaceDN/>
        <w:bidi w:val="0"/>
        <w:adjustRightIn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从公共服务看，各地投入不均衡，特别是农村地区和基层社区等文化、体育、广电设施仍然比较薄弱，</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景区停车场、厕所、标识标牌、游客中心等配套设施有待规范完善，乡村旅游住宿设施有待提质升级，旅行社、酒店、民宿等服务水平参差不齐。</w:t>
      </w:r>
    </w:p>
    <w:p>
      <w:pPr>
        <w:keepNext w:val="0"/>
        <w:keepLines w:val="0"/>
        <w:pageBreakBefore w:val="0"/>
        <w:kinsoku/>
        <w:wordWrap/>
        <w:overflowPunct w:val="0"/>
        <w:topLinePunct w:val="0"/>
        <w:autoSpaceDE/>
        <w:autoSpaceDN/>
        <w:bidi w:val="0"/>
        <w:adjustRightIn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从产业规模看，文化和旅游市场主体散小弱现象比较普遍，景区景点过度依赖政府投入，大部分等级景区无造血功能，景区由主要依靠投资转为更加注重运营转变，旅游由单纯观光向兼顾休闲度假转变，对文旅创新和产品开发提出了新要求。体育经济发展不足，广播电视行业发展缺乏亮点。</w:t>
      </w:r>
    </w:p>
    <w:p>
      <w:pPr>
        <w:keepNext w:val="0"/>
        <w:keepLines w:val="0"/>
        <w:pageBreakBefore w:val="0"/>
        <w:kinsoku/>
        <w:wordWrap/>
        <w:overflowPunct w:val="0"/>
        <w:topLinePunct w:val="0"/>
        <w:autoSpaceDE/>
        <w:autoSpaceDN/>
        <w:bidi w:val="0"/>
        <w:adjustRightIn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从融合发展看，文旅融合还任重道远。“重旅轻文”与“重文轻旅”两种倾向同时存在，一些文化资源不能通过旅游市场得到传承弘扬，一些优质文化资源还没有转化为优质文化旅游产品。</w:t>
      </w:r>
    </w:p>
    <w:p>
      <w:pPr>
        <w:keepNext w:val="0"/>
        <w:keepLines w:val="0"/>
        <w:pageBreakBefore w:val="0"/>
        <w:kinsoku/>
        <w:wordWrap/>
        <w:topLinePunct w:val="0"/>
        <w:autoSpaceDE/>
        <w:autoSpaceDN/>
        <w:bidi w:val="0"/>
        <w:adjustRightInd/>
        <w:snapToGrid w:val="0"/>
        <w:spacing w:line="580" w:lineRule="exact"/>
        <w:ind w:firstLine="640" w:firstLineChars="200"/>
        <w:textAlignment w:val="auto"/>
        <w:rPr>
          <w:rFonts w:ascii="黑体" w:hAnsi="黑体" w:eastAsia="黑体" w:cs="黑体"/>
          <w:b/>
          <w:bCs/>
          <w:sz w:val="32"/>
          <w:szCs w:val="32"/>
        </w:rPr>
      </w:pPr>
      <w:r>
        <w:rPr>
          <w:rFonts w:hint="eastAsia" w:ascii="黑体" w:hAnsi="黑体" w:eastAsia="黑体" w:cs="黑体"/>
          <w:sz w:val="32"/>
          <w:szCs w:val="32"/>
        </w:rPr>
        <w:t>三、指导思想与发展定位</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（一）指导思想</w:t>
      </w:r>
    </w:p>
    <w:p>
      <w:pPr>
        <w:keepNext w:val="0"/>
        <w:keepLines w:val="0"/>
        <w:pageBreakBefore w:val="0"/>
        <w:kinsoku/>
        <w:wordWrap/>
        <w:overflowPunct w:val="0"/>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以习近平新时代中国特色社会主义思想为指导，全面贯彻落实党的十九大和十九届历次全会精神，贯彻落实习近平总书</w:t>
      </w:r>
      <w:r>
        <w:rPr>
          <w:rFonts w:hint="eastAsia" w:ascii="仿宋_GB2312" w:hAnsi="仿宋_GB2312" w:eastAsia="仿宋_GB2312" w:cs="仿宋_GB2312"/>
          <w:color w:val="auto"/>
          <w:sz w:val="32"/>
          <w:szCs w:val="32"/>
        </w:rPr>
        <w:t>记</w:t>
      </w:r>
      <w:r>
        <w:rPr>
          <w:rFonts w:hint="eastAsia" w:ascii="仿宋_GB2312" w:hAnsi="仿宋_GB2312" w:eastAsia="仿宋_GB2312" w:cs="仿宋_GB2312"/>
          <w:color w:val="auto"/>
          <w:sz w:val="32"/>
          <w:szCs w:val="32"/>
          <w:lang w:eastAsia="zh-CN"/>
        </w:rPr>
        <w:t>考察</w:t>
      </w:r>
      <w:r>
        <w:rPr>
          <w:rFonts w:hint="eastAsia" w:ascii="仿宋_GB2312" w:hAnsi="仿宋_GB2312" w:eastAsia="仿宋_GB2312" w:cs="仿宋_GB2312"/>
          <w:color w:val="auto"/>
          <w:sz w:val="32"/>
          <w:szCs w:val="32"/>
        </w:rPr>
        <w:t>湖南</w:t>
      </w:r>
      <w:r>
        <w:rPr>
          <w:rFonts w:hint="eastAsia" w:ascii="仿宋_GB2312" w:hAnsi="仿宋_GB2312" w:eastAsia="仿宋_GB2312" w:cs="仿宋_GB2312"/>
          <w:color w:val="auto"/>
          <w:sz w:val="32"/>
          <w:szCs w:val="32"/>
          <w:lang w:val="en-US" w:eastAsia="zh-CN"/>
        </w:rPr>
        <w:t>时的</w:t>
      </w:r>
      <w:r>
        <w:rPr>
          <w:rFonts w:hint="eastAsia" w:ascii="仿宋_GB2312" w:hAnsi="仿宋_GB2312" w:eastAsia="仿宋_GB2312" w:cs="仿宋_GB2312"/>
          <w:color w:val="auto"/>
          <w:sz w:val="32"/>
          <w:szCs w:val="32"/>
        </w:rPr>
        <w:t>重要讲话</w:t>
      </w:r>
      <w:r>
        <w:rPr>
          <w:rFonts w:hint="eastAsia" w:ascii="仿宋_GB2312" w:hAnsi="仿宋_GB2312" w:eastAsia="仿宋_GB2312" w:cs="仿宋_GB2312"/>
          <w:sz w:val="32"/>
          <w:szCs w:val="32"/>
        </w:rPr>
        <w:t>重要指示批示精神，坚持党的领导，坚持以人民为中心，坚持新发展理念，不断满足人民群众日益增长的美好生活需要，确保“十四五”期间文化、旅游、广电、体育等事业和产业更好惠及全县人民，在实施“三高四新”战略和</w:t>
      </w:r>
      <w:r>
        <w:rPr>
          <w:rFonts w:ascii="仿宋_GB2312" w:hAnsi="仿宋_GB2312" w:eastAsia="仿宋_GB2312" w:cs="仿宋_GB2312"/>
          <w:sz w:val="32"/>
          <w:szCs w:val="32"/>
        </w:rPr>
        <w:t>湘鄂边消费“新蓝海”</w:t>
      </w:r>
      <w:r>
        <w:rPr>
          <w:rFonts w:hint="eastAsia" w:ascii="仿宋_GB2312" w:hAnsi="仿宋_GB2312" w:eastAsia="仿宋_GB2312" w:cs="仿宋_GB2312"/>
          <w:sz w:val="32"/>
          <w:szCs w:val="32"/>
        </w:rPr>
        <w:t>战略中主动作为，增强本土文化自信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提升地方文化软实力，为</w:t>
      </w:r>
      <w:r>
        <w:rPr>
          <w:rFonts w:ascii="仿宋_GB2312" w:hAnsi="仿宋_GB2312" w:eastAsia="仿宋_GB2312" w:cs="仿宋_GB2312"/>
          <w:sz w:val="32"/>
          <w:szCs w:val="32"/>
        </w:rPr>
        <w:t>努力建设“工业强、农业优、三产活、项目兴、生态好”的新南县</w:t>
      </w:r>
      <w:r>
        <w:rPr>
          <w:rFonts w:hint="eastAsia" w:ascii="仿宋_GB2312" w:hAnsi="仿宋_GB2312" w:eastAsia="仿宋_GB2312" w:cs="仿宋_GB2312"/>
          <w:sz w:val="32"/>
          <w:szCs w:val="32"/>
        </w:rPr>
        <w:t>贡献文旅力量。</w:t>
      </w:r>
    </w:p>
    <w:p>
      <w:pPr>
        <w:keepNext w:val="0"/>
        <w:keepLines w:val="0"/>
        <w:pageBreakBefore w:val="0"/>
        <w:kinsoku/>
        <w:wordWrap/>
        <w:topLinePunct w:val="0"/>
        <w:autoSpaceDE/>
        <w:autoSpaceDN/>
        <w:bidi w:val="0"/>
        <w:adjustRightInd/>
        <w:snapToGrid w:val="0"/>
        <w:spacing w:line="58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（二）发展定位</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到2025年，基本形成“覆盖城乡、便捷高效、服务优质、惠及全民”的公共文化、体育服务体系，“结构合理、门类齐全、富有创意、竞争力强”的文化产业体系，“保护为主，抢救第一，合理利用，</w:t>
      </w:r>
      <w:r>
        <w:rPr>
          <w:rFonts w:hint="eastAsia" w:ascii="仿宋_GB2312" w:hAnsi="仿宋_GB2312" w:eastAsia="仿宋_GB2312" w:cs="仿宋_GB2312"/>
          <w:sz w:val="32"/>
          <w:szCs w:val="32"/>
          <w:lang w:val="en-US" w:eastAsia="zh-CN"/>
        </w:rPr>
        <w:t>传承发展</w:t>
      </w:r>
      <w:r>
        <w:rPr>
          <w:rFonts w:hint="eastAsia" w:ascii="仿宋_GB2312" w:hAnsi="仿宋_GB2312" w:eastAsia="仿宋_GB2312" w:cs="仿宋_GB2312"/>
          <w:sz w:val="32"/>
          <w:szCs w:val="32"/>
        </w:rPr>
        <w:t>”的文化遗产保护体系，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全域布局、全景覆盖、全局联动、全业融合、全民参与</w:t>
      </w:r>
      <w:r>
        <w:rPr>
          <w:rFonts w:hint="eastAsia" w:ascii="仿宋_GB2312" w:hAnsi="仿宋_GB2312" w:eastAsia="仿宋_GB2312" w:cs="仿宋_GB2312"/>
          <w:color w:val="auto"/>
          <w:sz w:val="32"/>
          <w:szCs w:val="32"/>
        </w:rPr>
        <w:t>”的全域旅游发展体系，“三网融合、智慧化、智能化”的新型广播电视体系，打造地域特色明显、美誉度和知名度进一步提升的南县文化、旅游、</w:t>
      </w:r>
      <w:r>
        <w:rPr>
          <w:rFonts w:hint="eastAsia" w:ascii="仿宋_GB2312" w:hAnsi="仿宋_GB2312" w:eastAsia="仿宋_GB2312" w:cs="仿宋_GB2312"/>
          <w:color w:val="auto"/>
          <w:sz w:val="32"/>
          <w:szCs w:val="32"/>
          <w:lang w:eastAsia="zh-CN"/>
        </w:rPr>
        <w:t>广电、</w:t>
      </w:r>
      <w:r>
        <w:rPr>
          <w:rFonts w:hint="eastAsia" w:ascii="仿宋_GB2312" w:hAnsi="仿宋_GB2312" w:eastAsia="仿宋_GB2312" w:cs="仿宋_GB2312"/>
          <w:color w:val="auto"/>
          <w:sz w:val="32"/>
          <w:szCs w:val="32"/>
        </w:rPr>
        <w:t>体育特色品</w:t>
      </w:r>
      <w:r>
        <w:rPr>
          <w:rFonts w:hint="eastAsia" w:ascii="仿宋_GB2312" w:hAnsi="仿宋_GB2312" w:eastAsia="仿宋_GB2312" w:cs="仿宋_GB2312"/>
          <w:sz w:val="32"/>
          <w:szCs w:val="32"/>
        </w:rPr>
        <w:t>牌。</w:t>
      </w:r>
      <w:r>
        <w:rPr>
          <w:rFonts w:hint="eastAsia" w:ascii="仿宋_GB2312" w:hAnsi="仿宋_GB2312" w:eastAsia="仿宋_GB2312" w:cs="仿宋_GB2312"/>
          <w:color w:val="000000"/>
          <w:sz w:val="32"/>
          <w:szCs w:val="32"/>
        </w:rPr>
        <w:t>让全体居民共享文化、旅游、广电、体育等事业、产业的发展</w:t>
      </w:r>
      <w:r>
        <w:rPr>
          <w:rFonts w:hint="eastAsia" w:ascii="仿宋_GB2312" w:hAnsi="仿宋_GB2312" w:eastAsia="仿宋_GB2312" w:cs="仿宋_GB2312"/>
          <w:sz w:val="32"/>
          <w:szCs w:val="32"/>
        </w:rPr>
        <w:t>成果，让旅游者与当地居民共享公共文化和旅游服务，不断增强人民群众精神文化获得感、幸福感</w:t>
      </w:r>
      <w:r>
        <w:rPr>
          <w:rFonts w:hint="eastAsia" w:ascii="仿宋" w:hAnsi="仿宋" w:eastAsia="仿宋" w:cs="仿宋"/>
          <w:color w:val="000000"/>
          <w:sz w:val="32"/>
          <w:szCs w:val="32"/>
        </w:rPr>
        <w:t>。</w:t>
      </w:r>
    </w:p>
    <w:p>
      <w:pPr>
        <w:keepNext w:val="0"/>
        <w:keepLines w:val="0"/>
        <w:pageBreakBefore w:val="0"/>
        <w:kinsoku/>
        <w:wordWrap/>
        <w:topLinePunct w:val="0"/>
        <w:autoSpaceDE/>
        <w:autoSpaceDN/>
        <w:bidi w:val="0"/>
        <w:adjustRightInd/>
        <w:snapToGrid w:val="0"/>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四、总体目标与主要任务</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（一）总体目标</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——文化建设目标。到2025年，把南县建成公共文化服务体系完善的文化强县。县城建有数字化图书馆、文化馆、博物馆、演艺中心，12个乡镇均建立综合文化站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图书</w:t>
      </w:r>
      <w:r>
        <w:rPr>
          <w:rFonts w:hint="eastAsia" w:ascii="仿宋_GB2312" w:hAnsi="仿宋_GB2312" w:eastAsia="仿宋_GB2312" w:cs="仿宋_GB2312"/>
          <w:sz w:val="32"/>
          <w:szCs w:val="32"/>
          <w:lang w:val="en-US" w:eastAsia="zh-CN"/>
        </w:rPr>
        <w:t>馆</w:t>
      </w:r>
      <w:r>
        <w:rPr>
          <w:rFonts w:hint="eastAsia" w:ascii="仿宋_GB2312" w:hAnsi="仿宋_GB2312" w:eastAsia="仿宋_GB2312" w:cs="仿宋_GB2312"/>
          <w:sz w:val="32"/>
          <w:szCs w:val="32"/>
        </w:rPr>
        <w:t>、文化</w:t>
      </w:r>
      <w:r>
        <w:rPr>
          <w:rFonts w:hint="eastAsia" w:ascii="仿宋_GB2312" w:hAnsi="仿宋_GB2312" w:eastAsia="仿宋_GB2312" w:cs="仿宋_GB2312"/>
          <w:sz w:val="32"/>
          <w:szCs w:val="32"/>
          <w:lang w:val="en-US" w:eastAsia="zh-CN"/>
        </w:rPr>
        <w:t>馆</w:t>
      </w:r>
      <w:r>
        <w:rPr>
          <w:rFonts w:hint="eastAsia" w:ascii="仿宋_GB2312" w:hAnsi="仿宋_GB2312" w:eastAsia="仿宋_GB2312" w:cs="仿宋_GB2312"/>
          <w:sz w:val="32"/>
          <w:szCs w:val="32"/>
        </w:rPr>
        <w:t>分馆，132个行政村均实现综合性文化服务中心“七个一”标准化建设。平均每万人拥有群众文化设施建筑面积达到289平方米，人均拥有公共文化设施面积达到3.0平方米以上，人均公共图书馆藏量0.88册。</w:t>
      </w:r>
      <w:r>
        <w:rPr>
          <w:rFonts w:hint="eastAsia" w:ascii="仿宋_GB2312" w:hAnsi="仿宋_GB2312" w:eastAsia="仿宋_GB2312" w:cs="仿宋_GB2312"/>
          <w:sz w:val="32"/>
          <w:szCs w:val="32"/>
          <w:lang w:val="zh-CN"/>
        </w:rPr>
        <w:t>文物和非物质文化遗产保护传承体系基本形成，遗产资源利用更加有效。文艺精品创作进入全省第一方阵</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sz w:val="32"/>
          <w:szCs w:val="32"/>
        </w:rPr>
        <w:t>做到文化体制顺畅，文化市场有序，文化功能齐全，文化精品纷呈，文化生活多彩，文化消费提升，各项文化主要指标和综合实力居于益阳市乃至全省前列。</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旅游发展目标。全面推进城区景区化、乡镇景点化、村级景观化、景区精品化、产品多样化、服务精细化进程，逐步将南县打造成集生态观光、红色励志、休闲度假、文化体验、体育赛事于一体的环洞庭湖区旅游胜地，全面打响“洞庭生态游”品牌，将南县建设成为全省旅游强县和全国知名旅游目的地。深入推进大众旅游、智慧旅游和“旅游+”、“+旅游”等业态和模式发展成熟，提供更多优质旅游产品和服务，加强区域旅游资源与产品整合，完善综合效益高、带动能力强的现代旅游产业体系。五年</w:t>
      </w:r>
      <w:r>
        <w:rPr>
          <w:rFonts w:hint="eastAsia" w:ascii="仿宋_GB2312" w:hAnsi="仿宋_GB2312" w:eastAsia="仿宋_GB2312" w:cs="仿宋_GB2312"/>
          <w:color w:val="auto"/>
          <w:sz w:val="32"/>
          <w:szCs w:val="32"/>
        </w:rPr>
        <w:t>内创建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个国家4A级旅游景区——厂窖惨案遇难同胞纪念馆旅游景区、罗文花海景区</w:t>
      </w:r>
      <w:r>
        <w:rPr>
          <w:rFonts w:hint="eastAsia" w:ascii="仿宋_GB2312" w:hAnsi="仿宋_GB2312" w:eastAsia="仿宋_GB2312" w:cs="仿宋_GB2312"/>
          <w:color w:val="auto"/>
          <w:sz w:val="32"/>
          <w:szCs w:val="32"/>
          <w:lang w:eastAsia="zh-CN"/>
        </w:rPr>
        <w:t>、德昌公园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个国家3A级旅游景区——</w:t>
      </w:r>
      <w:r>
        <w:rPr>
          <w:rFonts w:hint="eastAsia" w:ascii="仿宋_GB2312" w:hAnsi="仿宋_GB2312" w:eastAsia="仿宋_GB2312" w:cs="仿宋_GB2312"/>
          <w:color w:val="auto"/>
          <w:sz w:val="32"/>
          <w:szCs w:val="32"/>
          <w:lang w:eastAsia="zh-CN"/>
        </w:rPr>
        <w:t>南山生态稻虾第一村、天星洲自然生态旅游区</w:t>
      </w:r>
      <w:r>
        <w:rPr>
          <w:rFonts w:hint="eastAsia" w:ascii="仿宋_GB2312" w:hAnsi="仿宋_GB2312" w:eastAsia="仿宋_GB2312" w:cs="仿宋_GB2312"/>
          <w:color w:val="auto"/>
          <w:sz w:val="32"/>
          <w:szCs w:val="32"/>
        </w:rPr>
        <w:t>；创建</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个省</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sz w:val="32"/>
          <w:szCs w:val="32"/>
        </w:rPr>
        <w:t>特色文旅小镇(厂窖镇、南洲镇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创建2个省级乡村旅游重点村（南山村、东胜村）；打造2家省级乡村旅游后备箱基地；20个三星级以上的星级乡村旅游区（点）。</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广电发展目标。坚持“统一联动、安全可靠、快速高效、平战结合”的原则，统筹利用现有广播电视资源，推进全县应急广播体系建设，推动形成中央、省、市、县、乡镇、村（社区）六级统一协调、上下贯通、可管可控、综合覆盖的应急广播体系。</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体育发展目标。以《体育强国建设纲要》为指引，实施体育场地设施建设工程、全民健身活动普及工程、青少年体育发展促进工程、体育文化建设工程、体育志愿服务工程和体育社会组织建设工程。全县体育健身设施全面改善，体育健身组织更加健全，城乡全民健身服务体系基本完善，体育公共服务水平明显提升。城乡居民健身意识进一步增强，全县经常参加体育锻炼的人数比例达到46%，城乡居民达到《国民体质测定标准》合格以上的人数比例是92%，人均体育场地面积达到2.2平方米。体育产业规模逐步扩大，体育消费明显增加，与文化、旅游、医疗、养老、互联网等领域的互动融合日益加深。</w:t>
      </w:r>
    </w:p>
    <w:p>
      <w:pPr>
        <w:keepNext w:val="0"/>
        <w:keepLines w:val="0"/>
        <w:pageBreakBefore w:val="0"/>
        <w:numPr>
          <w:ilvl w:val="0"/>
          <w:numId w:val="1"/>
        </w:numPr>
        <w:kinsoku/>
        <w:wordWrap/>
        <w:topLinePunct w:val="0"/>
        <w:autoSpaceDE/>
        <w:autoSpaceDN/>
        <w:bidi w:val="0"/>
        <w:adjustRightInd/>
        <w:spacing w:line="58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主要任务</w:t>
      </w:r>
    </w:p>
    <w:p>
      <w:pPr>
        <w:keepNext w:val="0"/>
        <w:keepLines w:val="0"/>
        <w:pageBreakBefore w:val="0"/>
        <w:kinsoku/>
        <w:wordWrap/>
        <w:topLinePunct w:val="0"/>
        <w:autoSpaceDE/>
        <w:autoSpaceDN/>
        <w:bidi w:val="0"/>
        <w:adjustRightIn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1.统筹城乡，健全公共服务体系建设</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（1）完善县级公共文化服务体系建设协调机制，落实《南县公共文化服务体系高质量发展五年行动计划（2021年-2025年）实施方案》。加强公共文化服务阵地建设，新建南县图书馆、文化</w:t>
      </w:r>
      <w:r>
        <w:rPr>
          <w:rFonts w:hint="eastAsia" w:ascii="仿宋_GB2312" w:hAnsi="仿宋_GB2312" w:eastAsia="仿宋_GB2312" w:cs="仿宋_GB2312"/>
          <w:color w:val="auto"/>
          <w:sz w:val="32"/>
          <w:szCs w:val="32"/>
        </w:rPr>
        <w:t>馆、演艺中心，推进县图书馆、文化馆、博物馆功能建设和数字化建设，完善南县公共文旅云平台等相关配套设施设备建设，加强</w:t>
      </w:r>
      <w:r>
        <w:rPr>
          <w:rFonts w:hint="eastAsia" w:ascii="仿宋_GB2312" w:hAnsi="仿宋_GB2312" w:eastAsia="仿宋_GB2312" w:cs="仿宋_GB2312"/>
          <w:color w:val="auto"/>
          <w:sz w:val="32"/>
          <w:szCs w:val="32"/>
          <w:lang w:eastAsia="zh-CN"/>
        </w:rPr>
        <w:t>综合文化站</w:t>
      </w:r>
      <w:r>
        <w:rPr>
          <w:rFonts w:hint="eastAsia" w:ascii="仿宋_GB2312" w:hAnsi="仿宋_GB2312" w:eastAsia="仿宋_GB2312" w:cs="仿宋_GB2312"/>
          <w:color w:val="auto"/>
          <w:sz w:val="32"/>
          <w:szCs w:val="32"/>
        </w:rPr>
        <w:t>和村级综合性文化服务中心标准化建设和日常管理，确保全县12个乡镇完成综合文化站的建设，平均面积达到300平方米以上，并配备必要的设施设备。以实施乡村公共服务“家前十小”示范工程为引领，12个乡镇和</w:t>
      </w:r>
      <w:r>
        <w:rPr>
          <w:rFonts w:hint="eastAsia" w:ascii="仿宋_GB2312" w:hAnsi="仿宋_GB2312" w:eastAsia="仿宋_GB2312" w:cs="仿宋_GB2312"/>
          <w:color w:val="auto"/>
          <w:sz w:val="32"/>
          <w:szCs w:val="32"/>
          <w:lang w:val="en-US" w:eastAsia="zh-CN"/>
        </w:rPr>
        <w:t>132</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行政</w:t>
      </w:r>
      <w:r>
        <w:rPr>
          <w:rFonts w:hint="eastAsia" w:ascii="仿宋_GB2312" w:hAnsi="仿宋_GB2312" w:eastAsia="仿宋_GB2312" w:cs="仿宋_GB2312"/>
          <w:color w:val="auto"/>
          <w:sz w:val="32"/>
          <w:szCs w:val="32"/>
        </w:rPr>
        <w:t>村文体广场建设集宣传文化、科学普及、体育健身等功能于一体，资源充足、设备齐全、服务规范、保障有力、群众满意度较高的基层综合性文化服务中心。加快全县12个</w:t>
      </w:r>
      <w:r>
        <w:rPr>
          <w:rFonts w:hint="eastAsia" w:ascii="仿宋_GB2312" w:hAnsi="仿宋_GB2312" w:eastAsia="仿宋_GB2312" w:cs="仿宋_GB2312"/>
          <w:color w:val="auto"/>
          <w:sz w:val="32"/>
          <w:szCs w:val="32"/>
          <w:lang w:eastAsia="zh-CN"/>
        </w:rPr>
        <w:t>综合文化站</w:t>
      </w:r>
      <w:r>
        <w:rPr>
          <w:rFonts w:hint="eastAsia" w:ascii="仿宋_GB2312" w:hAnsi="仿宋_GB2312" w:eastAsia="仿宋_GB2312" w:cs="仿宋_GB2312"/>
          <w:color w:val="auto"/>
          <w:sz w:val="32"/>
          <w:szCs w:val="32"/>
        </w:rPr>
        <w:t>图书馆、文化馆分</w:t>
      </w:r>
      <w:r>
        <w:rPr>
          <w:rFonts w:hint="eastAsia" w:ascii="仿宋_GB2312" w:hAnsi="仿宋_GB2312" w:eastAsia="仿宋_GB2312" w:cs="仿宋_GB2312"/>
          <w:sz w:val="32"/>
          <w:szCs w:val="32"/>
        </w:rPr>
        <w:t>馆以及132个村级综合文化服务中心“七个一”建设，形成“中心城区有场馆、各乡镇有活动中心、社区有活动分中心、行政村有文化活动室”的群众文化活动网络阵地，鼓励各类文化企业和社会力量参与公共文化服务体系建设，培育文化非营利组织，不断推进公共服务设施标准化、均等化、智慧化。</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（2）加强组织</w:t>
      </w:r>
      <w:r>
        <w:rPr>
          <w:rFonts w:hint="eastAsia" w:ascii="仿宋_GB2312" w:hAnsi="仿宋_GB2312" w:eastAsia="仿宋_GB2312" w:cs="仿宋_GB2312"/>
          <w:color w:val="auto"/>
          <w:sz w:val="32"/>
          <w:szCs w:val="32"/>
        </w:rPr>
        <w:t>领导，精心管理县、乡、村三级文化网络。县级文化部门积极履职，充分发挥指导、组织、协调全县文化工作和文化活动的功能。</w:t>
      </w:r>
      <w:r>
        <w:rPr>
          <w:rFonts w:hint="eastAsia" w:ascii="仿宋_GB2312" w:hAnsi="仿宋_GB2312" w:eastAsia="仿宋_GB2312" w:cs="仿宋_GB2312"/>
          <w:color w:val="auto"/>
          <w:sz w:val="32"/>
          <w:szCs w:val="32"/>
          <w:lang w:eastAsia="zh-CN"/>
        </w:rPr>
        <w:t>综合文化站</w:t>
      </w:r>
      <w:r>
        <w:rPr>
          <w:rFonts w:hint="eastAsia" w:ascii="仿宋_GB2312" w:hAnsi="仿宋_GB2312" w:eastAsia="仿宋_GB2312" w:cs="仿宋_GB2312"/>
          <w:color w:val="auto"/>
          <w:sz w:val="32"/>
          <w:szCs w:val="32"/>
        </w:rPr>
        <w:t>主动承担所在</w:t>
      </w:r>
      <w:r>
        <w:rPr>
          <w:rFonts w:hint="eastAsia" w:ascii="仿宋_GB2312" w:hAnsi="仿宋_GB2312" w:eastAsia="仿宋_GB2312" w:cs="仿宋_GB2312"/>
          <w:sz w:val="32"/>
          <w:szCs w:val="32"/>
        </w:rPr>
        <w:t>区域内的文化工作职责，指导村级（社区）综合文化服务中心组织开展群众喜闻乐见的文化活动，让先进文化占领农村阵地，教育引导群众，提升和改善农民的精神生活水平，净化社会风气，促进社会和谐。</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丰富群众性文化、体育活动内容。继续做好群众性文化活动品牌，组织开展“欢乐潇湘”“我们的节日”“文化进万家”和各种节日慰问等系列文化活动。组织开展全民健身运动，构建全民健身赛事和活动体系，推行国家体育锻炼标准，提高社会体育指导员工作效率，广泛开展丰富多样的运动项目，动员社会力量参与全民健身活动。</w:t>
      </w:r>
    </w:p>
    <w:p>
      <w:pPr>
        <w:keepNext w:val="0"/>
        <w:keepLines w:val="0"/>
        <w:pageBreakBefore w:val="0"/>
        <w:kinsoku/>
        <w:wordWrap/>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lang w:val="en-US" w:eastAsia="zh-CN"/>
        </w:rPr>
      </w:pPr>
      <w:r>
        <w:rPr>
          <w:rFonts w:hint="eastAsia" w:ascii="仿宋_GB2312" w:hAnsi="仿宋_GB2312" w:eastAsia="仿宋_GB2312" w:cs="仿宋_GB2312"/>
          <w:sz w:val="32"/>
          <w:szCs w:val="32"/>
        </w:rPr>
        <w:t>（4）加大文化惠民工程实施力度。加强对公共文化产品创作生产的引导，创作更多弘扬社会主义核心价值观、思想性艺术性观赏性相统一的文艺作品，推出一批优秀的、具有可持续发展价值的品牌文化活动。进一步加大政府购买服务力度，增加送演出下基层、文化“三下乡”、“湖南公共文化进村入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戏曲进乡村”等惠民演出活动场次。</w:t>
      </w:r>
    </w:p>
    <w:p>
      <w:pPr>
        <w:keepNext w:val="0"/>
        <w:keepLines w:val="0"/>
        <w:pageBreakBefore w:val="0"/>
        <w:kinsoku/>
        <w:wordWrap/>
        <w:topLinePunct w:val="0"/>
        <w:autoSpaceDE/>
        <w:autoSpaceDN/>
        <w:bidi w:val="0"/>
        <w:adjustRightInd/>
        <w:spacing w:line="58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2.创新引导，构建新时代艺术体系</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坚持以人民为中心导向，繁荣文艺创作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color w:val="000000"/>
          <w:sz w:val="32"/>
          <w:szCs w:val="32"/>
        </w:rPr>
        <w:t>聚焦多元化创作题材，</w:t>
      </w:r>
      <w:r>
        <w:rPr>
          <w:rFonts w:hint="eastAsia" w:ascii="仿宋_GB2312" w:hAnsi="仿宋_GB2312" w:eastAsia="仿宋_GB2312" w:cs="仿宋_GB2312"/>
          <w:color w:val="000000"/>
          <w:sz w:val="32"/>
          <w:szCs w:val="32"/>
          <w:lang w:eastAsia="zh-CN"/>
        </w:rPr>
        <w:t>提升文艺原创能力，</w:t>
      </w:r>
      <w:r>
        <w:rPr>
          <w:rFonts w:hint="eastAsia" w:ascii="仿宋_GB2312" w:hAnsi="仿宋_GB2312" w:eastAsia="仿宋_GB2312" w:cs="仿宋_GB2312"/>
          <w:color w:val="000000"/>
          <w:sz w:val="32"/>
          <w:szCs w:val="32"/>
        </w:rPr>
        <w:t>推出</w:t>
      </w:r>
      <w:r>
        <w:rPr>
          <w:rFonts w:hint="eastAsia" w:ascii="仿宋_GB2312" w:hAnsi="仿宋_GB2312" w:eastAsia="仿宋_GB2312" w:cs="仿宋_GB2312"/>
          <w:color w:val="000000"/>
          <w:sz w:val="32"/>
          <w:szCs w:val="32"/>
          <w:lang w:eastAsia="zh-CN"/>
        </w:rPr>
        <w:t>一批文艺</w:t>
      </w:r>
      <w:r>
        <w:rPr>
          <w:rFonts w:hint="eastAsia" w:ascii="仿宋_GB2312" w:hAnsi="仿宋_GB2312" w:eastAsia="仿宋_GB2312" w:cs="仿宋_GB2312"/>
          <w:color w:val="000000"/>
          <w:sz w:val="32"/>
          <w:szCs w:val="32"/>
        </w:rPr>
        <w:t>精品力作。</w:t>
      </w:r>
      <w:r>
        <w:rPr>
          <w:rFonts w:ascii="仿宋_GB2312" w:hAnsi="仿宋_GB2312" w:eastAsia="仿宋_GB2312" w:cs="仿宋_GB2312"/>
          <w:sz w:val="32"/>
          <w:szCs w:val="32"/>
        </w:rPr>
        <w:t>充分调动全县各文</w:t>
      </w:r>
      <w:r>
        <w:rPr>
          <w:rFonts w:hint="eastAsia" w:ascii="仿宋_GB2312" w:hAnsi="仿宋_GB2312" w:eastAsia="仿宋_GB2312" w:cs="仿宋_GB2312"/>
          <w:color w:val="000000"/>
          <w:sz w:val="32"/>
          <w:szCs w:val="32"/>
        </w:rPr>
        <w:t>学艺术创作人员在建设文化强县、提升文化软实力中的工作积极性，采取多种形式团结鼓励并支持艺术创作人员深入群众，深入生活，感受时代，不断推出优秀作品。围绕经济社会发展、抗击新冠肺炎疫情、中国共产党成立 100 周年、党的二十大、新中国成立 75 周年、第十三届中国艺术节、第七、八届湖南艺术节等国家重大战略和重要节点创作题材；围绕南县湖区文化、红色文化、地花鼓等历史文化，推进地域题材创作；围绕百姓生活，突出传统美德、凡人善举、人间真情，推进民生题材创作。推出10首以上的音乐、舞蹈作品，3台以上的戏曲作品</w:t>
      </w:r>
      <w:r>
        <w:rPr>
          <w:rFonts w:hint="eastAsia" w:ascii="仿宋_GB2312" w:hAnsi="仿宋_GB2312" w:eastAsia="仿宋_GB2312" w:cs="仿宋_GB2312"/>
          <w:color w:val="auto"/>
          <w:sz w:val="32"/>
          <w:szCs w:val="32"/>
        </w:rPr>
        <w:t>以及若干高艺术水准、高市场认可的精品力作，力争在“五个一工程奖”“群星</w:t>
      </w:r>
      <w:r>
        <w:rPr>
          <w:rFonts w:hint="eastAsia" w:ascii="仿宋_GB2312" w:hAnsi="仿宋_GB2312" w:eastAsia="仿宋_GB2312" w:cs="仿宋_GB2312"/>
          <w:color w:val="000000"/>
          <w:sz w:val="32"/>
          <w:szCs w:val="32"/>
        </w:rPr>
        <w:t>奖”中获得优异成绩。</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 w:eastAsia="仿宋_GB2312" w:cs="仿宋"/>
          <w:b w:val="0"/>
          <w:bCs w:val="0"/>
          <w:sz w:val="32"/>
          <w:szCs w:val="32"/>
          <w:lang w:eastAsia="zh-CN"/>
        </w:rPr>
        <w:t>（</w:t>
      </w:r>
      <w:r>
        <w:rPr>
          <w:rFonts w:hint="eastAsia" w:ascii="仿宋_GB2312" w:hAnsi="仿宋" w:eastAsia="仿宋_GB2312" w:cs="仿宋"/>
          <w:b w:val="0"/>
          <w:bCs w:val="0"/>
          <w:sz w:val="32"/>
          <w:szCs w:val="32"/>
          <w:lang w:val="en-US" w:eastAsia="zh-CN"/>
        </w:rPr>
        <w:t>2</w:t>
      </w:r>
      <w:r>
        <w:rPr>
          <w:rFonts w:hint="eastAsia" w:ascii="仿宋_GB2312" w:hAnsi="仿宋" w:eastAsia="仿宋_GB2312" w:cs="仿宋"/>
          <w:b w:val="0"/>
          <w:bCs w:val="0"/>
          <w:sz w:val="32"/>
          <w:szCs w:val="32"/>
          <w:lang w:eastAsia="zh-CN"/>
        </w:rPr>
        <w:t>）</w:t>
      </w:r>
      <w:r>
        <w:rPr>
          <w:rFonts w:hint="eastAsia" w:ascii="仿宋_GB2312" w:hAnsi="仿宋" w:eastAsia="仿宋_GB2312" w:cs="仿宋"/>
          <w:b w:val="0"/>
          <w:bCs w:val="0"/>
          <w:sz w:val="32"/>
          <w:szCs w:val="32"/>
        </w:rPr>
        <w:t>提升民间文艺团体发展能力</w:t>
      </w:r>
      <w:r>
        <w:rPr>
          <w:rFonts w:hint="eastAsia" w:ascii="仿宋_GB2312" w:hAnsi="仿宋" w:eastAsia="仿宋_GB2312" w:cs="仿宋"/>
          <w:b w:val="0"/>
          <w:bCs w:val="0"/>
          <w:sz w:val="32"/>
          <w:szCs w:val="32"/>
          <w:lang w:eastAsia="zh-CN"/>
        </w:rPr>
        <w:t>。</w:t>
      </w:r>
      <w:r>
        <w:rPr>
          <w:rFonts w:hint="eastAsia" w:ascii="仿宋_GB2312" w:hAnsi="仿宋_GB2312" w:eastAsia="仿宋_GB2312" w:cs="仿宋_GB2312"/>
          <w:color w:val="000000"/>
          <w:sz w:val="32"/>
          <w:szCs w:val="32"/>
        </w:rPr>
        <w:t>促进民间职业剧团的发展，通过政府购买等方式引导其积极参与公共文化服务和社会艺术普及活动；重点扶持2家左右民间职业剧团，以南县地花鼓研学、培训、演出为抓手，推动对国家级非遗项目南县地花鼓的传承和发展；加大“送戏下乡”“戏曲进乡村”“戏曲进校园”等惠民演出活动力度，推动优质文艺资源进企业、进农村、进校园、进社区。鼓励社会力量通过投资或捐助设施设备、资助项目、赞助活动、提供产品和服务等方式支持民间剧团的发展。</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 w:eastAsia="仿宋_GB2312" w:cs="仿宋"/>
          <w:b w:val="0"/>
          <w:bCs w:val="0"/>
          <w:sz w:val="32"/>
          <w:szCs w:val="32"/>
          <w:lang w:eastAsia="zh-CN"/>
        </w:rPr>
        <w:t>（</w:t>
      </w:r>
      <w:r>
        <w:rPr>
          <w:rFonts w:hint="eastAsia" w:ascii="仿宋_GB2312" w:hAnsi="仿宋" w:eastAsia="仿宋_GB2312" w:cs="仿宋"/>
          <w:b w:val="0"/>
          <w:bCs w:val="0"/>
          <w:sz w:val="32"/>
          <w:szCs w:val="32"/>
          <w:lang w:val="en-US" w:eastAsia="zh-CN"/>
        </w:rPr>
        <w:t>3</w:t>
      </w:r>
      <w:r>
        <w:rPr>
          <w:rFonts w:hint="eastAsia" w:ascii="仿宋_GB2312" w:hAnsi="仿宋" w:eastAsia="仿宋_GB2312" w:cs="仿宋"/>
          <w:b w:val="0"/>
          <w:bCs w:val="0"/>
          <w:sz w:val="32"/>
          <w:szCs w:val="32"/>
          <w:lang w:eastAsia="zh-CN"/>
        </w:rPr>
        <w:t>）</w:t>
      </w:r>
      <w:r>
        <w:rPr>
          <w:rFonts w:hint="eastAsia" w:ascii="仿宋_GB2312" w:hAnsi="仿宋" w:eastAsia="仿宋_GB2312" w:cs="仿宋"/>
          <w:b w:val="0"/>
          <w:bCs w:val="0"/>
          <w:sz w:val="32"/>
          <w:szCs w:val="32"/>
        </w:rPr>
        <w:t>推动优秀作品演出演播</w:t>
      </w:r>
      <w:r>
        <w:rPr>
          <w:rFonts w:hint="eastAsia" w:ascii="仿宋_GB2312" w:hAnsi="仿宋" w:eastAsia="仿宋_GB2312" w:cs="仿宋"/>
          <w:b w:val="0"/>
          <w:bCs w:val="0"/>
          <w:sz w:val="32"/>
          <w:szCs w:val="32"/>
          <w:lang w:eastAsia="zh-CN"/>
        </w:rPr>
        <w:t>。</w:t>
      </w:r>
      <w:r>
        <w:rPr>
          <w:rFonts w:hint="eastAsia" w:ascii="仿宋_GB2312" w:hAnsi="仿宋_GB2312" w:eastAsia="仿宋_GB2312" w:cs="仿宋_GB2312"/>
          <w:color w:val="000000"/>
          <w:sz w:val="32"/>
          <w:szCs w:val="32"/>
        </w:rPr>
        <w:t>建立导向正确、内容鲜活、群众喜爱、常演常新的剧目生产表演机制，聚焦经典代表作、新编和改编剧目、现实题材原创新作等不同题材，适应不同演出条件，满足不同观演人群需要，充分利用广播电视、网络视听、新媒体等传播渠道，不断提升舞台剧目的传播力和影响力。加强对民营文艺表演团体的支持、规范、引领，加快推动民营文艺表演团体高质量发展。持续实施花鼓戏振兴工程，实施经典文艺作品政府采购计划，通过“演艺+旅游”的模式将花鼓戏等地方曲艺及跨界融合情景歌舞剧更广泛地推向市场。扶持抖音以及其他短视频官方公众号发展，促进优秀文艺作品多渠道传输、多平台展示、多终端推送。在更大范围讲好南县故事，展示南县形象，传播南县声音。</w:t>
      </w:r>
    </w:p>
    <w:p>
      <w:pPr>
        <w:keepNext w:val="0"/>
        <w:keepLines w:val="0"/>
        <w:pageBreakBefore w:val="0"/>
        <w:kinsoku/>
        <w:wordWrap/>
        <w:topLinePunct w:val="0"/>
        <w:autoSpaceDE/>
        <w:autoSpaceDN/>
        <w:bidi w:val="0"/>
        <w:adjustRightIn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3.保护传承</w:t>
      </w:r>
      <w:r>
        <w:rPr>
          <w:rFonts w:hint="eastAsia" w:ascii="仿宋_GB2312" w:hAnsi="仿宋_GB2312" w:eastAsia="仿宋_GB2312" w:cs="仿宋_GB2312"/>
          <w:b/>
          <w:bCs/>
          <w:sz w:val="32"/>
          <w:szCs w:val="32"/>
        </w:rPr>
        <w:t>，抓好文物保护</w:t>
      </w:r>
      <w:r>
        <w:rPr>
          <w:rFonts w:hint="eastAsia" w:ascii="仿宋_GB2312" w:hAnsi="仿宋_GB2312" w:eastAsia="仿宋_GB2312" w:cs="仿宋_GB2312"/>
          <w:b/>
          <w:bCs/>
          <w:sz w:val="32"/>
          <w:szCs w:val="32"/>
          <w:lang w:eastAsia="zh-CN"/>
        </w:rPr>
        <w:t>和利用</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（1）科学保护和开发遗址遗迹。加强历史文化遗产的保护与开发，推动文化产业发展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整合全国重点文物保护单位涂家台遗址、市级文物保护单位卢保山遗址和县级文物保护单位桂花园遗址等文物资源，启动遗址公园、展览馆建设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完成南县不可移动革命文物保护利用工程。</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充分发挥博物馆、纪念馆的服务和教育功能。提升文博场馆智能化、数字化水平，在官网、微信公众号等日常宣传平台基础上，建设数字化智能演示类云平台、数字化智能云安全系统。拓展博物馆、纪念馆的社会教育</w:t>
      </w:r>
      <w:r>
        <w:rPr>
          <w:rFonts w:hint="eastAsia" w:ascii="仿宋_GB2312" w:hAnsi="仿宋_GB2312" w:eastAsia="仿宋_GB2312" w:cs="仿宋_GB2312"/>
          <w:sz w:val="32"/>
          <w:szCs w:val="32"/>
          <w:lang w:val="en-US" w:eastAsia="zh-CN"/>
        </w:rPr>
        <w:t>职</w:t>
      </w:r>
      <w:r>
        <w:rPr>
          <w:rFonts w:hint="eastAsia" w:ascii="仿宋_GB2312" w:hAnsi="仿宋_GB2312" w:eastAsia="仿宋_GB2312" w:cs="仿宋_GB2312"/>
          <w:sz w:val="32"/>
          <w:szCs w:val="32"/>
        </w:rPr>
        <w:t>能，充分利用全国爱国主义教育示范基地的阵地优势，开展丰富多彩的宣讲活动，并与学校教育、社会教育紧密结合，履行青少年教育与公民素质教育的责任与使命。鼓励博物馆、纪念馆进行文创产品开发，把优秀传统文化成果进行创造性转化，让大众可以更亲切、更直观地接触传统文化。</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（3）保护非物质文化遗</w:t>
      </w:r>
      <w:r>
        <w:rPr>
          <w:rFonts w:hint="eastAsia" w:ascii="仿宋_GB2312" w:hAnsi="仿宋_GB2312" w:eastAsia="仿宋_GB2312" w:cs="仿宋_GB2312"/>
          <w:color w:val="auto"/>
          <w:sz w:val="32"/>
          <w:szCs w:val="32"/>
        </w:rPr>
        <w:t>产。贯彻“保护为主、抢救第一、合理利用、</w:t>
      </w:r>
      <w:r>
        <w:rPr>
          <w:rFonts w:hint="eastAsia" w:ascii="仿宋_GB2312" w:hAnsi="仿宋_GB2312" w:eastAsia="仿宋_GB2312" w:cs="仿宋_GB2312"/>
          <w:color w:val="auto"/>
          <w:sz w:val="32"/>
          <w:szCs w:val="32"/>
          <w:lang w:val="en-US" w:eastAsia="zh-CN"/>
        </w:rPr>
        <w:t>传承发展</w:t>
      </w:r>
      <w:r>
        <w:rPr>
          <w:rFonts w:hint="eastAsia" w:ascii="仿宋_GB2312" w:hAnsi="仿宋_GB2312" w:eastAsia="仿宋_GB2312" w:cs="仿宋_GB2312"/>
          <w:color w:val="auto"/>
          <w:sz w:val="32"/>
          <w:szCs w:val="32"/>
        </w:rPr>
        <w:t>”的原则，加强非物质文化遗产的挖掘、普查、整理和研究工作。力争到“</w:t>
      </w:r>
      <w:r>
        <w:rPr>
          <w:rFonts w:hint="eastAsia" w:ascii="仿宋_GB2312" w:hAnsi="仿宋_GB2312" w:eastAsia="仿宋_GB2312" w:cs="仿宋_GB2312"/>
          <w:sz w:val="32"/>
          <w:szCs w:val="32"/>
        </w:rPr>
        <w:t>十四五”期末，我县新增省、市级非遗保护项目和非遗代表性传承人均有突破。认真落实国家级“非遗”保护项目《南县地花鼓“十四五”传承保护规划》，积极申报南县地花鼓国家级、省级传承人，举办两届南县地花鼓艺术节；做好南县传统戏剧服饰制作技艺省级非遗项目及传承人申报；提高非遗档案数字化程度，积极利用新媒体传播非遗。实施传统工艺振兴计划，打造一批特色鲜明、效益显著的传统文化产品。加大文旅融合模式的探索与实践，进一步做好南县地花鼓非遗文旅融合文章，助力打造湖南省非遗主题（研学）旅游线路——“鱼米之湘·非遗环湖之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扩大“非遗+旅游”工作成效，推动文化遗产保护利用与旅游发展相结合。推进“非遗+扶贫”工作，加大非遗扶贫就业工坊的建设。加强非遗管理人员队伍建设与非遗传承人培训工作。</w:t>
      </w: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rPr>
          <w:rFonts w:hint="default"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lang w:val="en-US" w:eastAsia="zh-CN"/>
        </w:rPr>
        <w:t>4</w:t>
      </w:r>
      <w:r>
        <w:rPr>
          <w:rFonts w:hint="eastAsia" w:ascii="仿宋_GB2312" w:hAnsi="仿宋_GB2312" w:eastAsia="仿宋_GB2312" w:cs="仿宋_GB2312"/>
          <w:b/>
          <w:bCs/>
          <w:color w:val="auto"/>
          <w:sz w:val="32"/>
          <w:szCs w:val="32"/>
          <w:shd w:val="clear" w:color="auto" w:fill="auto"/>
        </w:rPr>
        <w:t>.全域布局</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b/>
          <w:bCs/>
          <w:color w:val="auto"/>
          <w:sz w:val="32"/>
          <w:szCs w:val="32"/>
          <w:shd w:val="clear" w:color="auto" w:fill="auto"/>
          <w:lang w:val="en-US" w:eastAsia="zh-CN"/>
        </w:rPr>
        <w:t>健全全域旅游发展链条</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1"/>
        <w:rPr>
          <w:rFonts w:hint="eastAsia" w:ascii="仿宋_GB2312" w:hAnsi="仿宋_GB2312" w:eastAsia="仿宋_GB2312" w:cs="仿宋_GB2312"/>
          <w:color w:val="auto"/>
          <w:sz w:val="32"/>
          <w:szCs w:val="32"/>
          <w:shd w:val="clear" w:color="auto" w:fill="auto"/>
        </w:rPr>
      </w:pPr>
      <w:r>
        <w:rPr>
          <w:rFonts w:hint="eastAsia" w:ascii="仿宋" w:hAnsi="仿宋" w:eastAsia="仿宋" w:cs="仿宋"/>
          <w:color w:val="auto"/>
          <w:sz w:val="32"/>
          <w:szCs w:val="32"/>
          <w:shd w:val="clear" w:color="auto" w:fill="auto"/>
        </w:rPr>
        <w:t>（</w:t>
      </w:r>
      <w:r>
        <w:rPr>
          <w:rFonts w:hint="eastAsia" w:ascii="仿宋_GB2312" w:hAnsi="仿宋_GB2312" w:eastAsia="仿宋_GB2312" w:cs="仿宋_GB2312"/>
          <w:color w:val="auto"/>
          <w:sz w:val="32"/>
          <w:szCs w:val="32"/>
          <w:shd w:val="clear" w:color="auto" w:fill="auto"/>
        </w:rPr>
        <w:t>1）优化现代文旅产业空间布局</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坚持以规划为引领，以“洞庭生态游”为总体定位，积极构建以“一城一园五带六区”（“一城”是指县城旅游集散中心，“一园”是指南洲国家湿地公园，“五带”是指南茅运河旅游带、三仙湖平原水库旅游带、南西公路沿线旅游带、南大公路沿线旅游带、G353环洞庭湖国际新能源汽车拉力赛景观带；“六区”是指农科园旅游片区、南洲镇旅游片区、茅草街</w:t>
      </w:r>
      <w:r>
        <w:rPr>
          <w:rFonts w:hint="eastAsia" w:ascii="仿宋_GB2312" w:hAnsi="仿宋_GB2312" w:eastAsia="仿宋_GB2312" w:cs="仿宋_GB2312"/>
          <w:color w:val="auto"/>
          <w:sz w:val="32"/>
          <w:szCs w:val="32"/>
          <w:shd w:val="clear" w:color="auto" w:fill="auto"/>
          <w:lang w:eastAsia="zh-CN"/>
        </w:rPr>
        <w:t>镇</w:t>
      </w:r>
      <w:r>
        <w:rPr>
          <w:rFonts w:hint="eastAsia" w:ascii="仿宋_GB2312" w:hAnsi="仿宋_GB2312" w:eastAsia="仿宋_GB2312" w:cs="仿宋_GB2312"/>
          <w:color w:val="auto"/>
          <w:sz w:val="32"/>
          <w:szCs w:val="32"/>
          <w:shd w:val="clear" w:color="auto" w:fill="auto"/>
        </w:rPr>
        <w:t>旅游片区、厂窖镇旅游片区、华阁镇旅游片区、舵杆洲旅游片区）为主体骨架，以红色精品旅游线路和乡村特色旅游示范点为辅助支撑，促进红色旅游与乡村旅游、研学旅游、生态旅游融合发展，形成布局合理、点线面相结合，覆盖生态、红色、体验、休闲、度假于一体的全域旅游大格局。</w:t>
      </w:r>
    </w:p>
    <w:p>
      <w:pPr>
        <w:pStyle w:val="9"/>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_GB2312" w:hAnsi="仿宋_GB2312" w:eastAsia="仿宋_GB2312" w:cs="仿宋_GB2312"/>
          <w:color w:val="auto"/>
          <w:kern w:val="2"/>
          <w:sz w:val="32"/>
          <w:szCs w:val="32"/>
          <w:shd w:val="clear" w:color="auto" w:fill="auto"/>
          <w:lang w:val="en-US" w:eastAsia="zh-CN" w:bidi="ar-SA"/>
        </w:rPr>
        <w:t>（2）培育发展现代文旅产业体系。聚焦文化和旅游发展重大战略和现实需求，依托“三馆一中心”、五环时代全民健身中心、德昌体育公园建设、藕池东支沿江风光带等项目重点植入体育健身、娱乐休闲、民俗文化、夜间消费等文旅业态；依托罗文花海、南山生态稻虾第一村、三仙湖水库、天星洲湿地等项目重点植入湖湘风情、乡村民俗、休闲度假、生态湿地科普、湖泊游憩、主题娱乐等文旅业态；依托厂窖纪念馆、涂家台、卢保山遗址公园等项目重点植入历史文化(街区)、国保遗址、红色文化等文旅业态不断完善旅游休闲功能，积极创建国家全域旅游示范区</w:t>
      </w:r>
      <w:r>
        <w:rPr>
          <w:rFonts w:hint="eastAsia" w:ascii="仿宋_GB2312" w:hAnsi="仿宋_GB2312" w:eastAsia="仿宋_GB2312" w:cs="仿宋_GB2312"/>
          <w:color w:val="auto"/>
          <w:sz w:val="32"/>
          <w:szCs w:val="32"/>
          <w:shd w:val="clear" w:color="auto" w:fill="auto"/>
        </w:rPr>
        <w:t>，加快构建湘鄂边区域旅游共建共享，加强文化科技创新，全力推动湖乡文化与特色产业融合发展，树牢擦亮“洞庭生态游”品牌。</w:t>
      </w:r>
    </w:p>
    <w:p>
      <w:pPr>
        <w:pStyle w:val="9"/>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kern w:val="2"/>
          <w:sz w:val="32"/>
          <w:szCs w:val="32"/>
          <w:shd w:val="clear" w:color="auto" w:fill="auto"/>
        </w:rPr>
        <w:t>（</w:t>
      </w:r>
      <w:r>
        <w:rPr>
          <w:rFonts w:hint="eastAsia" w:ascii="仿宋_GB2312" w:hAnsi="仿宋_GB2312" w:eastAsia="仿宋_GB2312" w:cs="仿宋_GB2312"/>
          <w:color w:val="auto"/>
          <w:kern w:val="2"/>
          <w:sz w:val="32"/>
          <w:szCs w:val="32"/>
          <w:shd w:val="clear" w:color="auto" w:fill="auto"/>
          <w:lang w:val="en-US" w:eastAsia="zh-CN"/>
        </w:rPr>
        <w:t>3</w:t>
      </w:r>
      <w:r>
        <w:rPr>
          <w:rFonts w:hint="eastAsia" w:ascii="仿宋_GB2312" w:hAnsi="仿宋_GB2312" w:eastAsia="仿宋_GB2312" w:cs="仿宋_GB2312"/>
          <w:color w:val="auto"/>
          <w:kern w:val="2"/>
          <w:sz w:val="32"/>
          <w:szCs w:val="32"/>
          <w:shd w:val="clear" w:color="auto" w:fill="auto"/>
        </w:rPr>
        <w:t>）完善全域旅游服务体系</w:t>
      </w:r>
      <w:r>
        <w:rPr>
          <w:rFonts w:hint="eastAsia" w:ascii="仿宋_GB2312" w:hAnsi="仿宋_GB2312" w:eastAsia="仿宋_GB2312" w:cs="仿宋_GB2312"/>
          <w:color w:val="auto"/>
          <w:kern w:val="2"/>
          <w:sz w:val="32"/>
          <w:szCs w:val="32"/>
          <w:shd w:val="clear" w:color="auto" w:fill="auto"/>
          <w:lang w:eastAsia="zh-CN"/>
        </w:rPr>
        <w:t>。</w:t>
      </w:r>
      <w:r>
        <w:rPr>
          <w:rFonts w:hint="eastAsia" w:ascii="仿宋_GB2312" w:hAnsi="仿宋_GB2312" w:eastAsia="仿宋_GB2312" w:cs="仿宋_GB2312"/>
          <w:color w:val="auto"/>
          <w:kern w:val="0"/>
          <w:sz w:val="32"/>
          <w:szCs w:val="32"/>
          <w:shd w:val="clear" w:color="auto" w:fill="auto"/>
          <w:lang w:val="en-US" w:eastAsia="zh-CN" w:bidi="ar-SA"/>
        </w:rPr>
        <w:t>紧扣国家全域旅游示范区创建标准，加快公共环境、生态质量、城乡建设、配套设施等旅游要素的优化和城市道路、重要节点的景观化提升。同步</w:t>
      </w:r>
      <w:r>
        <w:rPr>
          <w:rFonts w:hint="eastAsia" w:ascii="仿宋_GB2312" w:hAnsi="仿宋_GB2312" w:eastAsia="仿宋_GB2312" w:cs="仿宋_GB2312"/>
          <w:color w:val="auto"/>
          <w:sz w:val="32"/>
          <w:szCs w:val="32"/>
          <w:shd w:val="clear" w:color="auto" w:fill="auto"/>
        </w:rPr>
        <w:t>推进文化和旅游数字化、网络化、智能化发展，推动 5G、人工智能、物联网、大数据、云计算、北斗导航等在文化和旅游领域应用。把南县全域旅游集散中心及智慧旅游建设发展起来，形成以游客服务中心、监控调度中心、线上线下服务平台为一体的旅游集散中心及旅游大数据中心平台。</w:t>
      </w:r>
      <w:r>
        <w:rPr>
          <w:rFonts w:hint="eastAsia" w:ascii="仿宋_GB2312" w:hAnsi="仿宋_GB2312" w:eastAsia="仿宋_GB2312" w:cs="仿宋_GB2312"/>
          <w:color w:val="auto"/>
          <w:kern w:val="0"/>
          <w:sz w:val="32"/>
          <w:szCs w:val="32"/>
          <w:shd w:val="clear" w:color="auto" w:fill="auto"/>
          <w:lang w:val="en-US" w:eastAsia="zh-CN" w:bidi="ar-SA"/>
        </w:rPr>
        <w:t>将高端酒店建设作为提升现代服务业水平的重要抓手，</w:t>
      </w:r>
      <w:r>
        <w:rPr>
          <w:rFonts w:hint="eastAsia" w:ascii="仿宋_GB2312" w:hAnsi="仿宋_GB2312" w:eastAsia="仿宋_GB2312" w:cs="仿宋_GB2312"/>
          <w:color w:val="auto"/>
          <w:sz w:val="32"/>
          <w:szCs w:val="32"/>
          <w:shd w:val="clear" w:color="auto" w:fill="auto"/>
        </w:rPr>
        <w:t>指导旅行社、酒店开展提质升星工作，争取创建1个四星级旅游饭店、3个三星级旅游饭店。同时，</w:t>
      </w:r>
      <w:r>
        <w:rPr>
          <w:rFonts w:hint="eastAsia" w:ascii="仿宋_GB2312" w:hAnsi="仿宋_GB2312" w:eastAsia="仿宋_GB2312" w:cs="仿宋_GB2312"/>
          <w:color w:val="auto"/>
          <w:kern w:val="0"/>
          <w:sz w:val="32"/>
          <w:szCs w:val="32"/>
          <w:shd w:val="clear" w:color="auto" w:fill="auto"/>
          <w:lang w:val="en-US" w:eastAsia="zh-CN" w:bidi="ar-SA"/>
        </w:rPr>
        <w:t>加大旅游联合执法力度，</w:t>
      </w:r>
      <w:r>
        <w:rPr>
          <w:rFonts w:hint="eastAsia" w:ascii="仿宋_GB2312" w:hAnsi="仿宋_GB2312" w:eastAsia="仿宋_GB2312" w:cs="仿宋_GB2312"/>
          <w:color w:val="auto"/>
          <w:kern w:val="0"/>
          <w:sz w:val="32"/>
          <w:szCs w:val="32"/>
          <w:shd w:val="clear" w:color="auto" w:fill="auto"/>
          <w:lang w:val="zh-CN" w:eastAsia="zh-CN" w:bidi="ar-SA"/>
        </w:rPr>
        <w:t>规范旅游市场秩序，</w:t>
      </w:r>
      <w:r>
        <w:rPr>
          <w:rFonts w:hint="eastAsia" w:ascii="仿宋_GB2312" w:hAnsi="仿宋_GB2312" w:eastAsia="仿宋_GB2312" w:cs="仿宋_GB2312"/>
          <w:color w:val="auto"/>
          <w:kern w:val="0"/>
          <w:sz w:val="32"/>
          <w:szCs w:val="32"/>
          <w:shd w:val="clear" w:color="auto" w:fill="auto"/>
          <w:lang w:val="en-US" w:eastAsia="zh-CN" w:bidi="ar-SA"/>
        </w:rPr>
        <w:t>努力</w:t>
      </w:r>
      <w:r>
        <w:rPr>
          <w:rFonts w:hint="eastAsia" w:ascii="仿宋_GB2312" w:hAnsi="仿宋_GB2312" w:eastAsia="仿宋_GB2312" w:cs="仿宋_GB2312"/>
          <w:color w:val="auto"/>
          <w:kern w:val="0"/>
          <w:sz w:val="32"/>
          <w:szCs w:val="32"/>
          <w:shd w:val="clear" w:color="auto" w:fill="auto"/>
          <w:lang w:val="zh-CN" w:eastAsia="zh-CN" w:bidi="ar-SA"/>
        </w:rPr>
        <w:t>营造良好的旅游环境</w:t>
      </w:r>
      <w:r>
        <w:rPr>
          <w:rFonts w:hint="eastAsia" w:ascii="仿宋_GB2312" w:hAnsi="仿宋_GB2312" w:eastAsia="仿宋_GB2312" w:cs="仿宋_GB2312"/>
          <w:color w:val="auto"/>
          <w:kern w:val="0"/>
          <w:sz w:val="32"/>
          <w:szCs w:val="32"/>
          <w:shd w:val="clear" w:color="auto" w:fill="auto"/>
          <w:lang w:val="en-US" w:eastAsia="zh-CN" w:bidi="ar-SA"/>
        </w:rPr>
        <w:t>。</w:t>
      </w:r>
      <w:r>
        <w:rPr>
          <w:rFonts w:hint="eastAsia" w:ascii="仿宋_GB2312" w:hAnsi="仿宋_GB2312" w:eastAsia="仿宋_GB2312" w:cs="仿宋_GB2312"/>
          <w:color w:val="auto"/>
          <w:sz w:val="32"/>
          <w:szCs w:val="32"/>
          <w:shd w:val="clear" w:color="auto" w:fill="auto"/>
        </w:rPr>
        <w:t>加大旅游行业管理力度，加强文化和旅游数据资源体系建设，建立健全数据开放和共享机制，强化数据挖掘应用，不断提升文化和旅游行业监测、风险防范和应急处置能力，以信息化推动行业治理现代化。</w:t>
      </w: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b/>
          <w:bCs/>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lang w:val="en-US" w:eastAsia="zh-CN"/>
        </w:rPr>
        <w:t xml:space="preserve">5.全业融合，释放旅游发展新动能      </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仿宋_GB2312" w:hAnsi="仿宋_GB2312" w:eastAsia="仿宋_GB2312" w:cs="仿宋_GB2312"/>
          <w:b/>
          <w:bCs/>
          <w:color w:val="FF0000"/>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（1）完善现代旅游产品体系。采取政府</w:t>
      </w:r>
      <w:r>
        <w:rPr>
          <w:rFonts w:hint="eastAsia" w:ascii="仿宋_GB2312" w:hAnsi="仿宋_GB2312" w:eastAsia="仿宋_GB2312" w:cs="仿宋_GB2312"/>
          <w:color w:val="auto"/>
          <w:sz w:val="32"/>
          <w:szCs w:val="32"/>
          <w:shd w:val="clear" w:color="auto" w:fill="auto"/>
        </w:rPr>
        <w:t>主导、部门配合、市场运作的多元投入机制，力争在“十四五”末，把厂窖镇、南洲镇打造成为省级特色文旅小镇</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把厂窖惨案遇难同胞纪念馆打造成为国家研学旅行示范基地和</w:t>
      </w:r>
      <w:r>
        <w:rPr>
          <w:rFonts w:hint="eastAsia" w:ascii="仿宋_GB2312" w:hAnsi="仿宋_GB2312" w:eastAsia="仿宋_GB2312" w:cs="仿宋_GB2312"/>
          <w:color w:val="auto"/>
          <w:sz w:val="32"/>
          <w:szCs w:val="32"/>
          <w:shd w:val="clear" w:color="auto" w:fill="auto"/>
          <w:lang w:eastAsia="zh-CN"/>
        </w:rPr>
        <w:t>国家</w:t>
      </w:r>
      <w:r>
        <w:rPr>
          <w:rFonts w:hint="eastAsia" w:ascii="仿宋_GB2312" w:hAnsi="仿宋_GB2312" w:eastAsia="仿宋_GB2312" w:cs="仿宋_GB2312"/>
          <w:color w:val="auto"/>
          <w:sz w:val="32"/>
          <w:szCs w:val="32"/>
          <w:shd w:val="clear" w:color="auto" w:fill="auto"/>
        </w:rPr>
        <w:t>4A级旅游景区</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把罗文村及周边地区打造成以光影涂鸦、互动体验、文化艺术观赏、5D影院体验、航空科普教育、规模农业景观等项目为主的罗文涂鸦艺术村，并结合藕池东支沿江风光带打造成集红色旅游与休闲旅游于一体的</w:t>
      </w:r>
      <w:r>
        <w:rPr>
          <w:rFonts w:hint="eastAsia" w:ascii="仿宋_GB2312" w:hAnsi="仿宋_GB2312" w:eastAsia="仿宋_GB2312" w:cs="仿宋_GB2312"/>
          <w:color w:val="auto"/>
          <w:sz w:val="32"/>
          <w:szCs w:val="32"/>
          <w:shd w:val="clear" w:color="auto" w:fill="auto"/>
          <w:lang w:eastAsia="zh-CN"/>
        </w:rPr>
        <w:t>国家</w:t>
      </w:r>
      <w:r>
        <w:rPr>
          <w:rFonts w:hint="eastAsia" w:ascii="仿宋_GB2312" w:hAnsi="仿宋_GB2312" w:eastAsia="仿宋_GB2312" w:cs="仿宋_GB2312"/>
          <w:color w:val="auto"/>
          <w:sz w:val="32"/>
          <w:szCs w:val="32"/>
          <w:shd w:val="clear" w:color="auto" w:fill="auto"/>
        </w:rPr>
        <w:t>4A级旅游景区</w:t>
      </w:r>
      <w:r>
        <w:rPr>
          <w:rFonts w:hint="eastAsia" w:ascii="仿宋_GB2312" w:hAnsi="仿宋_GB2312" w:eastAsia="仿宋_GB2312" w:cs="仿宋_GB2312"/>
          <w:color w:val="auto"/>
          <w:sz w:val="32"/>
          <w:szCs w:val="32"/>
          <w:shd w:val="clear" w:color="auto" w:fill="auto"/>
          <w:lang w:eastAsia="zh-CN"/>
        </w:rPr>
        <w:t>；把德昌公园与南茅运河幸福港湾相连通，打造成为国家</w:t>
      </w:r>
      <w:r>
        <w:rPr>
          <w:rFonts w:hint="eastAsia" w:ascii="仿宋_GB2312" w:hAnsi="仿宋_GB2312" w:eastAsia="仿宋_GB2312" w:cs="仿宋_GB2312"/>
          <w:color w:val="auto"/>
          <w:sz w:val="32"/>
          <w:szCs w:val="32"/>
          <w:shd w:val="clear" w:color="auto" w:fill="auto"/>
          <w:lang w:val="en-US" w:eastAsia="zh-CN"/>
        </w:rPr>
        <w:t>4A级旅游景区；</w:t>
      </w:r>
      <w:r>
        <w:rPr>
          <w:rFonts w:hint="eastAsia" w:ascii="仿宋_GB2312" w:hAnsi="仿宋_GB2312" w:eastAsia="仿宋_GB2312" w:cs="仿宋_GB2312"/>
          <w:color w:val="auto"/>
          <w:sz w:val="32"/>
          <w:szCs w:val="32"/>
          <w:shd w:val="clear" w:color="auto" w:fill="auto"/>
        </w:rPr>
        <w:t>把</w:t>
      </w:r>
      <w:r>
        <w:rPr>
          <w:rFonts w:hint="eastAsia" w:ascii="仿宋_GB2312" w:hAnsi="仿宋_GB2312" w:eastAsia="仿宋_GB2312" w:cs="仿宋_GB2312"/>
          <w:color w:val="auto"/>
          <w:sz w:val="32"/>
          <w:szCs w:val="32"/>
          <w:shd w:val="clear" w:color="auto" w:fill="auto"/>
          <w:lang w:eastAsia="zh-CN"/>
        </w:rPr>
        <w:t>南山生态稻虾第一村和</w:t>
      </w:r>
      <w:r>
        <w:rPr>
          <w:rFonts w:hint="eastAsia" w:ascii="仿宋_GB2312" w:hAnsi="仿宋_GB2312" w:eastAsia="仿宋_GB2312" w:cs="仿宋_GB2312"/>
          <w:color w:val="auto"/>
          <w:sz w:val="32"/>
          <w:szCs w:val="32"/>
          <w:lang w:eastAsia="zh-CN"/>
        </w:rPr>
        <w:t>天星洲自然生态旅游区</w:t>
      </w:r>
      <w:r>
        <w:rPr>
          <w:rFonts w:hint="eastAsia" w:ascii="仿宋_GB2312" w:hAnsi="仿宋_GB2312" w:eastAsia="仿宋_GB2312" w:cs="仿宋_GB2312"/>
          <w:color w:val="auto"/>
          <w:sz w:val="32"/>
          <w:szCs w:val="32"/>
          <w:shd w:val="clear" w:color="auto" w:fill="auto"/>
        </w:rPr>
        <w:t>打造成</w:t>
      </w:r>
      <w:r>
        <w:rPr>
          <w:rFonts w:hint="eastAsia" w:ascii="仿宋_GB2312" w:hAnsi="仿宋_GB2312" w:eastAsia="仿宋_GB2312" w:cs="仿宋_GB2312"/>
          <w:color w:val="auto"/>
          <w:sz w:val="32"/>
          <w:szCs w:val="32"/>
          <w:shd w:val="clear" w:color="auto" w:fill="auto"/>
          <w:lang w:eastAsia="zh-CN"/>
        </w:rPr>
        <w:t>国家</w:t>
      </w:r>
      <w:r>
        <w:rPr>
          <w:rFonts w:hint="eastAsia" w:ascii="仿宋_GB2312" w:hAnsi="仿宋_GB2312" w:eastAsia="仿宋_GB2312" w:cs="仿宋_GB2312"/>
          <w:color w:val="auto"/>
          <w:sz w:val="32"/>
          <w:szCs w:val="32"/>
          <w:shd w:val="clear" w:color="auto" w:fill="auto"/>
        </w:rPr>
        <w:t>3A级旅游景区</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把三仙湖休闲旅游区打造成休闲旅游度假区</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把白吟浪村打造成洞庭农耕文化旅游区</w:t>
      </w:r>
      <w:r>
        <w:rPr>
          <w:rFonts w:hint="eastAsia" w:ascii="仿宋_GB2312" w:hAnsi="仿宋_GB2312" w:eastAsia="仿宋_GB2312" w:cs="仿宋_GB2312"/>
          <w:color w:val="000000"/>
          <w:sz w:val="32"/>
          <w:szCs w:val="32"/>
          <w:shd w:val="clear" w:color="auto" w:fill="auto"/>
          <w:lang w:eastAsia="zh-CN"/>
        </w:rPr>
        <w:t>；</w:t>
      </w:r>
      <w:r>
        <w:rPr>
          <w:rFonts w:hint="eastAsia" w:ascii="仿宋_GB2312" w:hAnsi="仿宋_GB2312" w:eastAsia="仿宋_GB2312" w:cs="仿宋_GB2312"/>
          <w:color w:val="000000"/>
          <w:sz w:val="32"/>
          <w:szCs w:val="32"/>
          <w:lang w:val="en-US" w:eastAsia="zh-CN"/>
        </w:rPr>
        <w:t>同时</w:t>
      </w:r>
      <w:r>
        <w:rPr>
          <w:rFonts w:hint="eastAsia" w:ascii="仿宋_GB2312" w:hAnsi="仿宋_GB2312" w:eastAsia="仿宋_GB2312" w:cs="仿宋_GB2312"/>
          <w:color w:val="000000"/>
          <w:sz w:val="32"/>
          <w:szCs w:val="32"/>
        </w:rPr>
        <w:t>利用我县一马平川的地形优势开展低空飞行、热气球等项目，增加游客互动体验活动；充分利用国家非物质文化遗产—南县地花鼓，进一步挖掘南县农耕文化（白吟浪）、“南茅运河精神”等，打造具南县特色，又具吸引力的品牌演艺节目。</w:t>
      </w:r>
      <w:r>
        <w:rPr>
          <w:rFonts w:hint="eastAsia" w:ascii="仿宋_GB2312" w:hAnsi="仿宋_GB2312" w:eastAsia="仿宋_GB2312" w:cs="仿宋_GB2312"/>
          <w:color w:val="000000"/>
          <w:sz w:val="32"/>
          <w:szCs w:val="32"/>
          <w:shd w:val="clear" w:color="auto" w:fill="auto"/>
          <w:lang w:val="en-US" w:eastAsia="zh-CN"/>
        </w:rPr>
        <w:t xml:space="preserve">  </w:t>
      </w:r>
      <w:r>
        <w:rPr>
          <w:rFonts w:hint="eastAsia" w:ascii="仿宋_GB2312" w:hAnsi="仿宋_GB2312" w:eastAsia="仿宋_GB2312" w:cs="仿宋_GB2312"/>
          <w:b/>
          <w:bCs/>
          <w:color w:val="000000"/>
          <w:sz w:val="32"/>
          <w:szCs w:val="32"/>
          <w:shd w:val="clear" w:color="auto" w:fill="auto"/>
          <w:lang w:val="en-US" w:eastAsia="zh-CN"/>
        </w:rPr>
        <w:t xml:space="preserve">                     </w:t>
      </w:r>
      <w:r>
        <w:rPr>
          <w:rFonts w:hint="eastAsia" w:ascii="仿宋_GB2312" w:hAnsi="仿宋_GB2312" w:eastAsia="仿宋_GB2312" w:cs="仿宋_GB2312"/>
          <w:b/>
          <w:bCs/>
          <w:color w:val="FF0000"/>
          <w:sz w:val="32"/>
          <w:szCs w:val="32"/>
          <w:shd w:val="clear" w:color="auto" w:fill="auto"/>
          <w:lang w:val="en-US" w:eastAsia="zh-CN"/>
        </w:rPr>
        <w:t xml:space="preserve">                                                                                                                                                                                                                                                                                                                                                                                                                                                                                                                                                                                                                                                                                                                                                                                                                                                                                                                                                                                                                                                                                                     </w:t>
      </w:r>
    </w:p>
    <w:p>
      <w:pPr>
        <w:pStyle w:val="9"/>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ascii="仿宋_GB2312" w:hAnsi="仿宋_GB2312" w:eastAsia="仿宋_GB2312" w:cs="仿宋_GB2312"/>
          <w:color w:val="4BACC6"/>
          <w:sz w:val="32"/>
          <w:szCs w:val="32"/>
          <w:shd w:val="clear" w:color="auto" w:fill="auto"/>
        </w:rPr>
      </w:pPr>
      <w:r>
        <w:rPr>
          <w:rFonts w:hint="eastAsia" w:ascii="仿宋_GB2312" w:hAnsi="仿宋_GB2312" w:eastAsia="仿宋_GB2312" w:cs="仿宋_GB2312"/>
          <w:color w:val="auto"/>
          <w:kern w:val="2"/>
          <w:sz w:val="32"/>
          <w:szCs w:val="32"/>
          <w:shd w:val="clear" w:color="auto" w:fill="auto"/>
        </w:rPr>
        <w:t>（</w:t>
      </w:r>
      <w:r>
        <w:rPr>
          <w:rFonts w:hint="eastAsia" w:ascii="仿宋_GB2312" w:hAnsi="仿宋_GB2312" w:eastAsia="仿宋_GB2312" w:cs="仿宋_GB2312"/>
          <w:color w:val="auto"/>
          <w:kern w:val="2"/>
          <w:sz w:val="32"/>
          <w:szCs w:val="32"/>
          <w:shd w:val="clear" w:color="auto" w:fill="auto"/>
          <w:lang w:val="en-US" w:eastAsia="zh-CN"/>
        </w:rPr>
        <w:t>2</w:t>
      </w:r>
      <w:r>
        <w:rPr>
          <w:rFonts w:hint="eastAsia" w:ascii="仿宋_GB2312" w:hAnsi="仿宋_GB2312" w:eastAsia="仿宋_GB2312" w:cs="仿宋_GB2312"/>
          <w:color w:val="auto"/>
          <w:kern w:val="2"/>
          <w:sz w:val="32"/>
          <w:szCs w:val="32"/>
          <w:shd w:val="clear" w:color="auto" w:fill="auto"/>
        </w:rPr>
        <w:t>）推动文化和旅游深度融合</w:t>
      </w:r>
      <w:r>
        <w:rPr>
          <w:rFonts w:hint="eastAsia" w:ascii="仿宋_GB2312" w:hAnsi="仿宋_GB2312" w:eastAsia="仿宋_GB2312" w:cs="仿宋_GB2312"/>
          <w:color w:val="auto"/>
          <w:kern w:val="2"/>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按照“以文塑旅、以旅彰文”“宜融则融、能融尽融”的思路，深入挖掘涂鸦艺术文化开发乡村休闲游、立足现代农业发展农耕文化体验游、传承</w:t>
      </w:r>
      <w:r>
        <w:rPr>
          <w:rFonts w:ascii="仿宋_GB2312" w:hAnsi="仿宋_GB2312" w:eastAsia="仿宋_GB2312" w:cs="仿宋_GB2312"/>
          <w:color w:val="auto"/>
          <w:sz w:val="32"/>
          <w:szCs w:val="32"/>
          <w:shd w:val="clear" w:color="auto" w:fill="auto"/>
        </w:rPr>
        <w:t>以段德昌烈士、厂窖惨案为代表的</w:t>
      </w:r>
      <w:r>
        <w:rPr>
          <w:rFonts w:hint="eastAsia" w:ascii="仿宋_GB2312" w:hAnsi="仿宋_GB2312" w:eastAsia="仿宋_GB2312" w:cs="仿宋_GB2312"/>
          <w:color w:val="auto"/>
          <w:sz w:val="32"/>
          <w:szCs w:val="32"/>
          <w:shd w:val="clear" w:color="auto" w:fill="auto"/>
        </w:rPr>
        <w:t>红色革命文化拓展红色励志游、</w:t>
      </w:r>
      <w:r>
        <w:rPr>
          <w:rFonts w:ascii="仿宋_GB2312" w:hAnsi="仿宋_GB2312" w:eastAsia="仿宋_GB2312" w:cs="仿宋_GB2312"/>
          <w:color w:val="auto"/>
          <w:sz w:val="32"/>
          <w:szCs w:val="32"/>
          <w:shd w:val="clear" w:color="auto" w:fill="auto"/>
        </w:rPr>
        <w:t>以地花鼓为载体</w:t>
      </w:r>
      <w:r>
        <w:rPr>
          <w:rFonts w:hint="eastAsia" w:ascii="仿宋_GB2312" w:hAnsi="仿宋_GB2312" w:eastAsia="仿宋_GB2312" w:cs="仿宋_GB2312"/>
          <w:color w:val="auto"/>
          <w:sz w:val="32"/>
          <w:szCs w:val="32"/>
          <w:shd w:val="clear" w:color="auto" w:fill="auto"/>
          <w:lang w:val="en-US" w:eastAsia="zh-CN"/>
        </w:rPr>
        <w:t>发展非遗</w:t>
      </w:r>
      <w:r>
        <w:rPr>
          <w:rFonts w:ascii="仿宋_GB2312" w:hAnsi="仿宋_GB2312" w:eastAsia="仿宋_GB2312" w:cs="仿宋_GB2312"/>
          <w:color w:val="auto"/>
          <w:sz w:val="32"/>
          <w:szCs w:val="32"/>
          <w:shd w:val="clear" w:color="auto" w:fill="auto"/>
        </w:rPr>
        <w:t>文化</w:t>
      </w:r>
      <w:r>
        <w:rPr>
          <w:rFonts w:hint="eastAsia" w:ascii="仿宋_GB2312" w:hAnsi="仿宋_GB2312" w:eastAsia="仿宋_GB2312" w:cs="仿宋_GB2312"/>
          <w:color w:val="auto"/>
          <w:sz w:val="32"/>
          <w:szCs w:val="32"/>
          <w:shd w:val="clear" w:color="auto" w:fill="auto"/>
          <w:lang w:val="en-US" w:eastAsia="zh-CN"/>
        </w:rPr>
        <w:t>游</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以美食文化为依托开发特色美食游</w:t>
      </w:r>
      <w:r>
        <w:rPr>
          <w:rFonts w:hint="eastAsia" w:ascii="仿宋_GB2312" w:hAnsi="仿宋_GB2312" w:eastAsia="仿宋_GB2312" w:cs="仿宋_GB2312"/>
          <w:color w:val="auto"/>
          <w:sz w:val="32"/>
          <w:szCs w:val="32"/>
          <w:shd w:val="clear" w:color="auto" w:fill="auto"/>
          <w:lang w:eastAsia="zh-CN"/>
        </w:rPr>
        <w:t>，</w:t>
      </w:r>
      <w:r>
        <w:rPr>
          <w:rFonts w:hint="eastAsia" w:ascii="仿宋_GB2312" w:eastAsia="仿宋_GB2312" w:cs="仿宋_GB2312"/>
          <w:color w:val="auto"/>
          <w:sz w:val="32"/>
          <w:szCs w:val="32"/>
          <w:lang w:val="zh-CN"/>
        </w:rPr>
        <w:t>依托工业园区等发展工业旅游，</w:t>
      </w:r>
      <w:r>
        <w:rPr>
          <w:rFonts w:hint="eastAsia" w:ascii="仿宋_GB2312" w:eastAsia="仿宋_GB2312" w:cs="仿宋_GB2312"/>
          <w:color w:val="auto"/>
          <w:sz w:val="32"/>
          <w:szCs w:val="32"/>
          <w:lang w:val="en-US" w:eastAsia="zh-CN"/>
        </w:rPr>
        <w:t>依托体育赛事活动开展体育旅游</w:t>
      </w:r>
      <w:r>
        <w:rPr>
          <w:rFonts w:hint="eastAsia" w:ascii="仿宋_GB2312" w:eastAsia="仿宋_GB2312" w:cs="仿宋_GB2312"/>
          <w:color w:val="auto"/>
          <w:sz w:val="32"/>
          <w:szCs w:val="32"/>
          <w:lang w:val="zh-CN"/>
        </w:rPr>
        <w:t>。</w:t>
      </w:r>
      <w:r>
        <w:rPr>
          <w:rFonts w:hint="eastAsia" w:ascii="仿宋_GB2312" w:eastAsia="仿宋_GB2312" w:cs="仿宋_GB2312"/>
          <w:color w:val="auto"/>
          <w:sz w:val="32"/>
          <w:szCs w:val="32"/>
          <w:lang w:val="en-US" w:eastAsia="zh-CN"/>
        </w:rPr>
        <w:t>并</w:t>
      </w:r>
      <w:r>
        <w:rPr>
          <w:rFonts w:hint="eastAsia" w:ascii="仿宋_GB2312" w:eastAsia="仿宋_GB2312" w:cs="仿宋_GB2312"/>
          <w:color w:val="auto"/>
          <w:sz w:val="32"/>
          <w:szCs w:val="32"/>
          <w:lang w:val="zh-CN"/>
        </w:rPr>
        <w:t>推动文化创意向工业、商贸领域拓展和渗透，实现生产、制作、传播、营销全过程的融合，提升</w:t>
      </w:r>
      <w:r>
        <w:rPr>
          <w:rFonts w:hint="eastAsia" w:ascii="仿宋_GB2312" w:eastAsia="仿宋_GB2312" w:cs="仿宋_GB2312"/>
          <w:color w:val="auto"/>
          <w:sz w:val="32"/>
          <w:szCs w:val="32"/>
          <w:lang w:val="en-US" w:eastAsia="zh-CN"/>
        </w:rPr>
        <w:t>南县稻虾米、南县小龙虾、南县麻辣肉</w:t>
      </w:r>
      <w:r>
        <w:rPr>
          <w:rFonts w:hint="eastAsia" w:ascii="仿宋_GB2312" w:eastAsia="仿宋_GB2312" w:cs="仿宋_GB2312"/>
          <w:color w:val="auto"/>
          <w:sz w:val="32"/>
          <w:szCs w:val="32"/>
          <w:lang w:val="zh-CN"/>
        </w:rPr>
        <w:t>等文化附加值。</w:t>
      </w:r>
      <w:r>
        <w:rPr>
          <w:rFonts w:hint="eastAsia" w:ascii="仿宋_GB2312" w:hAnsi="仿宋_GB2312" w:eastAsia="仿宋_GB2312" w:cs="仿宋_GB2312"/>
          <w:color w:val="auto"/>
          <w:sz w:val="32"/>
          <w:szCs w:val="32"/>
          <w:shd w:val="clear" w:color="auto" w:fill="auto"/>
        </w:rPr>
        <w:t>支持建设集文化创意、旅游休闲等于一体的文化和旅游综合体，打造集文创商店、特色书店、剧场、文化娱乐场所等多种业态于一体的文旅消费聚集地，搭建文旅消费平台。鼓励结合城市更新发展文化旅游休闲街区，积极发展夜间文旅经济，丰富夜间文旅场所的内涵和元素，打造夜间文旅消费集聚区，持续扩大夜间文旅消费规模。</w:t>
      </w:r>
      <w:r>
        <w:rPr>
          <w:rFonts w:hint="eastAsia" w:ascii="仿宋" w:hAnsi="仿宋" w:eastAsia="仿宋"/>
          <w:color w:val="auto"/>
          <w:sz w:val="32"/>
          <w:szCs w:val="32"/>
          <w:lang w:val="en-US" w:eastAsia="zh-CN"/>
        </w:rPr>
        <w:t>继续</w:t>
      </w:r>
      <w:r>
        <w:rPr>
          <w:rFonts w:hint="eastAsia" w:ascii="仿宋_GB2312" w:hAnsi="仿宋_GB2312" w:eastAsia="仿宋_GB2312" w:cs="仿宋_GB2312"/>
          <w:color w:val="auto"/>
          <w:sz w:val="32"/>
          <w:szCs w:val="32"/>
          <w:shd w:val="clear" w:color="auto" w:fill="auto"/>
        </w:rPr>
        <w:t>加强旅游与相关产业创新融合，按照“N+旅游”和“旅游+N”的模式，积极探索旅游与文化、体育、科技、健康、交通、农业、工业、教育等领域的融合发展，</w:t>
      </w:r>
      <w:r>
        <w:rPr>
          <w:rFonts w:hint="eastAsia" w:ascii="仿宋_GB2312" w:hAnsi="仿宋_GB2312" w:eastAsia="仿宋_GB2312" w:cs="仿宋_GB2312"/>
          <w:color w:val="auto"/>
          <w:sz w:val="32"/>
          <w:szCs w:val="32"/>
          <w:shd w:val="clear" w:color="auto" w:fill="auto"/>
          <w:lang w:val="en-US" w:eastAsia="zh-CN"/>
        </w:rPr>
        <w:t>丰富</w:t>
      </w:r>
      <w:r>
        <w:rPr>
          <w:rFonts w:hint="eastAsia" w:ascii="仿宋_GB2312" w:hAnsi="仿宋_GB2312" w:eastAsia="仿宋_GB2312" w:cs="仿宋_GB2312"/>
          <w:color w:val="auto"/>
          <w:sz w:val="32"/>
          <w:szCs w:val="32"/>
          <w:shd w:val="clear" w:color="auto" w:fill="auto"/>
        </w:rPr>
        <w:t>旅游新业态。</w:t>
      </w: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b/>
          <w:bCs/>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lang w:val="en-US" w:eastAsia="zh-CN"/>
        </w:rPr>
        <w:t>6.完善要素, 打造文旅消费新蓝海</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ascii="Times New Roman" w:hAnsi="Times New Roman" w:eastAsia="方正仿宋简体" w:cs="Times New Roman"/>
          <w:b/>
          <w:bCs/>
          <w:color w:val="auto"/>
          <w:spacing w:val="11"/>
          <w:sz w:val="32"/>
          <w:szCs w:val="32"/>
        </w:rPr>
      </w:pPr>
      <w:r>
        <w:rPr>
          <w:rFonts w:hint="eastAsia" w:ascii="仿宋_GB2312" w:hAnsi="仿宋_GB2312" w:eastAsia="仿宋_GB2312" w:cs="仿宋_GB2312"/>
          <w:b w:val="0"/>
          <w:bCs w:val="0"/>
          <w:color w:val="auto"/>
          <w:sz w:val="32"/>
          <w:szCs w:val="32"/>
          <w:shd w:val="clear" w:color="auto" w:fill="auto"/>
          <w:lang w:val="en-US" w:eastAsia="zh-CN"/>
        </w:rPr>
        <w:t>（1）推进旅游要素发展。进一步完</w:t>
      </w:r>
      <w:r>
        <w:rPr>
          <w:rFonts w:hint="eastAsia" w:ascii="仿宋_GB2312" w:hAnsi="仿宋_GB2312" w:eastAsia="仿宋_GB2312" w:cs="仿宋_GB2312"/>
          <w:color w:val="auto"/>
          <w:sz w:val="32"/>
          <w:szCs w:val="32"/>
          <w:shd w:val="clear" w:color="auto" w:fill="auto"/>
        </w:rPr>
        <w:t>善</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吃、住、行、游、购、娱</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六要素</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创新旅游产品及开发</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全面满足游客需求,提高居民经济收入</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带动南县整体经济全新发展。</w:t>
      </w:r>
      <w:r>
        <w:rPr>
          <w:rFonts w:hint="eastAsia" w:ascii="仿宋_GB2312" w:hAnsi="仿宋_GB2312" w:eastAsia="仿宋_GB2312" w:cs="仿宋_GB2312"/>
          <w:color w:val="auto"/>
          <w:sz w:val="32"/>
          <w:szCs w:val="32"/>
          <w:shd w:val="clear" w:color="auto" w:fill="auto"/>
          <w:lang w:val="en-US" w:eastAsia="zh-CN"/>
        </w:rPr>
        <w:t>一是</w:t>
      </w:r>
      <w:r>
        <w:rPr>
          <w:rFonts w:hint="eastAsia" w:ascii="仿宋_GB2312" w:hAnsi="仿宋_GB2312" w:eastAsia="仿宋_GB2312" w:cs="仿宋_GB2312"/>
          <w:color w:val="auto"/>
          <w:sz w:val="32"/>
          <w:szCs w:val="32"/>
          <w:shd w:val="clear" w:color="auto" w:fill="auto"/>
        </w:rPr>
        <w:t>发展特色美食</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深度开发现有国家地理标志产品</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积极开发申报新的国家地理标志品牌</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挖掘具有浓郁地方特色的风味小吃和美食佳肴</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培育湖乡特色的餐饮品牌</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打造美食文化品牌</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建成南县特色旅游餐饮街区</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形成“高档美食宴、特色小吃宴、乡野农家宴</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三个档次的产品结构</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满足游客多元化的饮食需求。</w:t>
      </w:r>
      <w:r>
        <w:rPr>
          <w:rFonts w:hint="eastAsia" w:ascii="仿宋_GB2312" w:hAnsi="仿宋_GB2312" w:eastAsia="仿宋_GB2312" w:cs="仿宋_GB2312"/>
          <w:color w:val="auto"/>
          <w:sz w:val="32"/>
          <w:szCs w:val="32"/>
          <w:shd w:val="clear" w:color="auto" w:fill="auto"/>
          <w:lang w:val="en-US" w:eastAsia="zh-CN"/>
        </w:rPr>
        <w:t>二是</w:t>
      </w:r>
      <w:r>
        <w:rPr>
          <w:rFonts w:hint="eastAsia" w:ascii="仿宋_GB2312" w:hAnsi="仿宋_GB2312" w:eastAsia="仿宋_GB2312" w:cs="仿宋_GB2312"/>
          <w:color w:val="auto"/>
          <w:sz w:val="32"/>
          <w:szCs w:val="32"/>
          <w:shd w:val="clear" w:color="auto" w:fill="auto"/>
        </w:rPr>
        <w:t>鼓励发展农家乐,支持商务酒店、</w:t>
      </w:r>
      <w:r>
        <w:rPr>
          <w:rFonts w:hint="eastAsia" w:ascii="仿宋_GB2312" w:hAnsi="仿宋_GB2312" w:eastAsia="仿宋_GB2312" w:cs="仿宋_GB2312"/>
          <w:color w:val="auto"/>
          <w:sz w:val="32"/>
          <w:szCs w:val="32"/>
          <w:shd w:val="clear" w:color="auto" w:fill="auto"/>
          <w:lang w:eastAsia="zh-CN"/>
        </w:rPr>
        <w:t>文化主题酒店</w:t>
      </w:r>
      <w:r>
        <w:rPr>
          <w:rFonts w:hint="eastAsia" w:ascii="仿宋_GB2312" w:hAnsi="仿宋_GB2312" w:eastAsia="仿宋_GB2312" w:cs="仿宋_GB2312"/>
          <w:color w:val="auto"/>
          <w:sz w:val="32"/>
          <w:szCs w:val="32"/>
          <w:shd w:val="clear" w:color="auto" w:fill="auto"/>
        </w:rPr>
        <w:t>、自驾车露营地、乡村</w:t>
      </w:r>
      <w:r>
        <w:rPr>
          <w:rFonts w:hint="eastAsia" w:ascii="仿宋_GB2312" w:hAnsi="仿宋_GB2312" w:eastAsia="仿宋_GB2312" w:cs="仿宋_GB2312"/>
          <w:color w:val="auto"/>
          <w:sz w:val="32"/>
          <w:szCs w:val="32"/>
          <w:shd w:val="clear" w:color="auto" w:fill="auto"/>
          <w:lang w:eastAsia="zh-CN"/>
        </w:rPr>
        <w:t>民宿</w:t>
      </w:r>
      <w:r>
        <w:rPr>
          <w:rFonts w:hint="eastAsia" w:ascii="仿宋_GB2312" w:hAnsi="仿宋_GB2312" w:eastAsia="仿宋_GB2312" w:cs="仿宋_GB2312"/>
          <w:color w:val="auto"/>
          <w:sz w:val="32"/>
          <w:szCs w:val="32"/>
          <w:shd w:val="clear" w:color="auto" w:fill="auto"/>
        </w:rPr>
        <w:t>等硬件建设</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建设各类不同水平、不同特色的主题性住宿设施,配套建设一批具有地方特色的购物街区和各类档次的文化娱乐消费场所</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满足游客在我县旅游期间的多样性消费需求</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三是</w:t>
      </w:r>
      <w:r>
        <w:rPr>
          <w:rFonts w:hint="eastAsia" w:ascii="仿宋_GB2312" w:hAnsi="仿宋_GB2312" w:eastAsia="仿宋_GB2312" w:cs="仿宋_GB2312"/>
          <w:color w:val="auto"/>
          <w:sz w:val="32"/>
          <w:szCs w:val="32"/>
          <w:shd w:val="clear" w:color="auto" w:fill="auto"/>
          <w:lang w:eastAsia="zh-CN"/>
        </w:rPr>
        <w:t>深化旅游厕所行动计划，建设一批示范性旅游厕所。</w:t>
      </w:r>
      <w:r>
        <w:rPr>
          <w:rFonts w:hint="eastAsia" w:ascii="仿宋_GB2312" w:hAnsi="仿宋_GB2312" w:eastAsia="仿宋_GB2312" w:cs="仿宋_GB2312"/>
          <w:color w:val="auto"/>
          <w:sz w:val="32"/>
          <w:szCs w:val="32"/>
          <w:shd w:val="clear" w:color="auto" w:fill="auto"/>
          <w:lang w:val="en-US" w:eastAsia="zh-CN"/>
        </w:rPr>
        <w:t>四是</w:t>
      </w:r>
      <w:r>
        <w:rPr>
          <w:rFonts w:hint="eastAsia" w:ascii="仿宋_GB2312" w:hAnsi="仿宋_GB2312" w:eastAsia="仿宋_GB2312" w:cs="仿宋_GB2312"/>
          <w:color w:val="auto"/>
          <w:sz w:val="32"/>
          <w:szCs w:val="32"/>
          <w:shd w:val="clear" w:color="auto" w:fill="auto"/>
          <w:lang w:eastAsia="zh-CN"/>
        </w:rPr>
        <w:t>完善交通网络。</w:t>
      </w:r>
      <w:r>
        <w:rPr>
          <w:rFonts w:hint="eastAsia" w:ascii="仿宋_GB2312" w:hAnsi="Times New Roman" w:eastAsia="仿宋_GB2312" w:cs="仿宋_GB2312"/>
          <w:color w:val="auto"/>
          <w:sz w:val="32"/>
          <w:szCs w:val="32"/>
          <w:lang w:val="zh-CN"/>
        </w:rPr>
        <w:t>提质升级“快进慢游”旅游交通网络，</w:t>
      </w:r>
      <w:r>
        <w:rPr>
          <w:rFonts w:hint="eastAsia" w:ascii="仿宋_GB2312" w:hAnsi="仿宋_GB2312" w:eastAsia="仿宋_GB2312" w:cs="仿宋_GB2312"/>
          <w:color w:val="auto"/>
          <w:sz w:val="32"/>
          <w:szCs w:val="32"/>
          <w:shd w:val="clear" w:color="auto" w:fill="auto"/>
          <w:lang w:eastAsia="zh-CN"/>
        </w:rPr>
        <w:t>以“旅游路、生态路、景观路、文化路、交通路”为建设内容，加快推进重点旅游线路公路升级改造，</w:t>
      </w:r>
      <w:r>
        <w:rPr>
          <w:rFonts w:hint="eastAsia" w:ascii="仿宋_GB2312" w:hAnsi="仿宋_GB2312" w:eastAsia="仿宋_GB2312" w:cs="仿宋_GB2312"/>
          <w:color w:val="auto"/>
          <w:sz w:val="32"/>
          <w:szCs w:val="32"/>
          <w:shd w:val="clear" w:color="auto" w:fill="auto"/>
        </w:rPr>
        <w:t>提升各景区间连接道路交通文化氛围和绿化美化效果,统一道路两侧民居建筑风格</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形成</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一路一景</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在各景区设立客运站点、停车场</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在通往各景区的交通路口设置统一的道路指示牌。</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kern w:val="0"/>
          <w:sz w:val="32"/>
          <w:szCs w:val="32"/>
          <w:shd w:val="clear" w:color="auto" w:fill="auto"/>
          <w:lang w:val="en-US" w:eastAsia="zh-CN" w:bidi="ar-SA"/>
        </w:rPr>
        <w:t>（2）打造多元融合消费场景。聚焦深入实施扩大内需战略，完善“一核、两带、多节点”消费场景。“一核”就是要聚合各方力量，全力守护罗文国际涂鸦艺术村品牌，持续放大罗文花海沉浸式夜游影响。“两带”就是要高标准打造沿湖南路、兴盛东路特色美食街。同时要挖掘弘扬南县饮食文化，将特色美食整合，主打一个品牌，在全国布点推广。多节点就是有条件的乡村要因地制宜，建设“打卡点”“网红路”，加大乡村旅游小吃、特色农产品开发，精心打造“后备箱”里的走心产品。同时</w:t>
      </w:r>
      <w:r>
        <w:rPr>
          <w:rFonts w:ascii="仿宋_GB2312" w:hAnsi="仿宋_GB2312" w:eastAsia="仿宋_GB2312" w:cs="仿宋_GB2312"/>
          <w:color w:val="auto"/>
          <w:sz w:val="32"/>
          <w:szCs w:val="32"/>
          <w:shd w:val="clear" w:color="auto" w:fill="auto"/>
        </w:rPr>
        <w:t>策划组织一批具有引爆性效应的旅游、体育</w:t>
      </w:r>
      <w:r>
        <w:rPr>
          <w:rFonts w:hint="eastAsia" w:ascii="仿宋_GB2312" w:hAnsi="仿宋_GB2312" w:eastAsia="仿宋_GB2312" w:cs="仿宋_GB2312"/>
          <w:color w:val="auto"/>
          <w:sz w:val="32"/>
          <w:szCs w:val="32"/>
          <w:shd w:val="clear" w:color="auto" w:fill="auto"/>
          <w:lang w:val="en-US" w:eastAsia="zh-CN"/>
        </w:rPr>
        <w:t xml:space="preserve"> </w:t>
      </w:r>
      <w:r>
        <w:rPr>
          <w:rFonts w:ascii="仿宋_GB2312" w:hAnsi="仿宋_GB2312" w:eastAsia="仿宋_GB2312" w:cs="仿宋_GB2312"/>
          <w:color w:val="auto"/>
          <w:sz w:val="32"/>
          <w:szCs w:val="32"/>
          <w:shd w:val="clear" w:color="auto" w:fill="auto"/>
        </w:rPr>
        <w:t>、文化等节庆、赛事活动，争取国家级、省级重大文旅活动落户南县，以大事件快速吸引旅游消费</w:t>
      </w:r>
      <w:r>
        <w:rPr>
          <w:rFonts w:hint="eastAsia" w:ascii="仿宋_GB2312" w:hAnsi="仿宋_GB2312" w:eastAsia="仿宋_GB2312" w:cs="仿宋_GB2312"/>
          <w:color w:val="auto"/>
          <w:sz w:val="32"/>
          <w:szCs w:val="32"/>
          <w:shd w:val="clear" w:color="auto" w:fill="auto"/>
        </w:rPr>
        <w:t>。</w:t>
      </w:r>
    </w:p>
    <w:p>
      <w:pPr>
        <w:pStyle w:val="9"/>
        <w:keepNext w:val="0"/>
        <w:keepLines w:val="0"/>
        <w:pageBreakBefore w:val="0"/>
        <w:kinsoku/>
        <w:wordWrap/>
        <w:topLinePunct w:val="0"/>
        <w:autoSpaceDE/>
        <w:autoSpaceDN/>
        <w:bidi w:val="0"/>
        <w:adjustRightInd/>
        <w:spacing w:line="580" w:lineRule="exact"/>
        <w:ind w:firstLine="643" w:firstLineChars="200"/>
        <w:textAlignment w:val="auto"/>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7</w:t>
      </w:r>
      <w:r>
        <w:rPr>
          <w:rFonts w:hint="eastAsia" w:ascii="仿宋_GB2312" w:hAnsi="仿宋_GB2312" w:eastAsia="仿宋_GB2312" w:cs="仿宋_GB2312"/>
          <w:b/>
          <w:bCs/>
          <w:kern w:val="2"/>
          <w:sz w:val="32"/>
          <w:szCs w:val="32"/>
        </w:rPr>
        <w:t>.以全民为服务对象，推进体育事业健康发展</w:t>
      </w:r>
    </w:p>
    <w:p>
      <w:pPr>
        <w:pStyle w:val="9"/>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（1）完善体育健身设施。</w:t>
      </w:r>
      <w:r>
        <w:rPr>
          <w:rFonts w:hint="eastAsia" w:ascii="仿宋_GB2312" w:hAnsi="仿宋_GB2312" w:eastAsia="仿宋_GB2312" w:cs="仿宋_GB2312"/>
          <w:sz w:val="32"/>
          <w:szCs w:val="32"/>
          <w:lang w:eastAsia="zh-CN"/>
        </w:rPr>
        <w:t>全面落实《关于构建更高水平的全民健身公共服务体系的意见》，</w:t>
      </w:r>
      <w:r>
        <w:rPr>
          <w:rFonts w:hint="eastAsia" w:ascii="仿宋_GB2312" w:hAnsi="仿宋_GB2312" w:eastAsia="仿宋_GB2312" w:cs="仿宋_GB2312"/>
          <w:sz w:val="32"/>
          <w:szCs w:val="32"/>
        </w:rPr>
        <w:t>完成南县五环时代全民健身中心建设，加强洗马湖公园、琴湖湿地公园周边健身设施的配备；推进罗文花海户外运动营地、南县社会足球场地建设项目；</w:t>
      </w:r>
      <w:r>
        <w:rPr>
          <w:rFonts w:hint="eastAsia" w:ascii="仿宋_GB2312" w:hAnsi="仿宋_GB2312" w:eastAsia="仿宋_GB2312" w:cs="仿宋_GB2312"/>
          <w:sz w:val="32"/>
          <w:szCs w:val="32"/>
          <w:lang w:eastAsia="zh-CN"/>
        </w:rPr>
        <w:t>申报并建设德昌体育公园，</w:t>
      </w:r>
      <w:r>
        <w:rPr>
          <w:rFonts w:hint="eastAsia" w:ascii="仿宋_GB2312" w:hAnsi="仿宋_GB2312" w:eastAsia="仿宋_GB2312" w:cs="仿宋_GB2312"/>
          <w:sz w:val="32"/>
          <w:szCs w:val="32"/>
        </w:rPr>
        <w:t>着力打造一座满足全县广大群众日常健身的综合性城市体育公园；鼓励社会资本在社区、园区内设置经营性体育设施，整合资源，优先规划乡镇健身场地，配备健身设备，实现乡镇体育健身场所，村级农民体育健身场所全覆盖。争取到2025年，每个乡镇建设有1个以上标准化社会足球场、篮球场、排球场，以满足群众日益增长的健身需求。</w:t>
      </w:r>
    </w:p>
    <w:p>
      <w:pPr>
        <w:pStyle w:val="9"/>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健全城乡健身组织网络。推行社会体育指导员岗位津贴制度；加强全民健身专业技术和素质培训，争取到2025年，我县社会体育指导员达到2500人；完善全民健身组织体系，到2025年实现县城社区体育指导站覆盖率达100%，乡镇村达80%以上，基层健身站每万人达到3个以上；完善社会体育指导员志愿者服务网络，确保每个体育指导站配有2名社会体育指导员和3个社区体育志愿者，占常住人口的1.6‰，实现全县50%的社会体育指导员进入社区进行健身指导，加快提升全县健身指导服务水平。</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（3）完善体育综合服务体系。完善体育公共服务体系，因地制宜开展场馆建设，加大学校体育场地等公共体育设施向公众开放的力</w:t>
      </w:r>
      <w:r>
        <w:rPr>
          <w:rFonts w:hint="eastAsia" w:ascii="仿宋_GB2312" w:hAnsi="仿宋_GB2312" w:eastAsia="仿宋_GB2312" w:cs="仿宋_GB2312"/>
          <w:color w:val="auto"/>
          <w:sz w:val="32"/>
          <w:szCs w:val="32"/>
        </w:rPr>
        <w:t>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推行场馆专业化运营模式，将办赛需求与赛后综合专业化运营，增强场馆复合经营能力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全民健身活动体系，大力发展健身走(跑)、骑行、徒步、游泳、球类、广场舞等群众喜闻乐见的运动项目，积极培育少儿拓展运动、青少年足球等时尚运动项目，扶持推广武术、太极拳、健身气功等民族民俗民间传统运动项目，鼓励开发适合不同人群、不同地域特点的特色运动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建立完善的业余竞赛活动体系和激励机制，探索多元主体办赛机制，促进全民健身活动广泛开展。</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推动群众体育活动。全面落实《全民健身条例》，不断提高群众的体育意识，培养群众的健身习惯，在全社会营造浓厚的体育氛围，推进群众体育活动社会化、生活化、多样化、科学化、制度化。大力开展全民健身运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好各级各类群众性体育活动，到2025年，南县要力争打造两个在全省范围内有较大影响、深受群众欢迎的大型群众性“品牌”活动（赛事），平均每年的活动和赛事达到15次以上，参与的人数达到7万人次，群众体质明显提高，城乡居民的健身意识进一步增强。</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加强青少年体育培养。深化“体教融合”工作，推动我县青少年体育可持续发展。进一步巩固柔道、摔跤、田径、跆拳道等优势项目，完善以县业余体育学校和体育传统项目学校为基础的竞技体育训练体制，推动县业余体育学校形成“学、管、训、食、住、办”一体化，完备体教结合的办学体系，健全业余训练的衔接，建立和完善符合现代体育运动规律</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自我发展的竞技体育运行机制。按照“从小培养、打好基础、系统训练、积极提高”的要求，充分利用学校资源，建立体育网点，形成自身优势项目，大力创建青少年体育俱乐部、体育传统项目校和体育后备人才培养基地。积极申报承办全国、全省、全市青少年体育赛事，进一步提升我县青少年体育综合实力。</w:t>
      </w:r>
    </w:p>
    <w:p>
      <w:pPr>
        <w:keepNext w:val="0"/>
        <w:keepLines w:val="0"/>
        <w:pageBreakBefore w:val="0"/>
        <w:kinsoku/>
        <w:wordWrap/>
        <w:topLinePunct w:val="0"/>
        <w:autoSpaceDE/>
        <w:autoSpaceDN/>
        <w:bidi w:val="0"/>
        <w:adjustRightInd/>
        <w:spacing w:line="58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.完善广电管理，发挥广播电视惠民职能</w:t>
      </w:r>
    </w:p>
    <w:p>
      <w:pPr>
        <w:keepNext w:val="0"/>
        <w:keepLines w:val="0"/>
        <w:pageBreakBefore w:val="0"/>
        <w:kinsoku/>
        <w:wordWrap/>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升级电视节目4K高清制作播出系统。按照广电总局的要求，有条件的地区可升级电视节目4K高清制作播出系统，以高质量的视音频高品质地传播党的声音，推进4K+5G技术在广播电视节目制播中的应用，不断提升广播电视节目质量，满足群众对超高清电视节目和收视多样化的需求。</w:t>
      </w:r>
    </w:p>
    <w:p>
      <w:pPr>
        <w:keepNext w:val="0"/>
        <w:keepLines w:val="0"/>
        <w:pageBreakBefore w:val="0"/>
        <w:kinsoku/>
        <w:wordWrap/>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建设农村全高清无线数字电视覆盖工程。在现有无线数字电视标清为主高清辅助传输的基础上，建设全高清无线数字电视覆盖工程，满足群众对高清电视节目的收视需求，提升广播电视的文化服务能力，为农村群众提供更加丰富的文化传播和信息服务平台，</w:t>
      </w:r>
    </w:p>
    <w:p>
      <w:pPr>
        <w:keepNext w:val="0"/>
        <w:keepLines w:val="0"/>
        <w:pageBreakBefore w:val="0"/>
        <w:kinsoku/>
        <w:wordWrap/>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升级南县人民广播电台“5G智慧电台”扩容。紧跟全省“5G智慧电台”提质改造步伐，推进AI技术在广播电台实时新闻抓取、新闻播报领域的应用，丰富广播电台节目形式，积极培养电台直播节目主持人，适时开展县级广播电台新闻资讯类节目直播。</w:t>
      </w:r>
    </w:p>
    <w:p>
      <w:pPr>
        <w:keepNext w:val="0"/>
        <w:keepLines w:val="0"/>
        <w:pageBreakBefore w:val="0"/>
        <w:kinsoku/>
        <w:wordWrap/>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打造广电直播间。充分发挥广电视音频优势，适应媒体形态发展趋势，在景区打造广电直播间，实现直播景区实时状况、为游客提供展示平台、增强游客互动的功能。挖掘和培养直播间主播，不断发力短视频及直播业务，积极整合媒体资源，对县内红色经典、全域旅游特色景区景点、特色产品进行更优质的引流宣传，推动多产业高质量发展。</w:t>
      </w:r>
    </w:p>
    <w:p>
      <w:pPr>
        <w:keepNext w:val="0"/>
        <w:keepLines w:val="0"/>
        <w:pageBreakBefore w:val="0"/>
        <w:kinsoku/>
        <w:wordWrap/>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）建立全县应急广播体系。</w:t>
      </w:r>
      <w:r>
        <w:rPr>
          <w:rFonts w:hint="eastAsia" w:ascii="仿宋_GB2312" w:hAnsi="仿宋_GB2312" w:eastAsia="仿宋_GB2312" w:cs="仿宋_GB2312"/>
          <w:color w:val="auto"/>
          <w:sz w:val="32"/>
          <w:szCs w:val="32"/>
        </w:rPr>
        <w:t>按照“平时服务、战时应急”的要求，建立纵向联通中央、省、市、县、乡镇、村（社区），横向联通</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应急管理</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自然资源</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水利</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气象</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消防</w:t>
      </w:r>
      <w:r>
        <w:rPr>
          <w:rFonts w:hint="eastAsia" w:ascii="仿宋_GB2312" w:hAnsi="仿宋_GB2312" w:eastAsia="仿宋_GB2312" w:cs="仿宋_GB2312"/>
          <w:color w:val="auto"/>
          <w:sz w:val="32"/>
          <w:szCs w:val="32"/>
          <w:lang w:eastAsia="zh-CN"/>
        </w:rPr>
        <w:t>大队</w:t>
      </w:r>
      <w:r>
        <w:rPr>
          <w:rFonts w:hint="eastAsia" w:ascii="仿宋_GB2312" w:hAnsi="仿宋_GB2312" w:eastAsia="仿宋_GB2312" w:cs="仿宋_GB2312"/>
          <w:color w:val="auto"/>
          <w:sz w:val="32"/>
          <w:szCs w:val="32"/>
        </w:rPr>
        <w:t>等部门的应急广播平台，形成统一协调、上下贯通、可管可控、分级负责、安全可靠的全县应急广播体系。</w:t>
      </w:r>
    </w:p>
    <w:p>
      <w:pPr>
        <w:pStyle w:val="9"/>
        <w:keepNext w:val="0"/>
        <w:keepLines w:val="0"/>
        <w:pageBreakBefore w:val="0"/>
        <w:kinsoku/>
        <w:wordWrap/>
        <w:topLinePunct w:val="0"/>
        <w:autoSpaceDE/>
        <w:autoSpaceDN/>
        <w:bidi w:val="0"/>
        <w:adjustRightInd/>
        <w:spacing w:line="58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.强化行业监管，促进文化综合市场稳定发展</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（1）规范市场秩序，加大执法力度。做好政策法规宣传普及，改进管理手段和方法，规范文化、旅游、体育等经营性场所经营活动，促进市场秩序健康发展，为县域文化、旅游、广电、体育事业发展保驾护航。</w:t>
      </w:r>
      <w:r>
        <w:rPr>
          <w:rFonts w:hint="eastAsia" w:ascii="仿宋_GB2312" w:hAnsi="仿宋_GB2312" w:eastAsia="仿宋_GB2312" w:cs="仿宋_GB2312"/>
          <w:color w:val="auto"/>
          <w:sz w:val="32"/>
          <w:szCs w:val="32"/>
          <w:lang w:val="en-US" w:eastAsia="zh-CN"/>
        </w:rPr>
        <w:t>加强队伍建设，明确职责，市场监管到人，执法队员所管理的市场由个人和单位签责任状，明确工作区域由谁管理谁负责。强化执法人员的培训，提高队员的综合素质。增加执法必需设施设备，提高办案的数量和质量。</w:t>
      </w:r>
      <w:r>
        <w:rPr>
          <w:rFonts w:hint="eastAsia" w:ascii="仿宋_GB2312" w:hAnsi="仿宋_GB2312" w:eastAsia="仿宋_GB2312" w:cs="仿宋_GB2312"/>
          <w:color w:val="auto"/>
          <w:sz w:val="32"/>
          <w:szCs w:val="32"/>
        </w:rPr>
        <w:t>加大文化综合市场执法力度，进行定期和不定期检查巡查，会同</w:t>
      </w:r>
      <w:r>
        <w:rPr>
          <w:rFonts w:hint="eastAsia" w:ascii="仿宋_GB2312" w:hAnsi="仿宋_GB2312" w:eastAsia="仿宋_GB2312" w:cs="仿宋_GB2312"/>
          <w:color w:val="auto"/>
          <w:sz w:val="32"/>
          <w:szCs w:val="32"/>
          <w:lang w:eastAsia="zh-CN"/>
        </w:rPr>
        <w:t>相关部门</w:t>
      </w:r>
      <w:r>
        <w:rPr>
          <w:rFonts w:hint="eastAsia" w:ascii="仿宋_GB2312" w:hAnsi="仿宋_GB2312" w:eastAsia="仿宋_GB2312" w:cs="仿宋_GB2312"/>
          <w:color w:val="auto"/>
          <w:sz w:val="32"/>
          <w:szCs w:val="32"/>
        </w:rPr>
        <w:t>进行联合督查、办案，及时查处整治突出问题，开展不合理低价游等专项整治，确保文旅广体市场健康有序发展。</w:t>
      </w:r>
    </w:p>
    <w:p>
      <w:pPr>
        <w:keepNext w:val="0"/>
        <w:keepLines w:val="0"/>
        <w:pageBreakBefore w:val="0"/>
        <w:kinsoku/>
        <w:wordWrap/>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加强广播电视安全播出保障体系建设。建立健全新技术条件下的安全播出管理体制和运行机制，建设技术监测、视听新媒体监管、内容监管、安全播出、信息安全五位一体的广播电视监测监管系统，对内容、业务、网络、终端等进行全流程监测监管。</w:t>
      </w:r>
    </w:p>
    <w:p>
      <w:pPr>
        <w:keepNext w:val="0"/>
        <w:keepLines w:val="0"/>
        <w:pageBreakBefore w:val="0"/>
        <w:kinsoku/>
        <w:wordWrap/>
        <w:topLinePunct w:val="0"/>
        <w:autoSpaceDE/>
        <w:autoSpaceDN/>
        <w:bidi w:val="0"/>
        <w:adjustRightInd/>
        <w:spacing w:line="580" w:lineRule="exact"/>
        <w:ind w:firstLine="643" w:firstLineChars="200"/>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w:t>
      </w:r>
      <w:r>
        <w:rPr>
          <w:rFonts w:hint="eastAsia" w:ascii="仿宋_GB2312" w:hAnsi="仿宋_GB2312" w:eastAsia="仿宋_GB2312" w:cs="仿宋_GB2312"/>
          <w:b/>
          <w:color w:val="auto"/>
          <w:sz w:val="32"/>
          <w:szCs w:val="32"/>
          <w:lang w:val="en-US" w:eastAsia="zh-CN"/>
        </w:rPr>
        <w:t>0</w:t>
      </w:r>
      <w:r>
        <w:rPr>
          <w:rFonts w:hint="eastAsia" w:ascii="仿宋_GB2312" w:hAnsi="仿宋_GB2312" w:eastAsia="仿宋_GB2312" w:cs="仿宋_GB2312"/>
          <w:b/>
          <w:color w:val="auto"/>
          <w:sz w:val="32"/>
          <w:szCs w:val="32"/>
        </w:rPr>
        <w:t>.加强队伍建设，完善用人机制</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产教融合、校企合作、引进人才等方式，强化人才智力支撑。加大文化人才培养力度，建设德艺双馨的文艺队伍。建立培养、引进、重用、准入机制，形成人尽其才、才尽其用的良好局面，打破论资排辈的旧观念，使人才创业有机会、干事有舞台、发展有空间。未来五年，继续鼓励社会力量创办各类艺术学校，同时加强引导和管理，让艺术学校真正成为培养各类艺术人才的摇篮。精心选拔有创作能力、有培训才干的优秀人才充实全县文学艺术岗位，还要有计划地引进旅游行业专业性人才。加强文博、南县地花鼓等专业性人才队伍建设，提升文保研究人员对文物鉴定、修复的专业水平，增添专业修复设施、设备，满足社会公众对文物的鉴赏需求。开展文化市场经营单位法律法规、安全生产的培训，做到守法、有序经营。开展娱乐场所从业人员的培训，建立健全人员名册，对招聘的人员做到健康上岗，培训考核上岗。</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五、保障措施</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楷体" w:hAnsi="楷体" w:eastAsia="楷体" w:cs="楷体"/>
          <w:bCs/>
          <w:color w:val="auto"/>
          <w:sz w:val="32"/>
          <w:szCs w:val="32"/>
        </w:rPr>
      </w:pPr>
      <w:r>
        <w:rPr>
          <w:rFonts w:hint="eastAsia" w:ascii="楷体" w:hAnsi="楷体" w:eastAsia="楷体" w:cs="楷体"/>
          <w:bCs/>
          <w:color w:val="auto"/>
          <w:sz w:val="32"/>
          <w:szCs w:val="32"/>
        </w:rPr>
        <w:t>（一）组织保障</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和加强党的全面领导，统一思想、强化认识，坚持事业和产业一体谋划、一并推进。认真落实扶持政策，积极出面排忧解难，确保规划有效实施。促进多规融合，加强文化旅游产业发展规划与国民经济和社会发展、国土空间规划等相关规划相衔接，提高资源利用效率。</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楷体" w:hAnsi="楷体" w:eastAsia="楷体" w:cs="楷体"/>
          <w:bCs/>
          <w:color w:val="auto"/>
          <w:sz w:val="32"/>
          <w:szCs w:val="32"/>
        </w:rPr>
      </w:pPr>
      <w:r>
        <w:rPr>
          <w:rFonts w:hint="eastAsia" w:ascii="楷体" w:hAnsi="楷体" w:eastAsia="楷体" w:cs="楷体"/>
          <w:bCs/>
          <w:color w:val="auto"/>
          <w:sz w:val="32"/>
          <w:szCs w:val="32"/>
        </w:rPr>
        <w:t>（二）政策保障</w:t>
      </w:r>
    </w:p>
    <w:p>
      <w:pPr>
        <w:keepNext w:val="0"/>
        <w:keepLines w:val="0"/>
        <w:pageBreakBefore w:val="0"/>
        <w:kinsoku/>
        <w:wordWrap/>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符合上级政府相关政策的前提下，放宽南县文化、旅游、广电、体育市场准入，降低门槛，简政放权。发挥文化、旅游、广电、体育行业协会的作用，加快推进服务型政府建设。强化政府在产业发展环境优化、市场主体发展氛围营造等方面的公共服务职能，努力形成完善的公共服务格局，全面改善南县文旅融合发展环境。完善文化、旅游、广电、体育产业的相关政策体系，引导企业</w:t>
      </w:r>
      <w:r>
        <w:rPr>
          <w:rFonts w:hint="eastAsia" w:ascii="仿宋_GB2312" w:hAnsi="仿宋_GB2312" w:eastAsia="仿宋_GB2312" w:cs="仿宋_GB2312"/>
          <w:color w:val="auto"/>
          <w:spacing w:val="-6"/>
          <w:sz w:val="32"/>
          <w:szCs w:val="32"/>
        </w:rPr>
        <w:t>自觉依法经营，落实国有经营性文化单位转企改制扶持政策。</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楷体" w:hAnsi="楷体" w:eastAsia="楷体" w:cs="楷体"/>
          <w:bCs/>
          <w:color w:val="auto"/>
          <w:sz w:val="32"/>
          <w:szCs w:val="32"/>
        </w:rPr>
      </w:pPr>
      <w:r>
        <w:rPr>
          <w:rFonts w:hint="eastAsia" w:ascii="楷体" w:hAnsi="楷体" w:eastAsia="楷体" w:cs="楷体"/>
          <w:bCs/>
          <w:color w:val="auto"/>
          <w:sz w:val="32"/>
          <w:szCs w:val="32"/>
        </w:rPr>
        <w:t>（三）资金保障</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仿宋" w:hAnsi="仿宋" w:eastAsia="仿宋" w:cs="仿宋"/>
          <w:color w:val="auto"/>
          <w:sz w:val="32"/>
          <w:szCs w:val="32"/>
        </w:rPr>
      </w:pPr>
      <w:r>
        <w:rPr>
          <w:rFonts w:hint="eastAsia" w:ascii="仿宋_GB2312" w:hAnsi="仿宋_GB2312" w:eastAsia="仿宋_GB2312" w:cs="仿宋_GB2312"/>
          <w:color w:val="auto"/>
          <w:sz w:val="32"/>
          <w:szCs w:val="32"/>
        </w:rPr>
        <w:t>加大公共财政对文化、旅游、广电</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auto"/>
          <w:sz w:val="32"/>
          <w:szCs w:val="32"/>
        </w:rPr>
        <w:t>体育等事业和产业发展投入，建立稳定增长的财政投入机制，积极向上级争取政策、资金扶持，夯实发展基础。积极落实国家支持文化旅游体育发展的各项税费优惠政策。充分发挥行业主管部门的优势和作用，搭建文旅企业与相关金融机构合作平台，畅通投融资渠道。鼓励社会资本尤其是民间资本投入文化、旅游、体育等经济社会发展的重点领域和薄弱环节。不断完善价格调整机制，合理确定价格标准，增强文化、旅游、体育、广电等的运营保障能力，支持政府性融资担保公司依法依规为小微企业提供融资担保服务。</w:t>
      </w:r>
    </w:p>
    <w:p>
      <w:pPr>
        <w:keepNext w:val="0"/>
        <w:keepLines w:val="0"/>
        <w:pageBreakBefore w:val="0"/>
        <w:kinsoku/>
        <w:wordWrap/>
        <w:topLinePunct w:val="0"/>
        <w:autoSpaceDE/>
        <w:autoSpaceDN/>
        <w:bidi w:val="0"/>
        <w:adjustRightInd/>
        <w:spacing w:line="580" w:lineRule="exact"/>
        <w:ind w:firstLine="640" w:firstLineChars="200"/>
        <w:textAlignment w:val="auto"/>
        <w:rPr>
          <w:rFonts w:ascii="楷体" w:hAnsi="楷体" w:eastAsia="楷体" w:cs="楷体"/>
          <w:bCs/>
          <w:color w:val="auto"/>
          <w:sz w:val="32"/>
          <w:szCs w:val="32"/>
        </w:rPr>
      </w:pPr>
      <w:r>
        <w:rPr>
          <w:rFonts w:hint="eastAsia" w:ascii="楷体" w:hAnsi="楷体" w:eastAsia="楷体" w:cs="楷体"/>
          <w:bCs/>
          <w:color w:val="auto"/>
          <w:sz w:val="32"/>
          <w:szCs w:val="32"/>
        </w:rPr>
        <w:t>（四）人才保障</w:t>
      </w:r>
    </w:p>
    <w:p>
      <w:pPr>
        <w:keepNext w:val="0"/>
        <w:keepLines w:val="0"/>
        <w:pageBreakBefore w:val="0"/>
        <w:kinsoku/>
        <w:wordWrap/>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培养一支高素质人才队伍，为文化、旅游、广电、体育等事业和产业发展提供智力支持与人才保障。强化职业技能培训、举办职业技能竞赛、积极组织相关从业人员参加职业资格考试和职业技能认定工作，加强对旅游饭店、旅游交通、旅行社、图书馆、博物馆等窗口行业从业人员的职业道德教育和业务培训。探索建立文旅技能型人才校企合作、定向订单式培养的新机制，完善文旅人才就业激励机制。</w:t>
      </w:r>
      <w:bookmarkStart w:id="1" w:name="_Toc22773"/>
      <w:r>
        <w:rPr>
          <w:rFonts w:hint="eastAsia" w:ascii="仿宋_GB2312" w:hAnsi="仿宋_GB2312" w:eastAsia="仿宋_GB2312" w:cs="仿宋_GB2312"/>
          <w:color w:val="auto"/>
          <w:sz w:val="32"/>
          <w:szCs w:val="32"/>
        </w:rPr>
        <w:t>建立南县文旅产业发展智库，汇聚高端人才，创新方式加强对文化、旅游、广电、体育专业高层次人才的培养</w:t>
      </w:r>
      <w:bookmarkEnd w:id="1"/>
      <w:r>
        <w:rPr>
          <w:rFonts w:hint="eastAsia" w:ascii="仿宋_GB2312" w:hAnsi="仿宋_GB2312" w:eastAsia="仿宋_GB2312" w:cs="仿宋_GB2312"/>
          <w:color w:val="auto"/>
          <w:sz w:val="32"/>
          <w:szCs w:val="32"/>
        </w:rPr>
        <w:t xml:space="preserve">和引进力度。积极推介文化、旅游、广电、体育标兵人物。 </w:t>
      </w:r>
    </w:p>
    <w:p>
      <w:pPr>
        <w:keepNext w:val="0"/>
        <w:keepLines w:val="0"/>
        <w:pageBreakBefore w:val="0"/>
        <w:kinsoku/>
        <w:wordWrap/>
        <w:topLinePunct w:val="0"/>
        <w:autoSpaceDE/>
        <w:autoSpaceDN/>
        <w:bidi w:val="0"/>
        <w:adjustRightInd/>
        <w:spacing w:line="580" w:lineRule="exact"/>
        <w:ind w:firstLine="640" w:firstLineChars="200"/>
        <w:textAlignment w:val="auto"/>
        <w:outlineLvl w:val="1"/>
        <w:rPr>
          <w:rFonts w:ascii="仿宋" w:hAnsi="仿宋" w:eastAsia="仿宋" w:cs="仿宋"/>
          <w:color w:val="auto"/>
          <w:sz w:val="32"/>
          <w:szCs w:val="32"/>
        </w:rPr>
      </w:pPr>
      <w:bookmarkStart w:id="2" w:name="_Toc30419"/>
      <w:bookmarkStart w:id="3" w:name="_Toc83893032"/>
      <w:bookmarkStart w:id="4" w:name="_Toc9272"/>
      <w:r>
        <w:rPr>
          <w:rFonts w:hint="eastAsia" w:ascii="楷体" w:hAnsi="楷体" w:eastAsia="楷体" w:cs="楷体"/>
          <w:color w:val="auto"/>
          <w:sz w:val="32"/>
          <w:szCs w:val="32"/>
        </w:rPr>
        <w:t xml:space="preserve"> (五)用地保障</w:t>
      </w:r>
      <w:bookmarkEnd w:id="2"/>
      <w:bookmarkEnd w:id="3"/>
      <w:bookmarkEnd w:id="4"/>
    </w:p>
    <w:p>
      <w:pPr>
        <w:keepNext w:val="0"/>
        <w:keepLines w:val="0"/>
        <w:pageBreakBefore w:val="0"/>
        <w:kinsoku/>
        <w:wordWrap/>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编制南县旅游发展专项规划和体育设施专项规划时，充分考虑文化、旅游、体育项目设施的空间布局和建设用地需求，加强与国土空间总体规划的衔接，确保重点文旅项目供地需求。对符合国家政策和湖南省优先发展产业且用地集约的文化创意、体育、旅游项目，优先确保用地需求。支持利用工业厂房、仓储用房、礼堂、剧场、影院、老旧商业设施等存量房地资源转型兴办文化创意企业。充分调动社会各界力量兴建文化创意产业基础设施，对民营机构给予土地、财政、金融等方面的支持。将体育场馆设施用地纳入城乡规划、土地利用总体规划和年度用地计划，合理安排用地需求。建立居民小区配套建设公共体育健身场地设施协调机制，落实基层社区文化体育设施共建共享，在老城区和已建成居住区中支持企业、单位利用</w:t>
      </w:r>
      <w:r>
        <w:rPr>
          <w:rFonts w:hint="eastAsia" w:ascii="仿宋_GB2312" w:hAnsi="仿宋_GB2312" w:eastAsia="仿宋_GB2312" w:cs="仿宋_GB2312"/>
          <w:color w:val="auto"/>
          <w:sz w:val="32"/>
          <w:szCs w:val="32"/>
          <w:lang w:val="en-US" w:eastAsia="zh-CN"/>
        </w:rPr>
        <w:t>原</w:t>
      </w:r>
      <w:r>
        <w:rPr>
          <w:rFonts w:hint="eastAsia" w:ascii="仿宋_GB2312" w:hAnsi="仿宋_GB2312" w:eastAsia="仿宋_GB2312" w:cs="仿宋_GB2312"/>
          <w:color w:val="auto"/>
          <w:sz w:val="32"/>
          <w:szCs w:val="32"/>
        </w:rPr>
        <w:t>划拨方式取得的存量房产和建设用地</w:t>
      </w:r>
      <w:r>
        <w:rPr>
          <w:rFonts w:hint="eastAsia" w:ascii="仿宋_GB2312" w:hAnsi="仿宋_GB2312" w:eastAsia="仿宋_GB2312" w:cs="仿宋_GB2312"/>
          <w:color w:val="auto"/>
          <w:sz w:val="32"/>
          <w:szCs w:val="32"/>
          <w:lang w:val="en-US" w:eastAsia="zh-CN"/>
        </w:rPr>
        <w:t>完善公共</w:t>
      </w:r>
      <w:r>
        <w:rPr>
          <w:rFonts w:hint="eastAsia" w:ascii="仿宋_GB2312" w:hAnsi="仿宋_GB2312" w:eastAsia="仿宋_GB2312" w:cs="仿宋_GB2312"/>
          <w:color w:val="auto"/>
          <w:sz w:val="32"/>
          <w:szCs w:val="32"/>
        </w:rPr>
        <w:t>体育设施。</w:t>
      </w:r>
      <w:bookmarkStart w:id="5" w:name="_Toc10845"/>
    </w:p>
    <w:p>
      <w:pPr>
        <w:keepNext w:val="0"/>
        <w:keepLines w:val="0"/>
        <w:pageBreakBefore w:val="0"/>
        <w:kinsoku/>
        <w:wordWrap/>
        <w:topLinePunct w:val="0"/>
        <w:autoSpaceDE/>
        <w:autoSpaceDN/>
        <w:bidi w:val="0"/>
        <w:adjustRightInd/>
        <w:spacing w:line="580" w:lineRule="exact"/>
        <w:ind w:firstLine="640" w:firstLineChars="200"/>
        <w:textAlignment w:val="auto"/>
        <w:outlineLvl w:val="1"/>
        <w:rPr>
          <w:rFonts w:ascii="楷体" w:hAnsi="楷体" w:eastAsia="楷体" w:cs="楷体"/>
          <w:color w:val="auto"/>
          <w:sz w:val="32"/>
          <w:szCs w:val="32"/>
        </w:rPr>
      </w:pPr>
      <w:bookmarkStart w:id="6" w:name="_Toc13815"/>
      <w:bookmarkStart w:id="7" w:name="_Toc83893033"/>
      <w:r>
        <w:rPr>
          <w:rFonts w:hint="eastAsia" w:ascii="楷体" w:hAnsi="楷体" w:eastAsia="楷体" w:cs="楷体"/>
          <w:color w:val="auto"/>
          <w:sz w:val="32"/>
          <w:szCs w:val="32"/>
        </w:rPr>
        <w:t>(六)监管保障</w:t>
      </w:r>
      <w:bookmarkEnd w:id="5"/>
      <w:bookmarkEnd w:id="6"/>
      <w:bookmarkEnd w:id="7"/>
    </w:p>
    <w:p>
      <w:pPr>
        <w:keepNext w:val="0"/>
        <w:keepLines w:val="0"/>
        <w:pageBreakBefore w:val="0"/>
        <w:kinsoku/>
        <w:wordWrap/>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各部门、各乡镇的沟通机制，共同研究解决重大问题，统筹资源，形成合力，确保规划有序推进落实。细化任务分工，各有关单位要依据本规划，结合各自职责分工，制订工作计划，做好与本规划的衔接及重大任务的分解和落实工作。强化执行实施，各有关单位要把推进文化和旅游发展列入重要议事日程，建立推进规划落实的考核评价机制。做好规划宣传，充分利用报纸、电视、网络等各类媒体，采取多种形式面向社会、面向市民宣传规划有关内容，增强社会公众特别是业内投资者、管理者、工作者和研究者对规划的认识和了解，争取各方理解和支持。大力推进市场监管制度创新和工作机制创新，全面提升文化、旅游等领域市场综合执法效能及管理服务水平。在本规划的实施过程中，加强对规划实施的统筹协调，开展对文化和旅游发展专项考核，确立导向明确的差别化考核体系，确保规划落实落地。</w:t>
      </w:r>
    </w:p>
    <w:p>
      <w:pPr>
        <w:keepNext w:val="0"/>
        <w:keepLines w:val="0"/>
        <w:pageBreakBefore w:val="0"/>
        <w:kinsoku/>
        <w:wordWrap/>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p>
    <w:p>
      <w:pPr>
        <w:pStyle w:val="4"/>
        <w:keepNext w:val="0"/>
        <w:keepLines w:val="0"/>
        <w:pageBreakBefore w:val="0"/>
        <w:kinsoku/>
        <w:wordWrap/>
        <w:topLinePunct w:val="0"/>
        <w:autoSpaceDE/>
        <w:autoSpaceDN/>
        <w:bidi w:val="0"/>
        <w:adjustRightInd/>
        <w:spacing w:line="580" w:lineRule="exact"/>
        <w:textAlignment w:val="auto"/>
        <w:rPr>
          <w:rFonts w:hint="eastAsia" w:ascii="仿宋_GB2312" w:hAnsi="仿宋_GB2312" w:eastAsia="仿宋_GB2312" w:cs="仿宋_GB2312"/>
          <w:sz w:val="32"/>
          <w:szCs w:val="32"/>
        </w:rPr>
      </w:pPr>
    </w:p>
    <w:p>
      <w:pPr>
        <w:keepNext w:val="0"/>
        <w:keepLines w:val="0"/>
        <w:pageBreakBefore w:val="0"/>
        <w:kinsoku/>
        <w:wordWrap/>
        <w:topLinePunct w:val="0"/>
        <w:autoSpaceDE/>
        <w:autoSpaceDN/>
        <w:bidi w:val="0"/>
        <w:adjustRightInd/>
        <w:spacing w:line="580" w:lineRule="exact"/>
        <w:textAlignment w:val="auto"/>
        <w:rPr>
          <w:rFonts w:hint="eastAsia" w:ascii="仿宋_GB2312" w:hAnsi="仿宋_GB2312" w:eastAsia="仿宋_GB2312" w:cs="仿宋_GB2312"/>
          <w:sz w:val="32"/>
          <w:szCs w:val="32"/>
        </w:rPr>
      </w:pPr>
    </w:p>
    <w:p>
      <w:pPr>
        <w:pStyle w:val="4"/>
        <w:keepNext w:val="0"/>
        <w:keepLines w:val="0"/>
        <w:pageBreakBefore w:val="0"/>
        <w:kinsoku/>
        <w:wordWrap/>
        <w:topLinePunct w:val="0"/>
        <w:autoSpaceDE/>
        <w:autoSpaceDN/>
        <w:bidi w:val="0"/>
        <w:adjustRightInd/>
        <w:spacing w:line="580" w:lineRule="exact"/>
        <w:textAlignment w:val="auto"/>
        <w:rPr>
          <w:rFonts w:hint="eastAsia" w:ascii="仿宋_GB2312" w:hAnsi="仿宋_GB2312" w:eastAsia="仿宋_GB2312" w:cs="仿宋_GB2312"/>
          <w:sz w:val="32"/>
          <w:szCs w:val="32"/>
        </w:rPr>
      </w:pPr>
    </w:p>
    <w:p>
      <w:pPr>
        <w:keepNext w:val="0"/>
        <w:keepLines w:val="0"/>
        <w:pageBreakBefore w:val="0"/>
        <w:kinsoku/>
        <w:wordWrap/>
        <w:topLinePunct w:val="0"/>
        <w:autoSpaceDE/>
        <w:autoSpaceDN/>
        <w:bidi w:val="0"/>
        <w:adjustRightInd/>
        <w:spacing w:line="580" w:lineRule="exact"/>
        <w:textAlignment w:val="auto"/>
        <w:rPr>
          <w:rFonts w:hint="eastAsia" w:ascii="仿宋_GB2312" w:hAnsi="仿宋_GB2312" w:eastAsia="仿宋_GB2312" w:cs="仿宋_GB2312"/>
          <w:sz w:val="32"/>
          <w:szCs w:val="32"/>
        </w:rPr>
      </w:pPr>
    </w:p>
    <w:p>
      <w:pPr>
        <w:pStyle w:val="4"/>
        <w:keepNext w:val="0"/>
        <w:keepLines w:val="0"/>
        <w:pageBreakBefore w:val="0"/>
        <w:kinsoku/>
        <w:wordWrap/>
        <w:topLinePunct w:val="0"/>
        <w:autoSpaceDE/>
        <w:autoSpaceDN/>
        <w:bidi w:val="0"/>
        <w:adjustRightInd/>
        <w:spacing w:line="580" w:lineRule="exact"/>
        <w:textAlignment w:val="auto"/>
        <w:rPr>
          <w:rFonts w:hint="eastAsia" w:ascii="仿宋_GB2312" w:hAnsi="仿宋_GB2312" w:eastAsia="仿宋_GB2312" w:cs="仿宋_GB2312"/>
          <w:sz w:val="32"/>
          <w:szCs w:val="32"/>
        </w:rPr>
      </w:pPr>
    </w:p>
    <w:p>
      <w:pPr>
        <w:keepNext w:val="0"/>
        <w:keepLines w:val="0"/>
        <w:pageBreakBefore w:val="0"/>
        <w:kinsoku/>
        <w:wordWrap/>
        <w:topLinePunct w:val="0"/>
        <w:autoSpaceDE/>
        <w:autoSpaceDN/>
        <w:bidi w:val="0"/>
        <w:adjustRightInd/>
        <w:spacing w:line="580" w:lineRule="exact"/>
        <w:textAlignment w:val="auto"/>
        <w:rPr>
          <w:rFonts w:hint="eastAsia" w:ascii="仿宋_GB2312" w:hAnsi="仿宋_GB2312" w:eastAsia="仿宋_GB2312" w:cs="仿宋_GB2312"/>
          <w:sz w:val="32"/>
          <w:szCs w:val="32"/>
        </w:rPr>
      </w:pPr>
    </w:p>
    <w:p>
      <w:pPr>
        <w:pStyle w:val="4"/>
        <w:keepNext w:val="0"/>
        <w:keepLines w:val="0"/>
        <w:pageBreakBefore w:val="0"/>
        <w:kinsoku/>
        <w:wordWrap/>
        <w:topLinePunct w:val="0"/>
        <w:autoSpaceDE/>
        <w:autoSpaceDN/>
        <w:bidi w:val="0"/>
        <w:adjustRightInd/>
        <w:spacing w:line="580" w:lineRule="exact"/>
        <w:textAlignment w:val="auto"/>
        <w:rPr>
          <w:rFonts w:hint="eastAsia" w:ascii="仿宋_GB2312" w:hAnsi="仿宋_GB2312" w:eastAsia="仿宋_GB2312" w:cs="仿宋_GB2312"/>
          <w:sz w:val="32"/>
          <w:szCs w:val="32"/>
        </w:rPr>
      </w:pPr>
    </w:p>
    <w:p>
      <w:pPr>
        <w:pStyle w:val="4"/>
        <w:keepNext w:val="0"/>
        <w:keepLines w:val="0"/>
        <w:pageBreakBefore w:val="0"/>
        <w:kinsoku/>
        <w:wordWrap/>
        <w:topLinePunct w:val="0"/>
        <w:autoSpaceDE/>
        <w:autoSpaceDN/>
        <w:bidi w:val="0"/>
        <w:adjustRightInd/>
        <w:spacing w:line="580" w:lineRule="exact"/>
        <w:textAlignment w:val="auto"/>
        <w:rPr>
          <w:rFonts w:hint="eastAsia" w:cs="Times New Roman"/>
        </w:rPr>
      </w:pPr>
    </w:p>
    <w:p>
      <w:pPr>
        <w:keepNext w:val="0"/>
        <w:keepLines w:val="0"/>
        <w:pageBreakBefore w:val="0"/>
        <w:kinsoku/>
        <w:wordWrap/>
        <w:topLinePunct w:val="0"/>
        <w:autoSpaceDE/>
        <w:autoSpaceDN/>
        <w:bidi w:val="0"/>
        <w:adjustRightInd/>
        <w:spacing w:line="580" w:lineRule="exact"/>
        <w:ind w:firstLine="1325" w:firstLineChars="300"/>
        <w:textAlignment w:val="auto"/>
        <w:rPr>
          <w:rFonts w:ascii="宋体" w:hAnsi="宋体" w:eastAsia="宋体" w:cs="宋体"/>
          <w:b/>
          <w:bCs/>
          <w:sz w:val="44"/>
          <w:szCs w:val="44"/>
        </w:rPr>
      </w:pPr>
      <w:r>
        <w:rPr>
          <w:rFonts w:hint="eastAsia" w:ascii="宋体" w:hAnsi="宋体" w:eastAsia="宋体" w:cs="宋体"/>
          <w:b/>
          <w:bCs/>
          <w:sz w:val="44"/>
          <w:szCs w:val="44"/>
        </w:rPr>
        <w:t>南县“十四五”文化旅游广电体育</w:t>
      </w:r>
    </w:p>
    <w:p>
      <w:pPr>
        <w:keepNext w:val="0"/>
        <w:keepLines w:val="0"/>
        <w:pageBreakBefore w:val="0"/>
        <w:kinsoku/>
        <w:wordWrap/>
        <w:topLinePunct w:val="0"/>
        <w:autoSpaceDE/>
        <w:autoSpaceDN/>
        <w:bidi w:val="0"/>
        <w:adjustRightInd/>
        <w:spacing w:line="580" w:lineRule="exact"/>
        <w:jc w:val="center"/>
        <w:textAlignment w:val="auto"/>
        <w:rPr>
          <w:rFonts w:ascii="宋体" w:hAnsi="宋体" w:eastAsia="宋体" w:cs="宋体"/>
          <w:b/>
          <w:bCs/>
          <w:sz w:val="44"/>
          <w:szCs w:val="44"/>
        </w:rPr>
      </w:pPr>
      <w:r>
        <w:rPr>
          <w:rFonts w:hint="eastAsia" w:ascii="宋体" w:hAnsi="宋体" w:eastAsia="宋体" w:cs="宋体"/>
          <w:b/>
          <w:bCs/>
          <w:sz w:val="44"/>
          <w:szCs w:val="44"/>
        </w:rPr>
        <w:t>重点项目建设清单</w:t>
      </w:r>
    </w:p>
    <w:tbl>
      <w:tblPr>
        <w:tblStyle w:val="6"/>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52"/>
        <w:gridCol w:w="1240"/>
        <w:gridCol w:w="3865"/>
        <w:gridCol w:w="1375"/>
        <w:gridCol w:w="1203"/>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9" w:hRule="atLeast"/>
        </w:trPr>
        <w:tc>
          <w:tcPr>
            <w:tcW w:w="752" w:type="dxa"/>
            <w:vMerge w:val="restart"/>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黑体" w:hAnsi="黑体" w:eastAsia="黑体" w:cs="黑体"/>
                <w:szCs w:val="21"/>
              </w:rPr>
            </w:pPr>
            <w:r>
              <w:rPr>
                <w:rFonts w:hint="eastAsia" w:ascii="黑体" w:hAnsi="黑体" w:eastAsia="黑体" w:cs="黑体"/>
                <w:szCs w:val="21"/>
              </w:rPr>
              <w:t>序号</w:t>
            </w:r>
          </w:p>
        </w:tc>
        <w:tc>
          <w:tcPr>
            <w:tcW w:w="1240" w:type="dxa"/>
            <w:vMerge w:val="restart"/>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黑体" w:hAnsi="黑体" w:eastAsia="黑体" w:cs="黑体"/>
                <w:szCs w:val="21"/>
              </w:rPr>
            </w:pPr>
            <w:r>
              <w:rPr>
                <w:rFonts w:hint="eastAsia" w:ascii="黑体" w:hAnsi="黑体" w:eastAsia="黑体" w:cs="黑体"/>
                <w:szCs w:val="21"/>
              </w:rPr>
              <w:t>项目名称</w:t>
            </w:r>
          </w:p>
        </w:tc>
        <w:tc>
          <w:tcPr>
            <w:tcW w:w="3865" w:type="dxa"/>
            <w:vMerge w:val="restart"/>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黑体" w:hAnsi="黑体" w:eastAsia="黑体" w:cs="黑体"/>
                <w:szCs w:val="21"/>
              </w:rPr>
            </w:pPr>
            <w:r>
              <w:rPr>
                <w:rFonts w:hint="eastAsia" w:ascii="黑体" w:hAnsi="黑体" w:eastAsia="黑体" w:cs="黑体"/>
                <w:szCs w:val="21"/>
              </w:rPr>
              <w:t>建设规模及主要建设内容</w:t>
            </w:r>
          </w:p>
        </w:tc>
        <w:tc>
          <w:tcPr>
            <w:tcW w:w="1375" w:type="dxa"/>
            <w:vMerge w:val="restart"/>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eastAsia" w:ascii="黑体" w:hAnsi="黑体" w:eastAsia="黑体" w:cs="黑体"/>
                <w:szCs w:val="21"/>
                <w:lang w:eastAsia="zh-CN"/>
              </w:rPr>
            </w:pPr>
            <w:r>
              <w:rPr>
                <w:rFonts w:hint="eastAsia" w:ascii="黑体" w:hAnsi="黑体" w:eastAsia="黑体" w:cs="黑体"/>
                <w:szCs w:val="21"/>
              </w:rPr>
              <w:t>建设起止</w:t>
            </w:r>
          </w:p>
          <w:p>
            <w:pPr>
              <w:keepNext w:val="0"/>
              <w:keepLines w:val="0"/>
              <w:pageBreakBefore w:val="0"/>
              <w:kinsoku/>
              <w:wordWrap/>
              <w:topLinePunct w:val="0"/>
              <w:autoSpaceDE/>
              <w:autoSpaceDN/>
              <w:bidi w:val="0"/>
              <w:adjustRightInd/>
              <w:spacing w:line="580" w:lineRule="exact"/>
              <w:jc w:val="center"/>
              <w:textAlignment w:val="auto"/>
              <w:rPr>
                <w:rFonts w:ascii="黑体" w:hAnsi="黑体" w:eastAsia="黑体" w:cs="黑体"/>
                <w:szCs w:val="21"/>
              </w:rPr>
            </w:pPr>
            <w:r>
              <w:rPr>
                <w:rFonts w:hint="eastAsia" w:ascii="黑体" w:hAnsi="黑体" w:eastAsia="黑体" w:cs="黑体"/>
                <w:szCs w:val="21"/>
              </w:rPr>
              <w:t>年限</w:t>
            </w:r>
          </w:p>
        </w:tc>
        <w:tc>
          <w:tcPr>
            <w:tcW w:w="1203" w:type="dxa"/>
            <w:vMerge w:val="restart"/>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eastAsia" w:ascii="黑体" w:hAnsi="黑体" w:eastAsia="黑体" w:cs="黑体"/>
                <w:szCs w:val="21"/>
                <w:lang w:eastAsia="zh-CN"/>
              </w:rPr>
            </w:pPr>
            <w:r>
              <w:rPr>
                <w:rFonts w:hint="eastAsia" w:ascii="黑体" w:hAnsi="黑体" w:eastAsia="黑体" w:cs="黑体"/>
                <w:szCs w:val="21"/>
              </w:rPr>
              <w:t>项目总投资</w:t>
            </w:r>
          </w:p>
          <w:p>
            <w:pPr>
              <w:keepNext w:val="0"/>
              <w:keepLines w:val="0"/>
              <w:pageBreakBefore w:val="0"/>
              <w:kinsoku/>
              <w:wordWrap/>
              <w:topLinePunct w:val="0"/>
              <w:autoSpaceDE/>
              <w:autoSpaceDN/>
              <w:bidi w:val="0"/>
              <w:adjustRightInd/>
              <w:spacing w:line="580" w:lineRule="exact"/>
              <w:jc w:val="center"/>
              <w:textAlignment w:val="auto"/>
              <w:rPr>
                <w:rFonts w:ascii="黑体" w:hAnsi="黑体" w:eastAsia="黑体" w:cs="黑体"/>
                <w:szCs w:val="21"/>
              </w:rPr>
            </w:pPr>
            <w:r>
              <w:rPr>
                <w:rFonts w:hint="eastAsia" w:ascii="黑体" w:hAnsi="黑体" w:eastAsia="黑体" w:cs="黑体"/>
                <w:szCs w:val="21"/>
              </w:rPr>
              <w:t>（万元）</w:t>
            </w:r>
          </w:p>
        </w:tc>
        <w:tc>
          <w:tcPr>
            <w:tcW w:w="580" w:type="dxa"/>
            <w:vMerge w:val="restart"/>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黑体" w:hAnsi="黑体" w:eastAsia="黑体" w:cs="黑体"/>
                <w:szCs w:val="21"/>
              </w:rPr>
            </w:pPr>
            <w:r>
              <w:rPr>
                <w:rFonts w:hint="eastAsia" w:ascii="黑体" w:hAnsi="黑体"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752" w:type="dxa"/>
            <w:vMerge w:val="continue"/>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p>
        </w:tc>
        <w:tc>
          <w:tcPr>
            <w:tcW w:w="1240" w:type="dxa"/>
            <w:vMerge w:val="continue"/>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p>
        </w:tc>
        <w:tc>
          <w:tcPr>
            <w:tcW w:w="3865" w:type="dxa"/>
            <w:vMerge w:val="continue"/>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p>
        </w:tc>
        <w:tc>
          <w:tcPr>
            <w:tcW w:w="1375" w:type="dxa"/>
            <w:vMerge w:val="continue"/>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p>
        </w:tc>
        <w:tc>
          <w:tcPr>
            <w:tcW w:w="1203" w:type="dxa"/>
            <w:vMerge w:val="continue"/>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p>
        </w:tc>
        <w:tc>
          <w:tcPr>
            <w:tcW w:w="580" w:type="dxa"/>
            <w:vMerge w:val="continue"/>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318" w:hRule="atLeast"/>
        </w:trPr>
        <w:tc>
          <w:tcPr>
            <w:tcW w:w="752"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1</w:t>
            </w:r>
          </w:p>
        </w:tc>
        <w:tc>
          <w:tcPr>
            <w:tcW w:w="124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厂窖惨案遇难同胞纪念馆全国研学旅游示范基地项目</w:t>
            </w:r>
          </w:p>
        </w:tc>
        <w:tc>
          <w:tcPr>
            <w:tcW w:w="3865" w:type="dxa"/>
            <w:shd w:val="clear" w:color="auto" w:fill="FFFFFF"/>
            <w:noWrap w:val="0"/>
            <w:vAlign w:val="center"/>
          </w:tcPr>
          <w:p>
            <w:pPr>
              <w:keepNext w:val="0"/>
              <w:keepLines w:val="0"/>
              <w:pageBreakBefore w:val="0"/>
              <w:kinsoku/>
              <w:wordWrap/>
              <w:topLinePunct w:val="0"/>
              <w:autoSpaceDE/>
              <w:autoSpaceDN/>
              <w:bidi w:val="0"/>
              <w:adjustRightInd/>
              <w:spacing w:line="580" w:lineRule="exact"/>
              <w:ind w:firstLine="420" w:firstLineChars="200"/>
              <w:textAlignment w:val="auto"/>
              <w:rPr>
                <w:rFonts w:ascii="仿宋" w:hAnsi="仿宋" w:eastAsia="仿宋" w:cs="仿宋"/>
                <w:szCs w:val="21"/>
              </w:rPr>
            </w:pPr>
            <w:r>
              <w:rPr>
                <w:rFonts w:hint="eastAsia" w:ascii="仿宋" w:hAnsi="仿宋" w:eastAsia="仿宋" w:cs="仿宋"/>
                <w:szCs w:val="21"/>
              </w:rPr>
              <w:t>按照“一心三区”的空间格局进行打造。“一心”为穿越悲怆·旅游综合服务中心，“三区”为厂窖记忆·教育博览区、红色体忆·素训营地区、文创慢忆·休闲体验区。形成集红色旅游、研学体验、爱国教育、主题拓展等功能于一体的全国研学旅游示范基地，国家4A级旅游景区。</w:t>
            </w:r>
          </w:p>
        </w:tc>
        <w:tc>
          <w:tcPr>
            <w:tcW w:w="1375"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2021-2023</w:t>
            </w:r>
          </w:p>
        </w:tc>
        <w:tc>
          <w:tcPr>
            <w:tcW w:w="1203"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17370</w:t>
            </w:r>
          </w:p>
        </w:tc>
        <w:tc>
          <w:tcPr>
            <w:tcW w:w="58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9" w:hRule="atLeast"/>
        </w:trPr>
        <w:tc>
          <w:tcPr>
            <w:tcW w:w="752"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2</w:t>
            </w:r>
          </w:p>
        </w:tc>
        <w:tc>
          <w:tcPr>
            <w:tcW w:w="124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涂家台、卢保山遗址公园建设及南县不可移动革命文物保护利用工程</w:t>
            </w:r>
          </w:p>
        </w:tc>
        <w:tc>
          <w:tcPr>
            <w:tcW w:w="3865" w:type="dxa"/>
            <w:shd w:val="clear" w:color="auto" w:fill="FFFFFF"/>
            <w:noWrap w:val="0"/>
            <w:vAlign w:val="center"/>
          </w:tcPr>
          <w:p>
            <w:pPr>
              <w:keepNext w:val="0"/>
              <w:keepLines w:val="0"/>
              <w:pageBreakBefore w:val="0"/>
              <w:kinsoku/>
              <w:wordWrap/>
              <w:topLinePunct w:val="0"/>
              <w:autoSpaceDE/>
              <w:autoSpaceDN/>
              <w:bidi w:val="0"/>
              <w:adjustRightInd/>
              <w:spacing w:line="580" w:lineRule="exact"/>
              <w:ind w:firstLine="420" w:firstLineChars="200"/>
              <w:textAlignment w:val="auto"/>
              <w:rPr>
                <w:rFonts w:ascii="仿宋" w:hAnsi="仿宋" w:eastAsia="仿宋" w:cs="仿宋"/>
                <w:szCs w:val="21"/>
              </w:rPr>
            </w:pPr>
            <w:r>
              <w:rPr>
                <w:rFonts w:hint="eastAsia" w:ascii="仿宋" w:hAnsi="仿宋" w:eastAsia="仿宋" w:cs="仿宋"/>
                <w:szCs w:val="21"/>
              </w:rPr>
              <w:t>整合全国重点文物保护单位涂家台遗址、市级文物保护单位卢保山遗址和县级文物保护单位桂花园遗址，集中建设遗址公园、展览馆等，并完成南县不可移动革命文物保护利用工程建设。</w:t>
            </w:r>
          </w:p>
        </w:tc>
        <w:tc>
          <w:tcPr>
            <w:tcW w:w="1375"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2023-2025</w:t>
            </w:r>
          </w:p>
        </w:tc>
        <w:tc>
          <w:tcPr>
            <w:tcW w:w="1203"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49340</w:t>
            </w:r>
          </w:p>
        </w:tc>
        <w:tc>
          <w:tcPr>
            <w:tcW w:w="58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9" w:hRule="atLeast"/>
        </w:trPr>
        <w:tc>
          <w:tcPr>
            <w:tcW w:w="752"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c>
          <w:tcPr>
            <w:tcW w:w="124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南县“三馆一中心”建设项目</w:t>
            </w:r>
          </w:p>
        </w:tc>
        <w:tc>
          <w:tcPr>
            <w:tcW w:w="3865" w:type="dxa"/>
            <w:shd w:val="clear" w:color="auto" w:fill="FFFFFF"/>
            <w:noWrap w:val="0"/>
            <w:vAlign w:val="center"/>
          </w:tcPr>
          <w:p>
            <w:pPr>
              <w:keepNext w:val="0"/>
              <w:keepLines w:val="0"/>
              <w:pageBreakBefore w:val="0"/>
              <w:kinsoku/>
              <w:wordWrap/>
              <w:topLinePunct w:val="0"/>
              <w:autoSpaceDE/>
              <w:autoSpaceDN/>
              <w:bidi w:val="0"/>
              <w:adjustRightInd/>
              <w:spacing w:line="580" w:lineRule="exact"/>
              <w:ind w:firstLine="420" w:firstLineChars="2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三馆”即南县图书馆、文化馆、博物馆，“一中心”为演艺中心。按照国家一级图书馆、一级文化馆标准建设。图书馆包含核心书库、阅览室、少儿活动室、多媒体培训室、会议室、地方资料室等。图书馆设施设备的购置、数字图书馆全套设备。文化馆包含排练厅、艺术展厅、小型剧场、地花鼓演艺中心、各类培训室、非遗展厅、文艺活动厅等。包括文化设施设备的购置、数字文化馆全套设备购置。</w:t>
            </w:r>
          </w:p>
          <w:p>
            <w:pPr>
              <w:keepNext w:val="0"/>
              <w:keepLines w:val="0"/>
              <w:pageBreakBefore w:val="0"/>
              <w:kinsoku/>
              <w:wordWrap/>
              <w:topLinePunct w:val="0"/>
              <w:autoSpaceDE/>
              <w:autoSpaceDN/>
              <w:bidi w:val="0"/>
              <w:adjustRightInd/>
              <w:spacing w:line="580" w:lineRule="exact"/>
              <w:ind w:firstLine="420" w:firstLineChars="200"/>
              <w:textAlignment w:val="auto"/>
              <w:rPr>
                <w:rFonts w:hint="eastAsia" w:ascii="Times New Roman" w:hAnsi="Times New Roman" w:eastAsia="宋体" w:cs="Times New Roman"/>
                <w:color w:val="auto"/>
                <w:lang w:eastAsia="zh-CN"/>
              </w:rPr>
            </w:pPr>
            <w:r>
              <w:rPr>
                <w:rFonts w:hint="eastAsia" w:ascii="仿宋" w:hAnsi="仿宋" w:eastAsia="仿宋" w:cs="仿宋"/>
                <w:color w:val="auto"/>
                <w:szCs w:val="21"/>
                <w:lang w:val="en-US" w:eastAsia="zh-CN"/>
              </w:rPr>
              <w:t>在洗马湖片区按照中型剧场规模（容纳1500人）建设演艺中心，建筑面积8000平方米，包含中型舞台、演出级LED屏、灯光、音响、演员化妆室、休息室、停车场等设施。</w:t>
            </w:r>
          </w:p>
        </w:tc>
        <w:tc>
          <w:tcPr>
            <w:tcW w:w="1375"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2021-2025</w:t>
            </w:r>
          </w:p>
        </w:tc>
        <w:tc>
          <w:tcPr>
            <w:tcW w:w="1203"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24000</w:t>
            </w:r>
          </w:p>
        </w:tc>
        <w:tc>
          <w:tcPr>
            <w:tcW w:w="58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trPr>
        <w:tc>
          <w:tcPr>
            <w:tcW w:w="752"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4</w:t>
            </w:r>
          </w:p>
        </w:tc>
        <w:tc>
          <w:tcPr>
            <w:tcW w:w="1240" w:type="dxa"/>
            <w:shd w:val="clear" w:color="auto" w:fill="FFFFFF"/>
            <w:noWrap w:val="0"/>
            <w:vAlign w:val="center"/>
          </w:tcPr>
          <w:p>
            <w:pPr>
              <w:keepNext w:val="0"/>
              <w:keepLines w:val="0"/>
              <w:pageBreakBefore w:val="0"/>
              <w:kinsoku/>
              <w:wordWrap/>
              <w:topLinePunct w:val="0"/>
              <w:autoSpaceDE/>
              <w:autoSpaceDN/>
              <w:bidi w:val="0"/>
              <w:adjustRightInd/>
              <w:spacing w:line="580" w:lineRule="exact"/>
              <w:textAlignment w:val="auto"/>
              <w:rPr>
                <w:rFonts w:hint="eastAsia" w:ascii="仿宋" w:hAnsi="仿宋" w:eastAsia="仿宋" w:cs="仿宋"/>
                <w:szCs w:val="21"/>
              </w:rPr>
            </w:pPr>
            <w:r>
              <w:rPr>
                <w:rFonts w:hint="eastAsia" w:ascii="仿宋" w:hAnsi="仿宋" w:eastAsia="仿宋" w:cs="仿宋"/>
                <w:szCs w:val="21"/>
              </w:rPr>
              <w:t>南县三仙湖旅游休闲区项目</w:t>
            </w:r>
          </w:p>
        </w:tc>
        <w:tc>
          <w:tcPr>
            <w:tcW w:w="3865" w:type="dxa"/>
            <w:shd w:val="clear" w:color="auto" w:fill="FFFFFF"/>
            <w:noWrap w:val="0"/>
            <w:vAlign w:val="center"/>
          </w:tcPr>
          <w:p>
            <w:pPr>
              <w:keepNext w:val="0"/>
              <w:keepLines w:val="0"/>
              <w:pageBreakBefore w:val="0"/>
              <w:kinsoku/>
              <w:wordWrap/>
              <w:topLinePunct w:val="0"/>
              <w:autoSpaceDE/>
              <w:autoSpaceDN/>
              <w:bidi w:val="0"/>
              <w:adjustRightInd/>
              <w:spacing w:line="580" w:lineRule="exact"/>
              <w:ind w:firstLine="420" w:firstLineChars="200"/>
              <w:textAlignment w:val="auto"/>
              <w:rPr>
                <w:rFonts w:hint="eastAsia" w:ascii="仿宋" w:hAnsi="仿宋" w:eastAsia="仿宋" w:cs="仿宋"/>
                <w:szCs w:val="21"/>
              </w:rPr>
            </w:pPr>
            <w:r>
              <w:rPr>
                <w:rFonts w:hint="eastAsia" w:ascii="仿宋" w:hAnsi="仿宋" w:eastAsia="仿宋" w:cs="仿宋"/>
                <w:szCs w:val="21"/>
                <w:lang w:eastAsia="zh-CN"/>
              </w:rPr>
              <w:t>环三仙湖水库建设</w:t>
            </w:r>
            <w:r>
              <w:rPr>
                <w:rFonts w:hint="eastAsia" w:ascii="仿宋" w:hAnsi="仿宋" w:eastAsia="仿宋" w:cs="仿宋"/>
                <w:szCs w:val="21"/>
                <w:lang w:val="en-US" w:eastAsia="zh-CN"/>
              </w:rPr>
              <w:t>建设</w:t>
            </w:r>
            <w:r>
              <w:rPr>
                <w:rFonts w:hint="eastAsia" w:ascii="仿宋" w:hAnsi="仿宋" w:eastAsia="仿宋" w:cs="仿宋"/>
                <w:szCs w:val="21"/>
              </w:rPr>
              <w:t>包括1.旅游公路；2.马拉松赛道；3.自行车赛道；4.休闲栈道、游步道；5.停车场、游客服务中心、文化娱乐等设施；6.滨河公园；7.自驾车露营基地；8.野钓基地等。</w:t>
            </w:r>
          </w:p>
        </w:tc>
        <w:tc>
          <w:tcPr>
            <w:tcW w:w="1375"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2021-2025</w:t>
            </w:r>
          </w:p>
        </w:tc>
        <w:tc>
          <w:tcPr>
            <w:tcW w:w="1203"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155695</w:t>
            </w:r>
          </w:p>
        </w:tc>
        <w:tc>
          <w:tcPr>
            <w:tcW w:w="58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trPr>
        <w:tc>
          <w:tcPr>
            <w:tcW w:w="752"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5</w:t>
            </w:r>
          </w:p>
        </w:tc>
        <w:tc>
          <w:tcPr>
            <w:tcW w:w="124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南县五环时代全民健身中心</w:t>
            </w:r>
          </w:p>
        </w:tc>
        <w:tc>
          <w:tcPr>
            <w:tcW w:w="3865" w:type="dxa"/>
            <w:shd w:val="clear" w:color="auto" w:fill="FFFFFF"/>
            <w:noWrap w:val="0"/>
            <w:vAlign w:val="center"/>
          </w:tcPr>
          <w:p>
            <w:pPr>
              <w:keepNext w:val="0"/>
              <w:keepLines w:val="0"/>
              <w:pageBreakBefore w:val="0"/>
              <w:kinsoku/>
              <w:wordWrap/>
              <w:topLinePunct w:val="0"/>
              <w:autoSpaceDE/>
              <w:autoSpaceDN/>
              <w:bidi w:val="0"/>
              <w:adjustRightInd/>
              <w:spacing w:line="580" w:lineRule="exact"/>
              <w:ind w:firstLine="420" w:firstLineChars="200"/>
              <w:textAlignment w:val="auto"/>
              <w:rPr>
                <w:rFonts w:ascii="仿宋" w:hAnsi="仿宋" w:eastAsia="仿宋" w:cs="仿宋"/>
                <w:szCs w:val="21"/>
              </w:rPr>
            </w:pPr>
            <w:r>
              <w:rPr>
                <w:rFonts w:hint="eastAsia" w:ascii="仿宋" w:hAnsi="仿宋" w:eastAsia="仿宋" w:cs="仿宋"/>
                <w:szCs w:val="21"/>
              </w:rPr>
              <w:t>用地面积50.02亩，其中体育馆建筑面积约5000平方米。主要建设“一馆多场一园二泳池一步道一配套</w:t>
            </w:r>
            <w:r>
              <w:rPr>
                <w:rFonts w:hint="eastAsia" w:ascii="仿宋" w:hAnsi="仿宋" w:eastAsia="仿宋" w:cs="仿宋"/>
                <w:szCs w:val="21"/>
                <w:lang w:eastAsia="zh-CN"/>
              </w:rPr>
              <w:t>”</w:t>
            </w:r>
            <w:r>
              <w:rPr>
                <w:rFonts w:hint="eastAsia" w:ascii="仿宋" w:hAnsi="仿宋" w:eastAsia="仿宋" w:cs="仿宋"/>
                <w:szCs w:val="21"/>
              </w:rPr>
              <w:t>，即轻钢结构装配式体育馆，室外篮球场、足球场、网球场、门球场、全民健身广场，拼装式游泳池，健身步道，游泳池和商业配套用房。</w:t>
            </w:r>
          </w:p>
        </w:tc>
        <w:tc>
          <w:tcPr>
            <w:tcW w:w="1375"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2021-2022</w:t>
            </w:r>
          </w:p>
        </w:tc>
        <w:tc>
          <w:tcPr>
            <w:tcW w:w="1203"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15000</w:t>
            </w:r>
          </w:p>
        </w:tc>
        <w:tc>
          <w:tcPr>
            <w:tcW w:w="58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trPr>
        <w:tc>
          <w:tcPr>
            <w:tcW w:w="752"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6</w:t>
            </w:r>
          </w:p>
        </w:tc>
        <w:tc>
          <w:tcPr>
            <w:tcW w:w="124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color w:val="auto"/>
                <w:szCs w:val="21"/>
              </w:rPr>
            </w:pPr>
            <w:r>
              <w:rPr>
                <w:rFonts w:hint="eastAsia" w:ascii="仿宋" w:hAnsi="仿宋" w:eastAsia="仿宋" w:cs="仿宋"/>
                <w:color w:val="auto"/>
                <w:szCs w:val="21"/>
              </w:rPr>
              <w:t>琴湖湿地体育健身步道</w:t>
            </w:r>
          </w:p>
        </w:tc>
        <w:tc>
          <w:tcPr>
            <w:tcW w:w="3865" w:type="dxa"/>
            <w:shd w:val="clear" w:color="auto" w:fill="FFFFFF"/>
            <w:noWrap w:val="0"/>
            <w:vAlign w:val="center"/>
          </w:tcPr>
          <w:p>
            <w:pPr>
              <w:keepNext w:val="0"/>
              <w:keepLines w:val="0"/>
              <w:pageBreakBefore w:val="0"/>
              <w:kinsoku/>
              <w:wordWrap/>
              <w:topLinePunct w:val="0"/>
              <w:autoSpaceDE/>
              <w:autoSpaceDN/>
              <w:bidi w:val="0"/>
              <w:adjustRightInd/>
              <w:spacing w:line="58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因地制宜建设符合规范、保护环境的健身步道，</w:t>
            </w:r>
            <w:r>
              <w:rPr>
                <w:rFonts w:hint="eastAsia" w:ascii="仿宋" w:hAnsi="仿宋" w:eastAsia="仿宋" w:cs="仿宋"/>
                <w:color w:val="auto"/>
                <w:szCs w:val="21"/>
                <w:lang w:eastAsia="zh-CN"/>
              </w:rPr>
              <w:t>长度约为</w:t>
            </w:r>
            <w:r>
              <w:rPr>
                <w:rFonts w:hint="eastAsia" w:ascii="仿宋" w:hAnsi="仿宋" w:eastAsia="仿宋" w:cs="仿宋"/>
                <w:color w:val="auto"/>
                <w:szCs w:val="21"/>
                <w:lang w:val="en-US" w:eastAsia="zh-CN"/>
              </w:rPr>
              <w:t>10公里，</w:t>
            </w:r>
            <w:r>
              <w:rPr>
                <w:rFonts w:hint="eastAsia" w:ascii="仿宋" w:hAnsi="仿宋" w:eastAsia="仿宋" w:cs="仿宋"/>
                <w:color w:val="auto"/>
                <w:szCs w:val="21"/>
              </w:rPr>
              <w:t>建设休闲栈道、游步道、停车场、游客服务中心、文化娱乐等设施，并配备适合老年人、残疾人等人群的无障碍设施。</w:t>
            </w:r>
          </w:p>
        </w:tc>
        <w:tc>
          <w:tcPr>
            <w:tcW w:w="1375"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color w:val="auto"/>
                <w:szCs w:val="21"/>
              </w:rPr>
            </w:pPr>
            <w:r>
              <w:rPr>
                <w:rFonts w:hint="eastAsia" w:ascii="仿宋" w:hAnsi="仿宋" w:eastAsia="仿宋" w:cs="仿宋"/>
                <w:color w:val="auto"/>
                <w:szCs w:val="21"/>
              </w:rPr>
              <w:t>202</w:t>
            </w:r>
            <w:r>
              <w:rPr>
                <w:rFonts w:hint="eastAsia" w:ascii="仿宋" w:hAnsi="仿宋" w:eastAsia="仿宋" w:cs="仿宋"/>
                <w:color w:val="auto"/>
                <w:szCs w:val="21"/>
                <w:lang w:val="en-US" w:eastAsia="zh-CN"/>
              </w:rPr>
              <w:t>2</w:t>
            </w:r>
            <w:r>
              <w:rPr>
                <w:rFonts w:hint="eastAsia" w:ascii="仿宋" w:hAnsi="仿宋" w:eastAsia="仿宋" w:cs="仿宋"/>
                <w:color w:val="auto"/>
                <w:szCs w:val="21"/>
              </w:rPr>
              <w:t>-2023</w:t>
            </w:r>
          </w:p>
        </w:tc>
        <w:tc>
          <w:tcPr>
            <w:tcW w:w="1203"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1800</w:t>
            </w:r>
          </w:p>
        </w:tc>
        <w:tc>
          <w:tcPr>
            <w:tcW w:w="58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trPr>
        <w:tc>
          <w:tcPr>
            <w:tcW w:w="752"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color w:val="auto"/>
                <w:szCs w:val="21"/>
              </w:rPr>
            </w:pPr>
            <w:r>
              <w:rPr>
                <w:rFonts w:hint="eastAsia" w:ascii="仿宋" w:hAnsi="仿宋" w:eastAsia="仿宋" w:cs="仿宋"/>
                <w:color w:val="auto"/>
                <w:szCs w:val="21"/>
              </w:rPr>
              <w:t>7</w:t>
            </w:r>
          </w:p>
        </w:tc>
        <w:tc>
          <w:tcPr>
            <w:tcW w:w="124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color w:val="auto"/>
                <w:szCs w:val="21"/>
              </w:rPr>
            </w:pPr>
            <w:r>
              <w:rPr>
                <w:rFonts w:hint="eastAsia" w:ascii="仿宋" w:hAnsi="仿宋" w:eastAsia="仿宋" w:cs="仿宋"/>
                <w:color w:val="auto"/>
                <w:szCs w:val="21"/>
              </w:rPr>
              <w:t>藕池东支沿江风光带项目</w:t>
            </w:r>
          </w:p>
        </w:tc>
        <w:tc>
          <w:tcPr>
            <w:tcW w:w="3865" w:type="dxa"/>
            <w:shd w:val="clear" w:color="auto" w:fill="FFFFFF"/>
            <w:noWrap w:val="0"/>
            <w:vAlign w:val="center"/>
          </w:tcPr>
          <w:p>
            <w:pPr>
              <w:keepNext w:val="0"/>
              <w:keepLines w:val="0"/>
              <w:pageBreakBefore w:val="0"/>
              <w:kinsoku/>
              <w:wordWrap/>
              <w:topLinePunct w:val="0"/>
              <w:autoSpaceDE/>
              <w:autoSpaceDN/>
              <w:bidi w:val="0"/>
              <w:adjustRightInd/>
              <w:spacing w:line="58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lang w:val="en-US" w:eastAsia="zh-CN"/>
              </w:rPr>
              <w:t>该项目</w:t>
            </w:r>
            <w:r>
              <w:rPr>
                <w:rFonts w:hint="eastAsia" w:ascii="仿宋" w:hAnsi="仿宋" w:eastAsia="仿宋" w:cs="仿宋"/>
                <w:color w:val="auto"/>
                <w:szCs w:val="21"/>
                <w:lang w:eastAsia="zh-CN"/>
              </w:rPr>
              <w:t>范围北起南华大桥,南抵罗文花海景区公路, 东抵藕池河 东支河岸，西至南华路、东正街。</w:t>
            </w:r>
            <w:r>
              <w:rPr>
                <w:rFonts w:hint="eastAsia" w:ascii="仿宋" w:hAnsi="仿宋" w:eastAsia="仿宋" w:cs="仿宋"/>
                <w:color w:val="auto"/>
                <w:szCs w:val="21"/>
              </w:rPr>
              <w:t>项目</w:t>
            </w:r>
            <w:r>
              <w:rPr>
                <w:rFonts w:hint="eastAsia" w:ascii="仿宋" w:hAnsi="仿宋" w:eastAsia="仿宋" w:cs="仿宋"/>
                <w:color w:val="auto"/>
                <w:szCs w:val="21"/>
                <w:lang w:val="en-US" w:eastAsia="zh-CN"/>
              </w:rPr>
              <w:t>主要建设</w:t>
            </w:r>
            <w:r>
              <w:rPr>
                <w:rFonts w:hint="eastAsia" w:ascii="仿宋" w:hAnsi="仿宋" w:eastAsia="仿宋" w:cs="仿宋"/>
                <w:color w:val="auto"/>
                <w:szCs w:val="21"/>
              </w:rPr>
              <w:t>包括赤松亭、以及彭德怀南县驻军旧址的保护展示利用，沿江风光带工程及配套附属工程。</w:t>
            </w:r>
          </w:p>
        </w:tc>
        <w:tc>
          <w:tcPr>
            <w:tcW w:w="1375" w:type="dxa"/>
            <w:shd w:val="clear" w:color="auto" w:fill="FFFFFF"/>
            <w:noWrap w:val="0"/>
            <w:vAlign w:val="center"/>
          </w:tcPr>
          <w:p>
            <w:pPr>
              <w:keepNext w:val="0"/>
              <w:keepLines w:val="0"/>
              <w:pageBreakBefore w:val="0"/>
              <w:kinsoku/>
              <w:wordWrap/>
              <w:topLinePunct w:val="0"/>
              <w:autoSpaceDE/>
              <w:autoSpaceDN/>
              <w:bidi w:val="0"/>
              <w:adjustRightInd/>
              <w:spacing w:line="580" w:lineRule="exact"/>
              <w:ind w:firstLine="210" w:firstLineChars="100"/>
              <w:textAlignment w:val="auto"/>
              <w:rPr>
                <w:rFonts w:ascii="仿宋" w:hAnsi="仿宋" w:eastAsia="仿宋" w:cs="仿宋"/>
                <w:color w:val="auto"/>
                <w:szCs w:val="21"/>
              </w:rPr>
            </w:pPr>
            <w:r>
              <w:rPr>
                <w:rFonts w:hint="eastAsia" w:ascii="仿宋" w:hAnsi="仿宋" w:eastAsia="仿宋" w:cs="仿宋"/>
                <w:color w:val="auto"/>
                <w:szCs w:val="21"/>
              </w:rPr>
              <w:t>2021-2023</w:t>
            </w:r>
          </w:p>
        </w:tc>
        <w:tc>
          <w:tcPr>
            <w:tcW w:w="1203" w:type="dxa"/>
            <w:shd w:val="clear" w:color="auto" w:fill="FFFFFF"/>
            <w:noWrap w:val="0"/>
            <w:vAlign w:val="center"/>
          </w:tcPr>
          <w:p>
            <w:pPr>
              <w:keepNext w:val="0"/>
              <w:keepLines w:val="0"/>
              <w:pageBreakBefore w:val="0"/>
              <w:kinsoku/>
              <w:wordWrap/>
              <w:topLinePunct w:val="0"/>
              <w:autoSpaceDE/>
              <w:autoSpaceDN/>
              <w:bidi w:val="0"/>
              <w:adjustRightInd/>
              <w:spacing w:line="580" w:lineRule="exact"/>
              <w:ind w:firstLine="210" w:firstLineChars="100"/>
              <w:textAlignment w:val="auto"/>
              <w:rPr>
                <w:rFonts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0000</w:t>
            </w:r>
          </w:p>
        </w:tc>
        <w:tc>
          <w:tcPr>
            <w:tcW w:w="58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trPr>
        <w:tc>
          <w:tcPr>
            <w:tcW w:w="752" w:type="dxa"/>
            <w:shd w:val="clear" w:color="auto" w:fill="FFFFFF"/>
            <w:noWrap w:val="0"/>
            <w:vAlign w:val="center"/>
          </w:tcPr>
          <w:p>
            <w:pPr>
              <w:keepNext w:val="0"/>
              <w:keepLines w:val="0"/>
              <w:pageBreakBefore w:val="0"/>
              <w:kinsoku/>
              <w:wordWrap/>
              <w:topLinePunct w:val="0"/>
              <w:autoSpaceDE/>
              <w:autoSpaceDN/>
              <w:bidi w:val="0"/>
              <w:adjustRightInd/>
              <w:spacing w:line="580" w:lineRule="exact"/>
              <w:ind w:firstLine="420" w:firstLineChars="200"/>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8</w:t>
            </w:r>
          </w:p>
        </w:tc>
        <w:tc>
          <w:tcPr>
            <w:tcW w:w="1240" w:type="dxa"/>
            <w:shd w:val="clear" w:color="auto" w:fill="FFFFFF"/>
            <w:noWrap w:val="0"/>
            <w:vAlign w:val="center"/>
          </w:tcPr>
          <w:p>
            <w:pPr>
              <w:keepNext w:val="0"/>
              <w:keepLines w:val="0"/>
              <w:pageBreakBefore w:val="0"/>
              <w:kinsoku/>
              <w:wordWrap/>
              <w:topLinePunct w:val="0"/>
              <w:autoSpaceDE/>
              <w:autoSpaceDN/>
              <w:bidi w:val="0"/>
              <w:adjustRightInd/>
              <w:spacing w:line="580" w:lineRule="exact"/>
              <w:textAlignment w:val="auto"/>
              <w:rPr>
                <w:rFonts w:hint="eastAsia" w:ascii="仿宋" w:hAnsi="仿宋" w:eastAsia="仿宋" w:cs="仿宋"/>
                <w:color w:val="auto"/>
                <w:szCs w:val="21"/>
              </w:rPr>
            </w:pPr>
            <w:r>
              <w:rPr>
                <w:rFonts w:hint="eastAsia" w:ascii="仿宋" w:hAnsi="仿宋" w:eastAsia="仿宋" w:cs="仿宋"/>
                <w:color w:val="auto"/>
                <w:szCs w:val="21"/>
              </w:rPr>
              <w:t>德昌体育公园建设</w:t>
            </w:r>
          </w:p>
        </w:tc>
        <w:tc>
          <w:tcPr>
            <w:tcW w:w="3865" w:type="dxa"/>
            <w:shd w:val="clear" w:color="auto" w:fill="FFFFFF"/>
            <w:noWrap w:val="0"/>
            <w:vAlign w:val="center"/>
          </w:tcPr>
          <w:p>
            <w:pPr>
              <w:keepNext w:val="0"/>
              <w:keepLines w:val="0"/>
              <w:pageBreakBefore w:val="0"/>
              <w:kinsoku/>
              <w:wordWrap/>
              <w:topLinePunct w:val="0"/>
              <w:autoSpaceDE/>
              <w:autoSpaceDN/>
              <w:bidi w:val="0"/>
              <w:adjustRightInd/>
              <w:spacing w:line="58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在德昌公园新建五人制足球场1片、排球场2片、羽毛球场2片、网球场1片、儿童活动设施（秋千、滑梯、平衡木、沙坑等，建设面积约为600平方米），改扩建篮球场2片、应急避难所1处、健身步道16公里、健身广场1处和体育公园其他基础设施建设。</w:t>
            </w:r>
          </w:p>
          <w:p>
            <w:pPr>
              <w:keepNext w:val="0"/>
              <w:keepLines w:val="0"/>
              <w:pageBreakBefore w:val="0"/>
              <w:kinsoku/>
              <w:wordWrap/>
              <w:topLinePunct w:val="0"/>
              <w:autoSpaceDE/>
              <w:autoSpaceDN/>
              <w:bidi w:val="0"/>
              <w:adjustRightInd/>
              <w:spacing w:line="580" w:lineRule="exact"/>
              <w:ind w:firstLine="420" w:firstLineChars="200"/>
              <w:textAlignment w:val="auto"/>
              <w:rPr>
                <w:rFonts w:hint="eastAsia" w:ascii="仿宋" w:hAnsi="仿宋" w:eastAsia="仿宋" w:cs="仿宋"/>
                <w:color w:val="auto"/>
                <w:szCs w:val="21"/>
              </w:rPr>
            </w:pPr>
          </w:p>
        </w:tc>
        <w:tc>
          <w:tcPr>
            <w:tcW w:w="1375"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2022-2023</w:t>
            </w:r>
          </w:p>
        </w:tc>
        <w:tc>
          <w:tcPr>
            <w:tcW w:w="1203"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3500</w:t>
            </w:r>
          </w:p>
        </w:tc>
        <w:tc>
          <w:tcPr>
            <w:tcW w:w="58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trPr>
        <w:tc>
          <w:tcPr>
            <w:tcW w:w="752" w:type="dxa"/>
            <w:shd w:val="clear" w:color="auto" w:fill="FFFFFF"/>
            <w:noWrap w:val="0"/>
            <w:vAlign w:val="center"/>
          </w:tcPr>
          <w:p>
            <w:pPr>
              <w:keepNext w:val="0"/>
              <w:keepLines w:val="0"/>
              <w:pageBreakBefore w:val="0"/>
              <w:kinsoku/>
              <w:wordWrap/>
              <w:topLinePunct w:val="0"/>
              <w:autoSpaceDE/>
              <w:autoSpaceDN/>
              <w:bidi w:val="0"/>
              <w:adjustRightInd/>
              <w:spacing w:line="580" w:lineRule="exact"/>
              <w:ind w:firstLine="210" w:firstLineChars="100"/>
              <w:jc w:val="both"/>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9</w:t>
            </w:r>
          </w:p>
        </w:tc>
        <w:tc>
          <w:tcPr>
            <w:tcW w:w="1240" w:type="dxa"/>
            <w:shd w:val="clear" w:color="auto" w:fill="FFFFFF"/>
            <w:noWrap w:val="0"/>
            <w:vAlign w:val="center"/>
          </w:tcPr>
          <w:p>
            <w:pPr>
              <w:keepNext w:val="0"/>
              <w:keepLines w:val="0"/>
              <w:pageBreakBefore w:val="0"/>
              <w:kinsoku/>
              <w:wordWrap/>
              <w:topLinePunct w:val="0"/>
              <w:autoSpaceDE/>
              <w:autoSpaceDN/>
              <w:bidi w:val="0"/>
              <w:adjustRightInd/>
              <w:spacing w:line="580" w:lineRule="exact"/>
              <w:textAlignment w:val="auto"/>
              <w:rPr>
                <w:rFonts w:hint="eastAsia" w:ascii="仿宋" w:hAnsi="仿宋" w:eastAsia="仿宋" w:cs="仿宋"/>
                <w:color w:val="auto"/>
                <w:szCs w:val="21"/>
              </w:rPr>
            </w:pPr>
            <w:r>
              <w:rPr>
                <w:rFonts w:hint="eastAsia" w:ascii="仿宋" w:hAnsi="仿宋" w:eastAsia="仿宋" w:cs="仿宋"/>
                <w:color w:val="auto"/>
                <w:szCs w:val="21"/>
              </w:rPr>
              <w:t>东茅自行车道建设项目</w:t>
            </w:r>
          </w:p>
        </w:tc>
        <w:tc>
          <w:tcPr>
            <w:tcW w:w="3865" w:type="dxa"/>
            <w:shd w:val="clear" w:color="auto" w:fill="FFFFFF"/>
            <w:noWrap w:val="0"/>
            <w:vAlign w:val="center"/>
          </w:tcPr>
          <w:p>
            <w:pPr>
              <w:keepNext w:val="0"/>
              <w:keepLines w:val="0"/>
              <w:pageBreakBefore w:val="0"/>
              <w:kinsoku/>
              <w:wordWrap/>
              <w:topLinePunct w:val="0"/>
              <w:autoSpaceDE/>
              <w:autoSpaceDN/>
              <w:bidi w:val="0"/>
              <w:adjustRightInd/>
              <w:spacing w:line="58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项目起于南县乌嘴乡又东村，与北洋大桥相接，沿三仙湖平原水库东大堤，经青树嘴至终点茅草街镇全丰村，项目全长约为40公里。</w:t>
            </w:r>
          </w:p>
        </w:tc>
        <w:tc>
          <w:tcPr>
            <w:tcW w:w="1375"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color w:val="auto"/>
                <w:szCs w:val="21"/>
              </w:rPr>
            </w:pPr>
            <w:r>
              <w:rPr>
                <w:rFonts w:hint="eastAsia" w:ascii="仿宋" w:hAnsi="仿宋" w:eastAsia="仿宋" w:cs="仿宋"/>
                <w:color w:val="auto"/>
                <w:szCs w:val="21"/>
              </w:rPr>
              <w:t>2022-2023</w:t>
            </w:r>
          </w:p>
        </w:tc>
        <w:tc>
          <w:tcPr>
            <w:tcW w:w="1203"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color w:val="auto"/>
                <w:szCs w:val="21"/>
              </w:rPr>
            </w:pPr>
            <w:r>
              <w:rPr>
                <w:rFonts w:hint="eastAsia" w:ascii="仿宋" w:hAnsi="仿宋" w:eastAsia="仿宋" w:cs="仿宋"/>
                <w:color w:val="auto"/>
                <w:szCs w:val="21"/>
              </w:rPr>
              <w:t>2000</w:t>
            </w:r>
          </w:p>
        </w:tc>
        <w:tc>
          <w:tcPr>
            <w:tcW w:w="58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trPr>
        <w:tc>
          <w:tcPr>
            <w:tcW w:w="752" w:type="dxa"/>
            <w:shd w:val="clear" w:color="auto" w:fill="FFFFFF"/>
            <w:noWrap w:val="0"/>
            <w:vAlign w:val="center"/>
          </w:tcPr>
          <w:p>
            <w:pPr>
              <w:keepNext w:val="0"/>
              <w:keepLines w:val="0"/>
              <w:pageBreakBefore w:val="0"/>
              <w:kinsoku/>
              <w:wordWrap/>
              <w:topLinePunct w:val="0"/>
              <w:autoSpaceDE/>
              <w:autoSpaceDN/>
              <w:bidi w:val="0"/>
              <w:adjustRightInd/>
              <w:spacing w:line="580" w:lineRule="exact"/>
              <w:ind w:firstLine="210" w:firstLineChars="100"/>
              <w:jc w:val="both"/>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10</w:t>
            </w:r>
          </w:p>
        </w:tc>
        <w:tc>
          <w:tcPr>
            <w:tcW w:w="1240" w:type="dxa"/>
            <w:shd w:val="clear" w:color="auto" w:fill="FFFFFF"/>
            <w:noWrap w:val="0"/>
            <w:vAlign w:val="center"/>
          </w:tcPr>
          <w:p>
            <w:pPr>
              <w:keepNext w:val="0"/>
              <w:keepLines w:val="0"/>
              <w:pageBreakBefore w:val="0"/>
              <w:kinsoku/>
              <w:wordWrap/>
              <w:topLinePunct w:val="0"/>
              <w:autoSpaceDE/>
              <w:autoSpaceDN/>
              <w:bidi w:val="0"/>
              <w:adjustRightInd/>
              <w:spacing w:line="580" w:lineRule="exact"/>
              <w:textAlignment w:val="auto"/>
              <w:rPr>
                <w:rFonts w:hint="eastAsia" w:ascii="仿宋" w:hAnsi="仿宋" w:eastAsia="仿宋" w:cs="仿宋"/>
                <w:color w:val="auto"/>
                <w:szCs w:val="21"/>
              </w:rPr>
            </w:pPr>
            <w:r>
              <w:rPr>
                <w:rFonts w:hint="eastAsia" w:ascii="仿宋" w:hAnsi="仿宋" w:eastAsia="仿宋" w:cs="仿宋"/>
                <w:color w:val="auto"/>
                <w:szCs w:val="21"/>
              </w:rPr>
              <w:t>南县应急广播体系建设项目</w:t>
            </w:r>
          </w:p>
        </w:tc>
        <w:tc>
          <w:tcPr>
            <w:tcW w:w="3865" w:type="dxa"/>
            <w:shd w:val="clear" w:color="auto" w:fill="FFFFFF"/>
            <w:noWrap w:val="0"/>
            <w:vAlign w:val="center"/>
          </w:tcPr>
          <w:p>
            <w:pPr>
              <w:keepNext w:val="0"/>
              <w:keepLines w:val="0"/>
              <w:pageBreakBefore w:val="0"/>
              <w:kinsoku/>
              <w:wordWrap/>
              <w:topLinePunct w:val="0"/>
              <w:autoSpaceDE/>
              <w:autoSpaceDN/>
              <w:bidi w:val="0"/>
              <w:adjustRightInd/>
              <w:spacing w:line="58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 xml:space="preserve">  搭建县级应急广播平台，搭建34个社区应急广播平台，对132个村级“村村响”平台进行补点。横向与应急</w:t>
            </w:r>
            <w:r>
              <w:rPr>
                <w:rFonts w:hint="eastAsia" w:ascii="仿宋" w:hAnsi="仿宋" w:eastAsia="仿宋" w:cs="仿宋"/>
                <w:color w:val="auto"/>
                <w:szCs w:val="21"/>
                <w:lang w:eastAsia="zh-CN"/>
              </w:rPr>
              <w:t>局</w:t>
            </w:r>
            <w:r>
              <w:rPr>
                <w:rFonts w:hint="eastAsia" w:ascii="仿宋" w:hAnsi="仿宋" w:eastAsia="仿宋" w:cs="仿宋"/>
                <w:color w:val="auto"/>
                <w:szCs w:val="21"/>
              </w:rPr>
              <w:t>、气象</w:t>
            </w:r>
            <w:r>
              <w:rPr>
                <w:rFonts w:hint="eastAsia" w:ascii="仿宋" w:hAnsi="仿宋" w:eastAsia="仿宋" w:cs="仿宋"/>
                <w:color w:val="auto"/>
                <w:szCs w:val="21"/>
                <w:lang w:eastAsia="zh-CN"/>
              </w:rPr>
              <w:t>局</w:t>
            </w:r>
            <w:r>
              <w:rPr>
                <w:rFonts w:hint="eastAsia" w:ascii="仿宋" w:hAnsi="仿宋" w:eastAsia="仿宋" w:cs="仿宋"/>
                <w:color w:val="auto"/>
                <w:szCs w:val="21"/>
              </w:rPr>
              <w:t>、消防</w:t>
            </w:r>
            <w:r>
              <w:rPr>
                <w:rFonts w:hint="eastAsia" w:ascii="仿宋" w:hAnsi="仿宋" w:eastAsia="仿宋" w:cs="仿宋"/>
                <w:color w:val="auto"/>
                <w:szCs w:val="21"/>
                <w:lang w:eastAsia="zh-CN"/>
              </w:rPr>
              <w:t>大队</w:t>
            </w:r>
            <w:r>
              <w:rPr>
                <w:rFonts w:hint="eastAsia" w:ascii="仿宋" w:hAnsi="仿宋" w:eastAsia="仿宋" w:cs="仿宋"/>
                <w:color w:val="auto"/>
                <w:szCs w:val="21"/>
              </w:rPr>
              <w:t>等9部门联动，纵向对接中央、省、市、县、乡镇、村（社区）6级联通。</w:t>
            </w:r>
          </w:p>
        </w:tc>
        <w:tc>
          <w:tcPr>
            <w:tcW w:w="1375"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2022-2023</w:t>
            </w:r>
          </w:p>
        </w:tc>
        <w:tc>
          <w:tcPr>
            <w:tcW w:w="1203"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300</w:t>
            </w:r>
          </w:p>
        </w:tc>
        <w:tc>
          <w:tcPr>
            <w:tcW w:w="58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trPr>
        <w:tc>
          <w:tcPr>
            <w:tcW w:w="752" w:type="dxa"/>
            <w:shd w:val="clear" w:color="auto" w:fill="FFFFFF"/>
            <w:noWrap w:val="0"/>
            <w:vAlign w:val="center"/>
          </w:tcPr>
          <w:p>
            <w:pPr>
              <w:keepNext w:val="0"/>
              <w:keepLines w:val="0"/>
              <w:pageBreakBefore w:val="0"/>
              <w:kinsoku/>
              <w:wordWrap/>
              <w:topLinePunct w:val="0"/>
              <w:autoSpaceDE/>
              <w:autoSpaceDN/>
              <w:bidi w:val="0"/>
              <w:adjustRightInd/>
              <w:spacing w:line="580" w:lineRule="exact"/>
              <w:ind w:firstLine="210" w:firstLineChars="100"/>
              <w:jc w:val="both"/>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rPr>
              <w:t>1</w:t>
            </w:r>
            <w:r>
              <w:rPr>
                <w:rFonts w:hint="eastAsia" w:ascii="仿宋" w:hAnsi="仿宋" w:eastAsia="仿宋" w:cs="仿宋"/>
                <w:color w:val="auto"/>
                <w:szCs w:val="21"/>
                <w:lang w:val="en-US" w:eastAsia="zh-CN"/>
              </w:rPr>
              <w:t>1</w:t>
            </w:r>
          </w:p>
        </w:tc>
        <w:tc>
          <w:tcPr>
            <w:tcW w:w="1240" w:type="dxa"/>
            <w:shd w:val="clear" w:color="auto" w:fill="FFFFFF"/>
            <w:noWrap w:val="0"/>
            <w:vAlign w:val="center"/>
          </w:tcPr>
          <w:p>
            <w:pPr>
              <w:keepNext w:val="0"/>
              <w:keepLines w:val="0"/>
              <w:pageBreakBefore w:val="0"/>
              <w:kinsoku/>
              <w:wordWrap/>
              <w:topLinePunct w:val="0"/>
              <w:autoSpaceDE/>
              <w:autoSpaceDN/>
              <w:bidi w:val="0"/>
              <w:adjustRightInd/>
              <w:spacing w:line="580" w:lineRule="exact"/>
              <w:textAlignment w:val="auto"/>
              <w:rPr>
                <w:rFonts w:hint="eastAsia" w:ascii="仿宋" w:hAnsi="仿宋" w:eastAsia="仿宋" w:cs="仿宋"/>
                <w:color w:val="auto"/>
                <w:szCs w:val="21"/>
              </w:rPr>
            </w:pPr>
            <w:r>
              <w:rPr>
                <w:rFonts w:hint="eastAsia" w:ascii="仿宋" w:hAnsi="仿宋" w:eastAsia="仿宋" w:cs="仿宋"/>
                <w:color w:val="auto"/>
                <w:szCs w:val="21"/>
              </w:rPr>
              <w:t>罗文花海涂鸦艺术村提质改造工程</w:t>
            </w:r>
          </w:p>
        </w:tc>
        <w:tc>
          <w:tcPr>
            <w:tcW w:w="3865" w:type="dxa"/>
            <w:shd w:val="clear" w:color="auto" w:fill="FFFFFF"/>
            <w:noWrap w:val="0"/>
            <w:vAlign w:val="center"/>
          </w:tcPr>
          <w:p>
            <w:pPr>
              <w:keepNext w:val="0"/>
              <w:keepLines w:val="0"/>
              <w:pageBreakBefore w:val="0"/>
              <w:kinsoku/>
              <w:wordWrap/>
              <w:topLinePunct w:val="0"/>
              <w:autoSpaceDE/>
              <w:autoSpaceDN/>
              <w:bidi w:val="0"/>
              <w:adjustRightInd/>
              <w:spacing w:line="58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罗文花海涂鸦艺术村提质改造</w:t>
            </w:r>
            <w:r>
              <w:rPr>
                <w:rFonts w:hint="eastAsia" w:ascii="仿宋" w:hAnsi="仿宋" w:eastAsia="仿宋" w:cs="仿宋"/>
                <w:color w:val="auto"/>
                <w:szCs w:val="21"/>
                <w:lang w:val="en-US" w:eastAsia="zh-CN"/>
              </w:rPr>
              <w:t>项目包括</w:t>
            </w:r>
            <w:r>
              <w:rPr>
                <w:rFonts w:hint="eastAsia" w:ascii="仿宋" w:hAnsi="仿宋" w:eastAsia="仿宋" w:cs="仿宋"/>
                <w:color w:val="auto"/>
                <w:szCs w:val="21"/>
              </w:rPr>
              <w:t>旅游基础设施进一步完善；花海景观打造；夜游系统升级；民宿爱情主题公园等改造。完成罗文商业街区打造、特色美食商家引进及美食街基础配套设施建设。引入数字艺术提升涂鸦文化；观影艺术配套设施建设；打造罗文</w:t>
            </w:r>
            <w:r>
              <w:rPr>
                <w:rFonts w:hint="eastAsia" w:ascii="仿宋" w:hAnsi="仿宋" w:eastAsia="仿宋" w:cs="仿宋"/>
                <w:color w:val="auto"/>
                <w:szCs w:val="21"/>
                <w:lang w:eastAsia="zh-CN"/>
              </w:rPr>
              <w:t>光影</w:t>
            </w:r>
            <w:r>
              <w:rPr>
                <w:rFonts w:hint="eastAsia" w:ascii="仿宋" w:hAnsi="仿宋" w:eastAsia="仿宋" w:cs="仿宋"/>
                <w:color w:val="auto"/>
                <w:szCs w:val="21"/>
              </w:rPr>
              <w:t>夜文旅小镇。</w:t>
            </w:r>
          </w:p>
        </w:tc>
        <w:tc>
          <w:tcPr>
            <w:tcW w:w="1375"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2022-2025</w:t>
            </w:r>
          </w:p>
        </w:tc>
        <w:tc>
          <w:tcPr>
            <w:tcW w:w="1203"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17500</w:t>
            </w:r>
          </w:p>
        </w:tc>
        <w:tc>
          <w:tcPr>
            <w:tcW w:w="58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938" w:hRule="atLeast"/>
        </w:trPr>
        <w:tc>
          <w:tcPr>
            <w:tcW w:w="752" w:type="dxa"/>
            <w:shd w:val="clear" w:color="auto" w:fill="FFFFFF"/>
            <w:noWrap w:val="0"/>
            <w:vAlign w:val="center"/>
          </w:tcPr>
          <w:p>
            <w:pPr>
              <w:keepNext w:val="0"/>
              <w:keepLines w:val="0"/>
              <w:pageBreakBefore w:val="0"/>
              <w:kinsoku/>
              <w:wordWrap/>
              <w:topLinePunct w:val="0"/>
              <w:autoSpaceDE/>
              <w:autoSpaceDN/>
              <w:bidi w:val="0"/>
              <w:adjustRightInd/>
              <w:spacing w:line="580" w:lineRule="exact"/>
              <w:ind w:firstLine="210" w:firstLineChars="100"/>
              <w:jc w:val="both"/>
              <w:textAlignment w:val="auto"/>
              <w:rPr>
                <w:rFonts w:hint="eastAsia" w:ascii="仿宋" w:hAnsi="仿宋" w:eastAsia="仿宋" w:cs="仿宋"/>
                <w:color w:val="auto"/>
                <w:szCs w:val="21"/>
                <w:lang w:eastAsia="zh-CN"/>
              </w:rPr>
            </w:pPr>
            <w:r>
              <w:rPr>
                <w:rFonts w:hint="eastAsia" w:ascii="仿宋" w:hAnsi="仿宋" w:eastAsia="仿宋" w:cs="仿宋"/>
                <w:color w:val="auto"/>
                <w:szCs w:val="21"/>
              </w:rPr>
              <w:t>1</w:t>
            </w:r>
            <w:r>
              <w:rPr>
                <w:rFonts w:hint="eastAsia" w:ascii="仿宋" w:hAnsi="仿宋" w:eastAsia="仿宋" w:cs="仿宋"/>
                <w:color w:val="auto"/>
                <w:szCs w:val="21"/>
                <w:lang w:val="en-US" w:eastAsia="zh-CN"/>
              </w:rPr>
              <w:t>2</w:t>
            </w:r>
          </w:p>
        </w:tc>
        <w:tc>
          <w:tcPr>
            <w:tcW w:w="1240" w:type="dxa"/>
            <w:shd w:val="clear" w:color="auto" w:fill="FFFFFF"/>
            <w:noWrap w:val="0"/>
            <w:vAlign w:val="center"/>
          </w:tcPr>
          <w:p>
            <w:pPr>
              <w:keepNext w:val="0"/>
              <w:keepLines w:val="0"/>
              <w:pageBreakBefore w:val="0"/>
              <w:kinsoku/>
              <w:wordWrap/>
              <w:topLinePunct w:val="0"/>
              <w:autoSpaceDE/>
              <w:autoSpaceDN/>
              <w:bidi w:val="0"/>
              <w:adjustRightInd/>
              <w:spacing w:line="580" w:lineRule="exact"/>
              <w:textAlignment w:val="auto"/>
              <w:rPr>
                <w:rFonts w:hint="eastAsia" w:ascii="仿宋" w:hAnsi="仿宋" w:eastAsia="仿宋" w:cs="仿宋"/>
                <w:color w:val="auto"/>
                <w:szCs w:val="21"/>
              </w:rPr>
            </w:pPr>
            <w:r>
              <w:rPr>
                <w:rFonts w:hint="eastAsia" w:ascii="仿宋" w:hAnsi="仿宋" w:eastAsia="仿宋" w:cs="仿宋"/>
                <w:color w:val="auto"/>
                <w:szCs w:val="21"/>
              </w:rPr>
              <w:t>南山生态稻虾第一村</w:t>
            </w:r>
          </w:p>
        </w:tc>
        <w:tc>
          <w:tcPr>
            <w:tcW w:w="3865" w:type="dxa"/>
            <w:shd w:val="clear" w:color="auto" w:fill="FFFFFF"/>
            <w:noWrap w:val="0"/>
            <w:vAlign w:val="center"/>
          </w:tcPr>
          <w:p>
            <w:pPr>
              <w:keepNext w:val="0"/>
              <w:keepLines w:val="0"/>
              <w:pageBreakBefore w:val="0"/>
              <w:kinsoku/>
              <w:wordWrap/>
              <w:topLinePunct w:val="0"/>
              <w:autoSpaceDE/>
              <w:autoSpaceDN/>
              <w:bidi w:val="0"/>
              <w:adjustRightInd/>
              <w:spacing w:line="58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生态稻虾第一村产业示范园项目依托“中国小龙虾养殖加工研发中心”，研发培育良种小龙虾种苗、养殖优质小龙虾；依托“巴拿马太平洋万国博览会金奖—南</w:t>
            </w:r>
            <w:r>
              <w:rPr>
                <w:rFonts w:hint="eastAsia" w:ascii="仿宋" w:hAnsi="仿宋" w:eastAsia="仿宋" w:cs="仿宋"/>
                <w:color w:val="auto"/>
                <w:szCs w:val="21"/>
                <w:lang w:eastAsia="zh-CN"/>
              </w:rPr>
              <w:t>县</w:t>
            </w:r>
            <w:r>
              <w:rPr>
                <w:rFonts w:hint="eastAsia" w:ascii="仿宋" w:hAnsi="仿宋" w:eastAsia="仿宋" w:cs="仿宋"/>
                <w:color w:val="auto"/>
                <w:szCs w:val="21"/>
              </w:rPr>
              <w:t>稻虾米”、湖南省农业科学院南县稻虾米产业研究院，维护、提升好稻虾米品牌；依托南山村、琴湖</w:t>
            </w:r>
            <w:r>
              <w:rPr>
                <w:rFonts w:hint="eastAsia" w:ascii="仿宋" w:hAnsi="仿宋" w:eastAsia="仿宋" w:cs="仿宋"/>
                <w:color w:val="auto"/>
                <w:szCs w:val="21"/>
                <w:lang w:eastAsia="zh-CN"/>
              </w:rPr>
              <w:t>湿地公园</w:t>
            </w:r>
            <w:r>
              <w:rPr>
                <w:rFonts w:hint="eastAsia" w:ascii="仿宋" w:hAnsi="仿宋" w:eastAsia="仿宋" w:cs="仿宋"/>
                <w:color w:val="auto"/>
                <w:szCs w:val="21"/>
              </w:rPr>
              <w:t>、稻虾园、傅家矶等自然资源，推动乡村旅游，达到一、二、三产业高度融合。</w:t>
            </w:r>
          </w:p>
        </w:tc>
        <w:tc>
          <w:tcPr>
            <w:tcW w:w="1375"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2021-2024</w:t>
            </w:r>
          </w:p>
        </w:tc>
        <w:tc>
          <w:tcPr>
            <w:tcW w:w="1203"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20000</w:t>
            </w:r>
          </w:p>
        </w:tc>
        <w:tc>
          <w:tcPr>
            <w:tcW w:w="58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938" w:hRule="atLeast"/>
        </w:trPr>
        <w:tc>
          <w:tcPr>
            <w:tcW w:w="752" w:type="dxa"/>
            <w:shd w:val="clear" w:color="auto" w:fill="FFFFFF"/>
            <w:noWrap w:val="0"/>
            <w:vAlign w:val="center"/>
          </w:tcPr>
          <w:p>
            <w:pPr>
              <w:keepNext w:val="0"/>
              <w:keepLines w:val="0"/>
              <w:pageBreakBefore w:val="0"/>
              <w:kinsoku/>
              <w:wordWrap/>
              <w:topLinePunct w:val="0"/>
              <w:autoSpaceDE/>
              <w:autoSpaceDN/>
              <w:bidi w:val="0"/>
              <w:adjustRightInd/>
              <w:spacing w:line="580" w:lineRule="exact"/>
              <w:ind w:firstLine="210" w:firstLineChars="100"/>
              <w:jc w:val="both"/>
              <w:textAlignment w:val="auto"/>
              <w:rPr>
                <w:rFonts w:hint="eastAsia" w:ascii="仿宋" w:hAnsi="仿宋" w:eastAsia="仿宋" w:cs="仿宋"/>
                <w:color w:val="auto"/>
                <w:szCs w:val="21"/>
                <w:lang w:eastAsia="zh-CN"/>
              </w:rPr>
            </w:pPr>
            <w:r>
              <w:rPr>
                <w:rFonts w:hint="eastAsia" w:ascii="仿宋" w:hAnsi="仿宋" w:eastAsia="仿宋" w:cs="仿宋"/>
                <w:color w:val="auto"/>
                <w:szCs w:val="21"/>
              </w:rPr>
              <w:t>1</w:t>
            </w:r>
            <w:r>
              <w:rPr>
                <w:rFonts w:hint="eastAsia" w:ascii="仿宋" w:hAnsi="仿宋" w:eastAsia="仿宋" w:cs="仿宋"/>
                <w:color w:val="auto"/>
                <w:szCs w:val="21"/>
                <w:lang w:val="en-US" w:eastAsia="zh-CN"/>
              </w:rPr>
              <w:t>3</w:t>
            </w:r>
          </w:p>
        </w:tc>
        <w:tc>
          <w:tcPr>
            <w:tcW w:w="1240" w:type="dxa"/>
            <w:shd w:val="clear" w:color="auto" w:fill="FFFFFF"/>
            <w:noWrap w:val="0"/>
            <w:vAlign w:val="center"/>
          </w:tcPr>
          <w:p>
            <w:pPr>
              <w:keepNext w:val="0"/>
              <w:keepLines w:val="0"/>
              <w:pageBreakBefore w:val="0"/>
              <w:kinsoku/>
              <w:wordWrap/>
              <w:topLinePunct w:val="0"/>
              <w:autoSpaceDE/>
              <w:autoSpaceDN/>
              <w:bidi w:val="0"/>
              <w:adjustRightInd/>
              <w:spacing w:line="580" w:lineRule="exact"/>
              <w:textAlignment w:val="auto"/>
              <w:rPr>
                <w:rFonts w:hint="eastAsia" w:ascii="仿宋" w:hAnsi="仿宋" w:eastAsia="仿宋" w:cs="仿宋"/>
                <w:color w:val="auto"/>
                <w:szCs w:val="21"/>
              </w:rPr>
            </w:pPr>
            <w:r>
              <w:rPr>
                <w:rFonts w:hint="eastAsia" w:ascii="仿宋" w:hAnsi="仿宋" w:eastAsia="仿宋" w:cs="仿宋"/>
                <w:color w:val="auto"/>
                <w:szCs w:val="21"/>
              </w:rPr>
              <w:t>天星洲自然生态旅游建设项目</w:t>
            </w:r>
          </w:p>
        </w:tc>
        <w:tc>
          <w:tcPr>
            <w:tcW w:w="3865" w:type="dxa"/>
            <w:shd w:val="clear" w:color="auto" w:fill="FFFFFF"/>
            <w:noWrap w:val="0"/>
            <w:vAlign w:val="center"/>
          </w:tcPr>
          <w:p>
            <w:pPr>
              <w:keepNext w:val="0"/>
              <w:keepLines w:val="0"/>
              <w:pageBreakBefore w:val="0"/>
              <w:kinsoku/>
              <w:wordWrap/>
              <w:topLinePunct w:val="0"/>
              <w:autoSpaceDE/>
              <w:autoSpaceDN/>
              <w:bidi w:val="0"/>
              <w:adjustRightInd/>
              <w:spacing w:line="580" w:lineRule="exact"/>
              <w:ind w:firstLine="420" w:firstLineChars="200"/>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rPr>
              <w:t>在做好天星洲湿地保护的基础上，做好生态景观规划，</w:t>
            </w:r>
            <w:r>
              <w:rPr>
                <w:rFonts w:hint="eastAsia" w:ascii="仿宋" w:hAnsi="仿宋" w:eastAsia="仿宋" w:cs="仿宋"/>
                <w:color w:val="auto"/>
                <w:szCs w:val="21"/>
                <w:lang w:val="en-US" w:eastAsia="zh-CN"/>
              </w:rPr>
              <w:t>计划</w:t>
            </w:r>
            <w:r>
              <w:rPr>
                <w:rFonts w:hint="eastAsia" w:ascii="仿宋" w:hAnsi="仿宋" w:eastAsia="仿宋" w:cs="仿宋"/>
                <w:color w:val="auto"/>
                <w:szCs w:val="21"/>
              </w:rPr>
              <w:t>用地</w:t>
            </w:r>
            <w:r>
              <w:rPr>
                <w:rFonts w:hint="eastAsia" w:ascii="仿宋" w:hAnsi="仿宋" w:eastAsia="仿宋" w:cs="仿宋"/>
                <w:color w:val="auto"/>
                <w:szCs w:val="21"/>
                <w:lang w:val="en-US" w:eastAsia="zh-CN"/>
              </w:rPr>
              <w:t>120亩，</w:t>
            </w:r>
            <w:r>
              <w:rPr>
                <w:rFonts w:hint="eastAsia" w:ascii="仿宋" w:hAnsi="仿宋" w:eastAsia="仿宋" w:cs="仿宋"/>
                <w:color w:val="auto"/>
                <w:szCs w:val="21"/>
              </w:rPr>
              <w:t>开发一些休闲娱乐、科普教育、户外观鸟等自然湿地体验型旅游项目，做好</w:t>
            </w:r>
            <w:r>
              <w:rPr>
                <w:rFonts w:hint="eastAsia" w:ascii="仿宋" w:hAnsi="仿宋" w:eastAsia="仿宋" w:cs="仿宋"/>
                <w:color w:val="auto"/>
                <w:szCs w:val="21"/>
                <w:lang w:eastAsia="zh-CN"/>
              </w:rPr>
              <w:t>民宿</w:t>
            </w:r>
            <w:r>
              <w:rPr>
                <w:rFonts w:hint="eastAsia" w:ascii="仿宋" w:hAnsi="仿宋" w:eastAsia="仿宋" w:cs="仿宋"/>
                <w:color w:val="auto"/>
                <w:szCs w:val="21"/>
              </w:rPr>
              <w:t>、停车</w:t>
            </w:r>
            <w:r>
              <w:rPr>
                <w:rFonts w:hint="eastAsia" w:ascii="仿宋" w:hAnsi="仿宋" w:eastAsia="仿宋" w:cs="仿宋"/>
                <w:color w:val="auto"/>
                <w:szCs w:val="21"/>
                <w:lang w:eastAsia="zh-CN"/>
              </w:rPr>
              <w:t>、游客服务中心</w:t>
            </w:r>
            <w:r>
              <w:rPr>
                <w:rFonts w:hint="eastAsia" w:ascii="仿宋" w:hAnsi="仿宋" w:eastAsia="仿宋" w:cs="仿宋"/>
                <w:color w:val="auto"/>
                <w:szCs w:val="21"/>
              </w:rPr>
              <w:t>等基础设施建设，把天星洲打造成国家级研学基地、青少年运动娱乐基地、中青年休闲度假生态旅游基地</w:t>
            </w:r>
            <w:r>
              <w:rPr>
                <w:rFonts w:hint="eastAsia" w:ascii="仿宋" w:hAnsi="仿宋" w:eastAsia="仿宋" w:cs="仿宋"/>
                <w:color w:val="auto"/>
                <w:szCs w:val="21"/>
                <w:lang w:eastAsia="zh-CN"/>
              </w:rPr>
              <w:t>，国家</w:t>
            </w:r>
            <w:r>
              <w:rPr>
                <w:rFonts w:hint="eastAsia" w:ascii="仿宋" w:hAnsi="仿宋" w:eastAsia="仿宋" w:cs="仿宋"/>
                <w:color w:val="auto"/>
                <w:szCs w:val="21"/>
                <w:lang w:val="en-US" w:eastAsia="zh-CN"/>
              </w:rPr>
              <w:t>3A级景区。</w:t>
            </w:r>
          </w:p>
        </w:tc>
        <w:tc>
          <w:tcPr>
            <w:tcW w:w="1375"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2022-2030</w:t>
            </w:r>
          </w:p>
        </w:tc>
        <w:tc>
          <w:tcPr>
            <w:tcW w:w="1203"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szCs w:val="21"/>
              </w:rPr>
            </w:pPr>
            <w:r>
              <w:rPr>
                <w:rFonts w:hint="eastAsia" w:ascii="仿宋" w:hAnsi="仿宋" w:eastAsia="仿宋" w:cs="仿宋"/>
                <w:szCs w:val="21"/>
              </w:rPr>
              <w:t>60000</w:t>
            </w:r>
          </w:p>
        </w:tc>
        <w:tc>
          <w:tcPr>
            <w:tcW w:w="58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938" w:hRule="atLeast"/>
        </w:trPr>
        <w:tc>
          <w:tcPr>
            <w:tcW w:w="752"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14</w:t>
            </w:r>
          </w:p>
        </w:tc>
        <w:tc>
          <w:tcPr>
            <w:tcW w:w="124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东胜村“光辉的足迹——毛泽东与南县”红色文化教育基地</w:t>
            </w:r>
          </w:p>
        </w:tc>
        <w:tc>
          <w:tcPr>
            <w:tcW w:w="386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both"/>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 w:hAnsi="仿宋" w:eastAsia="仿宋" w:cs="仿宋"/>
                <w:color w:val="auto"/>
                <w:szCs w:val="21"/>
                <w:lang w:val="en-US" w:eastAsia="zh-CN"/>
              </w:rPr>
              <w:t>项目由湖南助农农业科技发展有限公司建设并运营，占地15亩。基地包括红色文化主题展馆、农耕文化主题展馆和教育实践基地。其中陈列馆约800㎡，展示实物120余件，配套红色文化广场、红军长廊、微长征2.5公里体验线路。红色文化主题馆通过图文说明、实物陈列、用声光电、蜡像、场景展示等表现形式，集中展示了青年毛泽东在南县的光辉足迹，讲述了他在南县播下的火种，照亮段德昌和黄克佐等热血青年的革命事迹。</w:t>
            </w:r>
          </w:p>
        </w:tc>
        <w:tc>
          <w:tcPr>
            <w:tcW w:w="137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 w:hAnsi="仿宋" w:eastAsia="仿宋" w:cs="仿宋"/>
                <w:color w:val="auto"/>
                <w:szCs w:val="21"/>
                <w:lang w:val="en-US" w:eastAsia="zh-CN"/>
              </w:rPr>
              <w:t>2021-2023</w:t>
            </w:r>
          </w:p>
        </w:tc>
        <w:tc>
          <w:tcPr>
            <w:tcW w:w="120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default" w:ascii="仿宋" w:hAnsi="仿宋" w:eastAsia="仿宋" w:cs="仿宋"/>
                <w:color w:val="auto"/>
                <w:szCs w:val="21"/>
                <w:lang w:val="en-US" w:eastAsia="zh-CN"/>
              </w:rPr>
              <w:t>1280</w:t>
            </w:r>
          </w:p>
        </w:tc>
        <w:tc>
          <w:tcPr>
            <w:tcW w:w="58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trPr>
        <w:tc>
          <w:tcPr>
            <w:tcW w:w="752"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15</w:t>
            </w:r>
          </w:p>
        </w:tc>
        <w:tc>
          <w:tcPr>
            <w:tcW w:w="124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val="en-US" w:eastAsia="zh-CN"/>
              </w:rPr>
              <w:t>南县中鱼口镇白吟浪村洞庭农耕文化旅游区</w:t>
            </w:r>
          </w:p>
        </w:tc>
        <w:tc>
          <w:tcPr>
            <w:tcW w:w="3865"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val="en-US" w:eastAsia="zh-CN"/>
              </w:rPr>
              <w:t xml:space="preserve">    项目包括：1.建设文化广场：（1）村部广场，总面积1500㎡；（2）疏河广场，总面积1000㎡；（3）扩建太平广场，总面积800㎡；2.打造疏河风光带，重塑白吟浪小说原景；3.打造农家特色餐饮服务；3.增加羊舞岭窑壁画数量，营造良好文化氛围；4.公共基础设施建设：道路硬化、提质、新建；新建4个公共厕所、新增3处污水处理设施。5.公共文化服务设施建设：1个博物馆。</w:t>
            </w:r>
          </w:p>
        </w:tc>
        <w:tc>
          <w:tcPr>
            <w:tcW w:w="1375"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val="en-US" w:eastAsia="zh-CN"/>
              </w:rPr>
              <w:t>2022-2025</w:t>
            </w:r>
          </w:p>
        </w:tc>
        <w:tc>
          <w:tcPr>
            <w:tcW w:w="1203"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Cs w:val="21"/>
                <w:lang w:val="en-US" w:eastAsia="zh-CN"/>
              </w:rPr>
              <w:t>30000</w:t>
            </w:r>
          </w:p>
        </w:tc>
        <w:tc>
          <w:tcPr>
            <w:tcW w:w="58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trPr>
        <w:tc>
          <w:tcPr>
            <w:tcW w:w="752"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16</w:t>
            </w:r>
          </w:p>
        </w:tc>
        <w:tc>
          <w:tcPr>
            <w:tcW w:w="124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德昌公园质改造工程</w:t>
            </w:r>
          </w:p>
        </w:tc>
        <w:tc>
          <w:tcPr>
            <w:tcW w:w="3865"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left"/>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   完成段德昌烈士陵园（纪念馆、陈列馆）提质升级改造，申报全国爱国主义教育示范基地。新建公园东门</w:t>
            </w:r>
            <w:r>
              <w:rPr>
                <w:rFonts w:hint="eastAsia" w:ascii="仿宋" w:hAnsi="仿宋" w:eastAsia="仿宋" w:cs="仿宋"/>
                <w:i w:val="0"/>
                <w:iCs w:val="0"/>
                <w:color w:val="auto"/>
                <w:kern w:val="0"/>
                <w:sz w:val="21"/>
                <w:szCs w:val="21"/>
                <w:u w:val="none"/>
                <w:lang w:val="en-US" w:eastAsia="zh-CN" w:bidi="ar"/>
              </w:rPr>
              <w:t>金生欢乐园项目，</w:t>
            </w:r>
            <w:r>
              <w:rPr>
                <w:rFonts w:hint="eastAsia" w:ascii="仿宋" w:hAnsi="仿宋" w:eastAsia="仿宋" w:cs="仿宋"/>
                <w:color w:val="auto"/>
                <w:szCs w:val="21"/>
                <w:lang w:val="en-US" w:eastAsia="zh-CN"/>
              </w:rPr>
              <w:t xml:space="preserve"> 打造集主题休闲娱乐观光、科普教育、旅游研学、儿童活动等功能于一体的科普教育益智型主题乐园。连通南茅运河幸福港湾，将德昌公园打造为国家4A级景区。</w:t>
            </w:r>
          </w:p>
        </w:tc>
        <w:tc>
          <w:tcPr>
            <w:tcW w:w="1375"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2021-2023</w:t>
            </w:r>
          </w:p>
        </w:tc>
        <w:tc>
          <w:tcPr>
            <w:tcW w:w="1203"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18000</w:t>
            </w:r>
          </w:p>
        </w:tc>
        <w:tc>
          <w:tcPr>
            <w:tcW w:w="58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trPr>
        <w:tc>
          <w:tcPr>
            <w:tcW w:w="752"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17</w:t>
            </w:r>
          </w:p>
        </w:tc>
        <w:tc>
          <w:tcPr>
            <w:tcW w:w="124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南县乡镇综合文化站提质改造工程</w:t>
            </w:r>
          </w:p>
        </w:tc>
        <w:tc>
          <w:tcPr>
            <w:tcW w:w="3865"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left"/>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   通过改扩建及完善乡镇综合文化站设施设备，全县12个乡镇综合文化站100%达到国家二级站标准，其中50%达到一级站标准。</w:t>
            </w:r>
          </w:p>
        </w:tc>
        <w:tc>
          <w:tcPr>
            <w:tcW w:w="1375"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2021-2023</w:t>
            </w:r>
          </w:p>
        </w:tc>
        <w:tc>
          <w:tcPr>
            <w:tcW w:w="1203"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530</w:t>
            </w:r>
          </w:p>
        </w:tc>
        <w:tc>
          <w:tcPr>
            <w:tcW w:w="58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938" w:hRule="atLeast"/>
        </w:trPr>
        <w:tc>
          <w:tcPr>
            <w:tcW w:w="752"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18</w:t>
            </w:r>
          </w:p>
        </w:tc>
        <w:tc>
          <w:tcPr>
            <w:tcW w:w="124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南县村级综合文化服务中心“七个一”建设工程</w:t>
            </w:r>
          </w:p>
        </w:tc>
        <w:tc>
          <w:tcPr>
            <w:tcW w:w="3865"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left"/>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    完善我县132个村级综合文化服务中心“七个一”建设，即一个文化活动广场(500平方米以上)，一个文化活动室(90平方米)，一个简易戏台(长10米、宽5米、高0.8米)，一个宣传栏，一套文化器材(含一套音响和部分乐器)，一套广播器材，一套体育设施器材(含一个篮球场、二个乒乓球台、一套体育健身器材)。</w:t>
            </w:r>
          </w:p>
        </w:tc>
        <w:tc>
          <w:tcPr>
            <w:tcW w:w="1375"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2021-2023</w:t>
            </w:r>
          </w:p>
        </w:tc>
        <w:tc>
          <w:tcPr>
            <w:tcW w:w="1203"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4000</w:t>
            </w:r>
          </w:p>
        </w:tc>
        <w:tc>
          <w:tcPr>
            <w:tcW w:w="580" w:type="dxa"/>
            <w:shd w:val="clear" w:color="auto" w:fill="FFFFFF"/>
            <w:noWrap w:val="0"/>
            <w:vAlign w:val="center"/>
          </w:tcPr>
          <w:p>
            <w:pPr>
              <w:keepNext w:val="0"/>
              <w:keepLines w:val="0"/>
              <w:pageBreakBefore w:val="0"/>
              <w:kinsoku/>
              <w:wordWrap/>
              <w:topLinePunct w:val="0"/>
              <w:autoSpaceDE/>
              <w:autoSpaceDN/>
              <w:bidi w:val="0"/>
              <w:adjustRightInd/>
              <w:spacing w:line="580" w:lineRule="exact"/>
              <w:jc w:val="center"/>
              <w:textAlignment w:val="auto"/>
              <w:rPr>
                <w:rFonts w:ascii="仿宋" w:hAnsi="仿宋" w:eastAsia="仿宋" w:cs="仿宋"/>
                <w:color w:val="auto"/>
                <w:szCs w:val="21"/>
              </w:rPr>
            </w:pPr>
          </w:p>
        </w:tc>
      </w:tr>
    </w:tbl>
    <w:p>
      <w:pPr>
        <w:spacing w:line="579" w:lineRule="exact"/>
        <w:rPr>
          <w:rFonts w:ascii="仿宋_GB2312" w:hAnsi="仿宋_GB2312" w:eastAsia="仿宋_GB2312" w:cs="仿宋_GB2312"/>
          <w:sz w:val="32"/>
          <w:szCs w:val="32"/>
        </w:rPr>
      </w:pPr>
    </w:p>
    <w:p>
      <w:pPr>
        <w:pStyle w:val="2"/>
        <w:rPr>
          <w:rFonts w:hint="eastAsia" w:eastAsia="宋体"/>
        </w:rPr>
      </w:pPr>
    </w:p>
    <w:p>
      <w:bookmarkStart w:id="8" w:name="_GoBack"/>
      <w:bookmarkEnd w:id="8"/>
    </w:p>
    <w:sectPr>
      <w:footerReference r:id="rId3" w:type="default"/>
      <w:footerReference r:id="rId4" w:type="even"/>
      <w:pgSz w:w="11906" w:h="16838"/>
      <w:pgMar w:top="1984" w:right="1304" w:bottom="1361" w:left="1474" w:header="851" w:footer="1361" w:gutter="0"/>
      <w:pgNumType w:fmt="numberInDash"/>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
    <w:altName w:val="Calibri"/>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8"/>
                              <w:rFonts w:hint="eastAsia" w:ascii="宋体" w:hAnsi="宋体" w:eastAsia="宋体" w:cs="宋体"/>
                              <w:sz w:val="28"/>
                              <w:szCs w:val="28"/>
                            </w:rPr>
                          </w:pP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Style w:val="8"/>
                        <w:rFonts w:hint="eastAsia" w:ascii="宋体" w:hAnsi="宋体" w:eastAsia="宋体" w:cs="宋体"/>
                        <w:sz w:val="28"/>
                        <w:szCs w:val="28"/>
                      </w:rPr>
                    </w:pP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Fonts w:ascii="Times New Roman" w:hAnsi="Times New Roman" w:eastAsia="宋体" w:cs="Times New Roman"/>
      </w:rPr>
    </w:pPr>
    <w:r>
      <w:rPr>
        <w:rFonts w:ascii="Times New Roman" w:hAnsi="Times New Roman" w:eastAsia="宋体" w:cs="Times New Roman"/>
      </w:rPr>
      <w:fldChar w:fldCharType="begin"/>
    </w:r>
    <w:r>
      <w:rPr>
        <w:rStyle w:val="8"/>
        <w:rFonts w:ascii="Times New Roman" w:hAnsi="Times New Roman" w:eastAsia="宋体" w:cs="Times New Roman"/>
        <w:sz w:val="21"/>
        <w:szCs w:val="24"/>
      </w:rPr>
      <w:instrText xml:space="preserve">PAGE  </w:instrText>
    </w:r>
    <w:r>
      <w:rPr>
        <w:rFonts w:ascii="Times New Roman" w:hAnsi="Times New Roman" w:eastAsia="宋体" w:cs="Times New Roman"/>
      </w:rPr>
      <w:fldChar w:fldCharType="end"/>
    </w:r>
  </w:p>
  <w:p>
    <w:pPr>
      <w:pStyle w:val="3"/>
      <w:ind w:right="360"/>
      <w:rPr>
        <w:rFonts w:ascii="Times New Roman" w:hAnsi="Times New Roman"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A0A0A"/>
    <w:multiLevelType w:val="singleLevel"/>
    <w:tmpl w:val="586A0A0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ZTFiYjc4ODk0M2ZkMWViZDA3YTVhYzhlNzk0MzYifQ=="/>
  </w:docVars>
  <w:rsids>
    <w:rsidRoot w:val="7BDE41F8"/>
    <w:rsid w:val="7BDE4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qFormat/>
    <w:uiPriority w:val="1"/>
    <w:pPr>
      <w:widowControl w:val="0"/>
      <w:jc w:val="both"/>
    </w:pPr>
    <w:rPr>
      <w:rFonts w:ascii="宋体" w:hAnsi="宋体" w:eastAsia="宋体" w:cs="宋体"/>
      <w:kern w:val="2"/>
      <w:sz w:val="28"/>
      <w:szCs w:val="28"/>
      <w:lang w:val="zh-CN" w:eastAsia="zh-CN" w:bidi="zh-CN"/>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toc 1"/>
    <w:next w:val="1"/>
    <w:qFormat/>
    <w:uiPriority w:val="0"/>
    <w:pPr>
      <w:widowControl w:val="0"/>
      <w:jc w:val="both"/>
    </w:pPr>
    <w:rPr>
      <w:rFonts w:ascii="黑体" w:hAnsi="黑体" w:eastAsia="黑体" w:cs="Times New Roman"/>
      <w:b/>
      <w:bCs/>
      <w:kern w:val="2"/>
      <w:sz w:val="36"/>
      <w:szCs w:val="36"/>
      <w:lang w:val="en-US" w:eastAsia="zh-CN" w:bidi="ar-SA"/>
    </w:rPr>
  </w:style>
  <w:style w:type="paragraph" w:styleId="5">
    <w:name w:val="Normal (Web)"/>
    <w:qFormat/>
    <w:uiPriority w:val="0"/>
    <w:pPr>
      <w:widowControl w:val="0"/>
      <w:spacing w:beforeAutospacing="1" w:afterAutospacing="1"/>
      <w:jc w:val="left"/>
    </w:pPr>
    <w:rPr>
      <w:rFonts w:ascii="Calibri" w:hAnsi="Calibri" w:eastAsia="宋体" w:cs="Times New Roman"/>
      <w:kern w:val="0"/>
      <w:sz w:val="24"/>
      <w:szCs w:val="24"/>
      <w:lang w:val="en-US" w:eastAsia="zh-CN" w:bidi="ar-SA"/>
    </w:rPr>
  </w:style>
  <w:style w:type="character" w:styleId="8">
    <w:name w:val="page number"/>
    <w:qFormat/>
    <w:uiPriority w:val="0"/>
  </w:style>
  <w:style w:type="paragraph" w:customStyle="1" w:styleId="9">
    <w:name w:val="No Spacing1"/>
    <w:autoRedefine/>
    <w:qFormat/>
    <w:uiPriority w:val="0"/>
    <w:pPr>
      <w:jc w:val="both"/>
    </w:pPr>
    <w:rPr>
      <w:rFonts w:ascii="Times New Roman" w:hAnsi="Times New Roman" w:eastAsia="?? ??"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2024-03-12T02:14:00Z</dcterms:created>
  <dc:creator>李英</dc:creator>
  <cp:lastModifiedBy>李英</cp:lastModifiedBy>
  <dcterms:modified xsi:type="dcterms:W3CDTF">2024-03-12T02:14:38Z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0A0ACCBB738F455BA6B7F920AF064F32_11</vt:lpwstr>
  </property>
</Properties>
</file>