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2024年</w:t>
      </w:r>
      <w:r>
        <w:rPr>
          <w:rFonts w:hint="eastAsia" w:ascii="宋体" w:hAnsi="宋体" w:cs="宋体"/>
          <w:b/>
          <w:bCs/>
          <w:color w:val="auto"/>
          <w:sz w:val="32"/>
          <w:szCs w:val="32"/>
          <w:highlight w:val="none"/>
          <w:lang w:val="en-US" w:eastAsia="zh-CN"/>
        </w:rPr>
        <w:t>南县车用汽油</w:t>
      </w:r>
      <w:r>
        <w:rPr>
          <w:rFonts w:hint="eastAsia" w:ascii="宋体" w:hAnsi="宋体" w:eastAsia="宋体" w:cs="宋体"/>
          <w:b/>
          <w:bCs/>
          <w:color w:val="auto"/>
          <w:sz w:val="32"/>
          <w:szCs w:val="32"/>
          <w:highlight w:val="none"/>
          <w:lang w:val="en-US" w:eastAsia="zh-CN"/>
        </w:rPr>
        <w:t>产品质量监督抽查实施细则</w:t>
      </w:r>
    </w:p>
    <w:p>
      <w:pPr>
        <w:pStyle w:val="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每批次产品抽样数量见表</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抽样数量</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67"/>
        <w:gridCol w:w="1983"/>
        <w:gridCol w:w="18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序号</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产品名称</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抽样数量</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检样数量</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bookmarkStart w:id="2" w:name="_GoBack"/>
            <w:r>
              <w:rPr>
                <w:rFonts w:hint="eastAsia" w:ascii="宋体" w:hAnsi="宋体" w:cs="宋体"/>
                <w:b w:val="0"/>
                <w:i w:val="0"/>
                <w:caps w:val="0"/>
                <w:color w:val="000000"/>
                <w:spacing w:val="0"/>
                <w:w w:val="100"/>
                <w:sz w:val="21"/>
                <w:szCs w:val="21"/>
                <w:highlight w:val="none"/>
                <w:lang w:val="en-US" w:eastAsia="zh-CN"/>
              </w:rPr>
              <w:t>车用汽油</w:t>
            </w:r>
            <w:bookmarkEnd w:id="2"/>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4</w:t>
            </w:r>
            <w:r>
              <w:rPr>
                <w:rFonts w:hint="eastAsia" w:ascii="宋体" w:hAnsi="宋体" w:eastAsia="宋体" w:cs="宋体"/>
                <w:b w:val="0"/>
                <w:i w:val="0"/>
                <w:caps w:val="0"/>
                <w:color w:val="000000"/>
                <w:spacing w:val="0"/>
                <w:w w:val="100"/>
                <w:sz w:val="21"/>
                <w:szCs w:val="21"/>
                <w:lang w:val="en-US" w:eastAsia="zh-CN"/>
              </w:rPr>
              <w:t>L</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2L</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2L</w:t>
            </w:r>
          </w:p>
        </w:tc>
      </w:tr>
    </w:tbl>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表2 </w:t>
      </w:r>
      <w:r>
        <w:rPr>
          <w:rFonts w:hint="eastAsia" w:ascii="宋体" w:hAnsi="宋体" w:cs="宋体"/>
          <w:color w:val="auto"/>
          <w:sz w:val="21"/>
          <w:szCs w:val="21"/>
          <w:highlight w:val="none"/>
          <w:lang w:val="en-US" w:eastAsia="zh-CN"/>
        </w:rPr>
        <w:t>车用汽油</w:t>
      </w:r>
      <w:r>
        <w:rPr>
          <w:rFonts w:hint="eastAsia" w:ascii="宋体" w:hAnsi="宋体" w:eastAsia="宋体" w:cs="宋体"/>
          <w:color w:val="auto"/>
          <w:sz w:val="21"/>
          <w:szCs w:val="21"/>
          <w:highlight w:val="none"/>
          <w:lang w:val="en-US" w:eastAsia="zh-CN"/>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3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铅含量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GB/T8020-2015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硫含量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SH/T0689-2000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氧含量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NB/SH/T0663-2014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苯含量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SH/T0693-2000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机械杂质及水分</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GB17930-2016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密度</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GB/T1884-2000</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GB/T1885-1998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甲醇含量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NB/SH/T0663-2014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芳烃含量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GB/T11132-2022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烯烃含量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GB/T11132-2022</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bookmarkStart w:id="0" w:name="_Hlk3256775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17930-2016</w:t>
      </w:r>
      <w:r>
        <w:rPr>
          <w:rFonts w:hint="eastAsia" w:ascii="宋体" w:hAnsi="宋体" w:cs="宋体"/>
          <w:color w:val="auto"/>
          <w:sz w:val="21"/>
          <w:szCs w:val="21"/>
          <w:highlight w:val="none"/>
          <w:lang w:val="en-US" w:eastAsia="zh-CN"/>
        </w:rPr>
        <w:t xml:space="preserve"> 车用汽油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现行有效的企业标准、团体标准、地方标准及产品明示质量要求</w:t>
      </w:r>
    </w:p>
    <w:bookmarkEnd w:id="0"/>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bookmarkStart w:id="1" w:name="_Hlk33514746"/>
      <w:r>
        <w:rPr>
          <w:rFonts w:hint="eastAsia" w:ascii="宋体" w:hAnsi="宋体" w:eastAsia="宋体" w:cs="宋体"/>
          <w:color w:val="auto"/>
          <w:kern w:val="2"/>
          <w:sz w:val="21"/>
          <w:szCs w:val="21"/>
          <w:highlight w:val="none"/>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1"/>
    </w:p>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499D"/>
    <w:multiLevelType w:val="singleLevel"/>
    <w:tmpl w:val="58FF49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WQ5YzM1ZTUzZGM3YjE5ZGQ5NjYwNTEwYjQxZmQifQ=="/>
    <w:docVar w:name="KSO_WPS_MARK_KEY" w:val="87cac2fa-0a50-46e3-834d-f98d8c64d2fd"/>
  </w:docVars>
  <w:rsids>
    <w:rsidRoot w:val="00000000"/>
    <w:rsid w:val="006B44D0"/>
    <w:rsid w:val="009C512B"/>
    <w:rsid w:val="00B47494"/>
    <w:rsid w:val="01090B26"/>
    <w:rsid w:val="01127559"/>
    <w:rsid w:val="012A6BDB"/>
    <w:rsid w:val="01852063"/>
    <w:rsid w:val="01A85D51"/>
    <w:rsid w:val="0326557A"/>
    <w:rsid w:val="036A2E67"/>
    <w:rsid w:val="03D177E1"/>
    <w:rsid w:val="05151950"/>
    <w:rsid w:val="05412745"/>
    <w:rsid w:val="06D1542A"/>
    <w:rsid w:val="074A238C"/>
    <w:rsid w:val="0822060B"/>
    <w:rsid w:val="08F57ACE"/>
    <w:rsid w:val="095D372A"/>
    <w:rsid w:val="09904F74"/>
    <w:rsid w:val="099E1F14"/>
    <w:rsid w:val="09DE5915"/>
    <w:rsid w:val="0A546A76"/>
    <w:rsid w:val="0B161F7E"/>
    <w:rsid w:val="0BC639A4"/>
    <w:rsid w:val="0BD240F7"/>
    <w:rsid w:val="0C3152C1"/>
    <w:rsid w:val="0C525237"/>
    <w:rsid w:val="0C8E3A3C"/>
    <w:rsid w:val="0D7731A8"/>
    <w:rsid w:val="0DA47D15"/>
    <w:rsid w:val="0DD50CEF"/>
    <w:rsid w:val="0E082052"/>
    <w:rsid w:val="0E0F1632"/>
    <w:rsid w:val="0E5A609B"/>
    <w:rsid w:val="0F8676D2"/>
    <w:rsid w:val="107751B2"/>
    <w:rsid w:val="10944070"/>
    <w:rsid w:val="118E0AC0"/>
    <w:rsid w:val="12096398"/>
    <w:rsid w:val="138A175B"/>
    <w:rsid w:val="13A40300"/>
    <w:rsid w:val="14C91E0F"/>
    <w:rsid w:val="14EC6584"/>
    <w:rsid w:val="15167ED2"/>
    <w:rsid w:val="155B6F0B"/>
    <w:rsid w:val="165A3666"/>
    <w:rsid w:val="16684490"/>
    <w:rsid w:val="16FF6CDE"/>
    <w:rsid w:val="1A98775E"/>
    <w:rsid w:val="1B6F54BE"/>
    <w:rsid w:val="1CB6536F"/>
    <w:rsid w:val="1D5E3A3C"/>
    <w:rsid w:val="1E7E37DC"/>
    <w:rsid w:val="1E911BEF"/>
    <w:rsid w:val="1F5F3A9B"/>
    <w:rsid w:val="1F937941"/>
    <w:rsid w:val="1FDA1374"/>
    <w:rsid w:val="203A06AF"/>
    <w:rsid w:val="219F0AC7"/>
    <w:rsid w:val="22E91FFA"/>
    <w:rsid w:val="23264FFC"/>
    <w:rsid w:val="240F76C7"/>
    <w:rsid w:val="24D92627"/>
    <w:rsid w:val="257B0F03"/>
    <w:rsid w:val="25FA56E9"/>
    <w:rsid w:val="262275D1"/>
    <w:rsid w:val="27BD1CA7"/>
    <w:rsid w:val="281F201A"/>
    <w:rsid w:val="28254993"/>
    <w:rsid w:val="28AF7842"/>
    <w:rsid w:val="2A273408"/>
    <w:rsid w:val="2B090C0F"/>
    <w:rsid w:val="2B607E88"/>
    <w:rsid w:val="2B6A3EF4"/>
    <w:rsid w:val="2D510EC7"/>
    <w:rsid w:val="2DE87C74"/>
    <w:rsid w:val="2DED6B62"/>
    <w:rsid w:val="2E7A61FC"/>
    <w:rsid w:val="2EB03F9E"/>
    <w:rsid w:val="2ED56370"/>
    <w:rsid w:val="2F2457F2"/>
    <w:rsid w:val="2F2B74F6"/>
    <w:rsid w:val="2F2E2AB9"/>
    <w:rsid w:val="2F67728E"/>
    <w:rsid w:val="2F6C3AD9"/>
    <w:rsid w:val="2F8F3F29"/>
    <w:rsid w:val="30703D5A"/>
    <w:rsid w:val="30CA215E"/>
    <w:rsid w:val="317F1D7B"/>
    <w:rsid w:val="32236BAB"/>
    <w:rsid w:val="322660CF"/>
    <w:rsid w:val="330B1B18"/>
    <w:rsid w:val="33883169"/>
    <w:rsid w:val="33C543BD"/>
    <w:rsid w:val="34831B82"/>
    <w:rsid w:val="355157DD"/>
    <w:rsid w:val="35F5085E"/>
    <w:rsid w:val="36625EF3"/>
    <w:rsid w:val="36B64491"/>
    <w:rsid w:val="36EE59D9"/>
    <w:rsid w:val="36F154C9"/>
    <w:rsid w:val="36FE0D64"/>
    <w:rsid w:val="37C3246B"/>
    <w:rsid w:val="38743CBC"/>
    <w:rsid w:val="38935966"/>
    <w:rsid w:val="39BD78E5"/>
    <w:rsid w:val="39D32C64"/>
    <w:rsid w:val="39EC3D26"/>
    <w:rsid w:val="39EE5CF0"/>
    <w:rsid w:val="3A2B0CF2"/>
    <w:rsid w:val="3A2C6A84"/>
    <w:rsid w:val="3A3F654C"/>
    <w:rsid w:val="3B677B08"/>
    <w:rsid w:val="3BB014AF"/>
    <w:rsid w:val="3BD74C8E"/>
    <w:rsid w:val="3C4F3BDE"/>
    <w:rsid w:val="3C6A5B02"/>
    <w:rsid w:val="3C905550"/>
    <w:rsid w:val="3D3103CE"/>
    <w:rsid w:val="3D687B67"/>
    <w:rsid w:val="3E4405D4"/>
    <w:rsid w:val="3EC05EAD"/>
    <w:rsid w:val="4250579A"/>
    <w:rsid w:val="429A6A15"/>
    <w:rsid w:val="436E4771"/>
    <w:rsid w:val="438438A3"/>
    <w:rsid w:val="45246A6A"/>
    <w:rsid w:val="45625E73"/>
    <w:rsid w:val="4568543D"/>
    <w:rsid w:val="469F284C"/>
    <w:rsid w:val="46B1432D"/>
    <w:rsid w:val="46BA1434"/>
    <w:rsid w:val="478A34FC"/>
    <w:rsid w:val="48E22EC4"/>
    <w:rsid w:val="49951C31"/>
    <w:rsid w:val="4ABB463C"/>
    <w:rsid w:val="4C211F55"/>
    <w:rsid w:val="4C83051A"/>
    <w:rsid w:val="4D1D271C"/>
    <w:rsid w:val="4D3F6B37"/>
    <w:rsid w:val="4D626ED4"/>
    <w:rsid w:val="4E1F4272"/>
    <w:rsid w:val="4EF456FF"/>
    <w:rsid w:val="4F2953A8"/>
    <w:rsid w:val="4F6A5955"/>
    <w:rsid w:val="4FA233AD"/>
    <w:rsid w:val="50CC248F"/>
    <w:rsid w:val="51143E36"/>
    <w:rsid w:val="516721B8"/>
    <w:rsid w:val="51A056CA"/>
    <w:rsid w:val="545F12DA"/>
    <w:rsid w:val="54E63D3C"/>
    <w:rsid w:val="562F0A7F"/>
    <w:rsid w:val="566B44F9"/>
    <w:rsid w:val="56DE116E"/>
    <w:rsid w:val="579730CB"/>
    <w:rsid w:val="57BD6FD6"/>
    <w:rsid w:val="57E26993"/>
    <w:rsid w:val="58411B59"/>
    <w:rsid w:val="58E40592"/>
    <w:rsid w:val="592D3CE7"/>
    <w:rsid w:val="59B44408"/>
    <w:rsid w:val="5C2752F2"/>
    <w:rsid w:val="5C583771"/>
    <w:rsid w:val="5C6C4246"/>
    <w:rsid w:val="5DE76B45"/>
    <w:rsid w:val="5E9465B6"/>
    <w:rsid w:val="5EBD78BB"/>
    <w:rsid w:val="610C2B17"/>
    <w:rsid w:val="620178CE"/>
    <w:rsid w:val="62145A44"/>
    <w:rsid w:val="62916D12"/>
    <w:rsid w:val="642B176B"/>
    <w:rsid w:val="64B96D77"/>
    <w:rsid w:val="661001E2"/>
    <w:rsid w:val="662B4B98"/>
    <w:rsid w:val="66320B8F"/>
    <w:rsid w:val="66DC0AFB"/>
    <w:rsid w:val="67D04B25"/>
    <w:rsid w:val="682E182A"/>
    <w:rsid w:val="68F4037D"/>
    <w:rsid w:val="6A42336B"/>
    <w:rsid w:val="6C3F5AA0"/>
    <w:rsid w:val="6C5D448C"/>
    <w:rsid w:val="6CB06CB1"/>
    <w:rsid w:val="6D8F4B19"/>
    <w:rsid w:val="70A1703D"/>
    <w:rsid w:val="70F829D5"/>
    <w:rsid w:val="721056AE"/>
    <w:rsid w:val="721101F2"/>
    <w:rsid w:val="72E444E7"/>
    <w:rsid w:val="73557ED4"/>
    <w:rsid w:val="73E57241"/>
    <w:rsid w:val="74343D24"/>
    <w:rsid w:val="744D3038"/>
    <w:rsid w:val="7456238C"/>
    <w:rsid w:val="74744A68"/>
    <w:rsid w:val="771A5453"/>
    <w:rsid w:val="77440722"/>
    <w:rsid w:val="77C17FC5"/>
    <w:rsid w:val="78A31478"/>
    <w:rsid w:val="78CC4E73"/>
    <w:rsid w:val="78DD2BDC"/>
    <w:rsid w:val="79142376"/>
    <w:rsid w:val="79264618"/>
    <w:rsid w:val="795D5ACB"/>
    <w:rsid w:val="79AD749A"/>
    <w:rsid w:val="79D044EF"/>
    <w:rsid w:val="7AE77D42"/>
    <w:rsid w:val="7BFB64B0"/>
    <w:rsid w:val="7C825254"/>
    <w:rsid w:val="7C9275E1"/>
    <w:rsid w:val="7D180687"/>
    <w:rsid w:val="7DCE7921"/>
    <w:rsid w:val="7DD50326"/>
    <w:rsid w:val="7FCB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table of authorities"/>
    <w:basedOn w:val="1"/>
    <w:next w:val="1"/>
    <w:autoRedefine/>
    <w:unhideWhenUsed/>
    <w:qFormat/>
    <w:uiPriority w:val="99"/>
    <w:pPr>
      <w:ind w:left="420" w:leftChars="200"/>
    </w:pPr>
  </w:style>
  <w:style w:type="paragraph" w:styleId="5">
    <w:name w:val="Plain Text"/>
    <w:basedOn w:val="1"/>
    <w:autoRedefine/>
    <w:qFormat/>
    <w:uiPriority w:val="0"/>
    <w:rPr>
      <w:rFonts w:ascii="宋体" w:hAnsi="Courier New"/>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_Style 1"/>
    <w:basedOn w:val="1"/>
    <w:autoRedefine/>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775</Characters>
  <Lines>0</Lines>
  <Paragraphs>0</Paragraphs>
  <TotalTime>30</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cp:lastModifiedBy>
  <dcterms:modified xsi:type="dcterms:W3CDTF">2024-03-21T03:50:53Z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379328F4B0A6450790D5670E54EB03E3_13</vt:lpwstr>
  </property>
</Properties>
</file>