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eastAsia="zh-CN"/>
        </w:rPr>
        <w:t>南县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val="en-US" w:eastAsia="zh-CN"/>
        </w:rPr>
        <w:t>厂窖镇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eastAsia="zh-CN"/>
        </w:rPr>
        <w:t>人民政府</w:t>
      </w:r>
    </w:p>
    <w:p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</w:rPr>
        <w:t>年项目支出绩效自评指标计分表</w:t>
      </w:r>
    </w:p>
    <w:p>
      <w:pPr>
        <w:spacing w:line="400" w:lineRule="exact"/>
        <w:ind w:firstLine="880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 xml:space="preserve"> </w:t>
      </w:r>
    </w:p>
    <w:tbl>
      <w:tblPr>
        <w:tblStyle w:val="3"/>
        <w:tblW w:w="100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一级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二级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三级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内容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设有目标（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目标明确（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目标细化（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目标量化（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过程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符合法律法规（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分）符合经济社会发展规划（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部门年度工作计划（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针对某一实际问题和需求（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程序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符合申报条件（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分）项目申报、批复程序符合管理办法（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项目调整履行了相应手续（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有相应的资金管理办法（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办法健全、规范（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因素全面合理（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符合分配办法（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分配公平合理（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实际到位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计划到位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*100%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到位及时（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不及时但未影响项目进度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不及时并影响项目进度（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使用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虚列套取扣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4-7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 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依据不合规扣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截留、挤占、挪用扣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3-6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超标准开支扣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超预算扣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分）严格执行制度（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分）会计核算规范（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242" w:leftChars="20" w:hanging="200" w:hangingChars="1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 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项目按计划开工；按计划进度开展；按计划完工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按计划开工（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按计划开展（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 按计划完工（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制度执行严格（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绩效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对照绩效目标，按实际产出数量率计算得分（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对照绩效目标，按实际产出质量率计算得分（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对照绩效目标，按实际产出时效率计算得分（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对照绩效目标，按实际产出成本率计算得分（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效果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经济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对照绩效目标，按经济效益实现程度计算得分（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对照绩效目标，按社会效益实现程度计算得分（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环境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对照绩效目标，按对环境所产生的实际影响程度计算得分（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可持续影响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所依赖的政策制度能持续执行（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对象满意度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按收集到的项目服务对象的满意率计算得分（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firstLine="640"/>
        <w:rPr>
          <w:rFonts w:hint="eastAsia"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818F0"/>
    <w:rsid w:val="175E1025"/>
    <w:rsid w:val="1CAB0311"/>
    <w:rsid w:val="2B6445DF"/>
    <w:rsid w:val="4432363D"/>
    <w:rsid w:val="6648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2023-03-16T01:48:00Z</dcterms:created>
  <dc:creator>Administrator</dc:creator>
  <cp:lastModifiedBy>Lenovo</cp:lastModifiedBy>
  <dcterms:modified xsi:type="dcterms:W3CDTF">2024-03-27T08:09:55Z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