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tLeast"/>
        <w:ind w:firstLine="0"/>
        <w:jc w:val="both"/>
        <w:textAlignment w:val="center"/>
        <w:rPr>
          <w:rFonts w:hint="eastAsia" w:ascii="黑体" w:hAnsi="黑体" w:eastAsia="黑体" w:cs="黑体"/>
          <w:b w:val="0"/>
          <w:i w:val="0"/>
          <w:snapToGrid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-5"/>
          <w:sz w:val="21"/>
          <w:szCs w:val="21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tLeast"/>
        <w:ind w:lef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  <w:lang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</w:rPr>
        <w:t>机动车停放服务收费公示牌样本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tLeast"/>
        <w:ind w:right="400" w:firstLine="0"/>
        <w:jc w:val="center"/>
        <w:textAlignment w:val="center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auto"/>
          <w:spacing w:val="-6"/>
          <w:sz w:val="21"/>
          <w:szCs w:val="21"/>
          <w:lang w:eastAsia="zh-CN"/>
        </w:rPr>
        <w:t>蓝底白字</w:t>
      </w:r>
    </w:p>
    <w:tbl>
      <w:tblPr>
        <w:tblStyle w:val="2"/>
        <w:tblW w:w="502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3507"/>
        <w:gridCol w:w="2468"/>
        <w:gridCol w:w="1869"/>
        <w:gridCol w:w="2428"/>
        <w:gridCol w:w="1832"/>
        <w:gridCol w:w="1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6" w:hRule="atLeast"/>
        </w:trPr>
        <w:tc>
          <w:tcPr>
            <w:tcW w:w="124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17" w:lineRule="atLeast"/>
              <w:ind w:firstLine="0"/>
              <w:jc w:val="both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  <w:p>
            <w:pPr>
              <w:kinsoku/>
              <w:autoSpaceDE/>
              <w:autoSpaceDN w:val="0"/>
              <w:spacing w:line="17" w:lineRule="atLeast"/>
              <w:ind w:firstLine="0"/>
              <w:jc w:val="both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  <w:p>
            <w:pPr>
              <w:kinsoku/>
              <w:autoSpaceDE/>
              <w:autoSpaceDN w:val="0"/>
              <w:spacing w:line="17" w:lineRule="atLeast"/>
              <w:ind w:firstLine="0"/>
              <w:jc w:val="both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  <w:p>
            <w:pPr>
              <w:kinsoku/>
              <w:autoSpaceDE/>
              <w:autoSpaceDN w:val="0"/>
              <w:spacing w:line="2170" w:lineRule="atLeast"/>
              <w:ind w:firstLine="864"/>
              <w:jc w:val="both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instrText xml:space="preserve">INCLUDEPICTURE "http://app.huarong.gov.cn/xiangyin/uploadfiles/202305/20230516110400714081.png"</w:instrTex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1114425" cy="1381125"/>
                  <wp:effectExtent l="0" t="0" r="9525" b="952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75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94" w:beforeLines="0"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pacing w:val="0"/>
                <w:sz w:val="21"/>
                <w:szCs w:val="21"/>
                <w:lang w:eastAsia="zh-CN"/>
              </w:rPr>
              <w:t>南县公共停车场机动车停放服务收费公示牌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124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定价方式</w:t>
            </w:r>
          </w:p>
        </w:tc>
        <w:tc>
          <w:tcPr>
            <w:tcW w:w="8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政府指导价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124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区域（路段）</w:t>
            </w:r>
          </w:p>
        </w:tc>
        <w:tc>
          <w:tcPr>
            <w:tcW w:w="287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124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287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124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车  型</w:t>
            </w: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收费方式</w:t>
            </w: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免费时段</w:t>
            </w: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24小时限价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124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</w:trPr>
        <w:tc>
          <w:tcPr>
            <w:tcW w:w="124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119" w:beforeLines="0" w:line="321" w:lineRule="atLeast"/>
              <w:ind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21" w:hRule="atLeast"/>
        </w:trPr>
        <w:tc>
          <w:tcPr>
            <w:tcW w:w="12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经营单位: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停车场地址: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监督机关: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南县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价格举报电话: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12315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服务电话:</w:t>
            </w:r>
          </w:p>
        </w:tc>
        <w:tc>
          <w:tcPr>
            <w:tcW w:w="3751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备注：30分钟内免费，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车型按所占车位计算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；新能源车辆停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1小时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免费；执行任务的军、警车辆和消防车、有标识的行政执法车、救护车、救灾抢险车、邮递车、环卫车、市政设施维护维修车、殡葬车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1"/>
                <w:sz w:val="21"/>
                <w:szCs w:val="21"/>
                <w:lang w:eastAsia="zh-CN"/>
              </w:rPr>
              <w:t>免费；持有本人残疾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"/>
                <w:sz w:val="21"/>
                <w:szCs w:val="21"/>
                <w:lang w:eastAsia="zh-CN"/>
              </w:rPr>
              <w:t>人证、驾驶证和车辆行驶证的残疾人驾驶的本人专用车辆免费；法律法规规定的其他应当免收车辆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10"/>
                <w:sz w:val="21"/>
                <w:szCs w:val="21"/>
                <w:lang w:eastAsia="zh-CN"/>
              </w:rPr>
              <w:t>停放服务费的车辆免费。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3" w:beforeLines="0" w:line="480" w:lineRule="atLeast"/>
        <w:ind w:left="0" w:firstLine="0"/>
        <w:jc w:val="center"/>
        <w:textAlignment w:val="center"/>
        <w:rPr>
          <w:rFonts w:hint="eastAsia" w:ascii="方正小标宋简体" w:hAnsi="宋体"/>
          <w:b w:val="0"/>
          <w:i w:val="0"/>
          <w:snapToGrid/>
          <w:color w:val="auto"/>
          <w:spacing w:val="-6"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293" w:right="1440" w:bottom="129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tLeast"/>
        <w:ind w:left="0" w:firstLine="0"/>
        <w:jc w:val="center"/>
        <w:textAlignment w:val="center"/>
        <w:rPr>
          <w:rFonts w:hint="default" w:ascii="仿宋" w:hAnsi="仿宋" w:eastAsia="仿宋" w:cs="Times New Roman"/>
          <w:b/>
          <w:i w:val="0"/>
          <w:snapToGrid/>
          <w:color w:val="666666"/>
          <w:spacing w:val="-6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  <w:lang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auto"/>
          <w:spacing w:val="-6"/>
          <w:sz w:val="21"/>
          <w:szCs w:val="21"/>
        </w:rPr>
        <w:t>机动车停放服务收费公示牌样本</w:t>
      </w:r>
      <w:r>
        <w:rPr>
          <w:rFonts w:hint="default" w:ascii="仿宋" w:hAnsi="仿宋" w:eastAsia="仿宋" w:cs="Times New Roman"/>
          <w:b/>
          <w:i w:val="0"/>
          <w:snapToGrid/>
          <w:color w:val="666666"/>
          <w:spacing w:val="-6"/>
          <w:sz w:val="21"/>
          <w:szCs w:val="21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atLeast"/>
        <w:ind w:right="400" w:firstLine="0"/>
        <w:jc w:val="center"/>
        <w:textAlignment w:val="center"/>
        <w:rPr>
          <w:rFonts w:hint="eastAsia" w:ascii="仿宋_GB2312" w:hAnsi="仿宋_GB2312" w:eastAsia="仿宋_GB2312" w:cs="仿宋_GB2312"/>
          <w:b/>
          <w:i w:val="0"/>
          <w:snapToGrid/>
          <w:color w:val="auto"/>
          <w:spacing w:val="-6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i w:val="0"/>
          <w:snapToGrid/>
          <w:color w:val="auto"/>
          <w:spacing w:val="-6"/>
          <w:sz w:val="21"/>
          <w:szCs w:val="21"/>
          <w:lang w:eastAsia="zh-CN"/>
        </w:rPr>
        <w:t>黄底黑字</w:t>
      </w:r>
    </w:p>
    <w:tbl>
      <w:tblPr>
        <w:tblStyle w:val="2"/>
        <w:tblW w:w="500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96"/>
        <w:gridCol w:w="1175"/>
        <w:gridCol w:w="823"/>
        <w:gridCol w:w="1171"/>
        <w:gridCol w:w="790"/>
        <w:gridCol w:w="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3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480" w:lineRule="atLeast"/>
              <w:ind w:firstLine="0"/>
              <w:jc w:val="both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749" w:type="pct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before="217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snapToGrid/>
                <w:color w:val="auto"/>
                <w:spacing w:val="23"/>
                <w:sz w:val="21"/>
                <w:szCs w:val="21"/>
                <w:lang w:eastAsia="zh-CN"/>
              </w:rPr>
              <w:t>××××停车场停车服务收费公示牌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</w:trPr>
        <w:tc>
          <w:tcPr>
            <w:tcW w:w="1250" w:type="pct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/>
              <w:autoSpaceDE/>
              <w:autoSpaceDN w:val="0"/>
              <w:spacing w:line="2441" w:lineRule="atLeast"/>
              <w:ind w:firstLine="25"/>
              <w:jc w:val="both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instrText xml:space="preserve">INCLUDEPICTURE "http://app.huarong.gov.cn/xiangyin/uploadfiles/202305/20230516110400896892.png"</w:instrText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drawing>
                <wp:inline distT="0" distB="0" distL="114300" distR="114300">
                  <wp:extent cx="2209800" cy="1552575"/>
                  <wp:effectExtent l="0" t="0" r="0" b="952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87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定价方式</w:t>
            </w:r>
          </w:p>
        </w:tc>
        <w:tc>
          <w:tcPr>
            <w:tcW w:w="2874" w:type="pct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市场调节价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2874" w:type="pct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车  型</w:t>
            </w: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计费方式</w:t>
            </w:r>
          </w:p>
        </w:tc>
        <w:tc>
          <w:tcPr>
            <w:tcW w:w="87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64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免费时段</w:t>
            </w:r>
          </w:p>
        </w:tc>
        <w:tc>
          <w:tcPr>
            <w:tcW w:w="69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>24小时限价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4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</w:trPr>
        <w:tc>
          <w:tcPr>
            <w:tcW w:w="1250" w:type="pct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default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4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43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7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3" w:beforeLines="0" w:line="48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9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经营单位：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停车场地址：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价格举报电话：12315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line="400" w:lineRule="exact"/>
              <w:jc w:val="left"/>
              <w:textAlignment w:val="center"/>
              <w:rPr>
                <w:rFonts w:hint="default" w:ascii="Calibri" w:hAnsi="宋体" w:eastAsia="宋体" w:cs="Times New Roman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-6"/>
                <w:sz w:val="21"/>
                <w:szCs w:val="21"/>
                <w:vertAlign w:val="baseline"/>
                <w:lang w:eastAsia="zh-CN"/>
              </w:rPr>
              <w:t>服务电话：</w:t>
            </w:r>
          </w:p>
        </w:tc>
        <w:tc>
          <w:tcPr>
            <w:tcW w:w="3749" w:type="pct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atLeast"/>
              <w:ind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2"/>
                <w:sz w:val="21"/>
                <w:szCs w:val="21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30分钟内免费，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车型按所占车位计算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；新能源车辆停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1小时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3"/>
                <w:sz w:val="21"/>
                <w:szCs w:val="21"/>
                <w:lang w:eastAsia="zh-CN"/>
              </w:rPr>
              <w:t>免费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2"/>
                <w:sz w:val="21"/>
                <w:szCs w:val="21"/>
                <w:lang w:eastAsia="zh-CN"/>
              </w:rPr>
              <w:t>；执行任务的军、警车辆和消防车、有标识的行政执法车、救护车、救灾抢险车、邮递车、环卫车、市政设施维护维修车、殡葬车免费；各类非居住区停车场持有本人残疾人证、驾驶证和车辆行驶证的残疾人驾驶的本人专用车辆免费；法律法规规定的其他应当免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9"/>
                <w:sz w:val="21"/>
                <w:szCs w:val="21"/>
                <w:lang w:eastAsia="zh-CN"/>
              </w:rPr>
              <w:t>车辆停放服务费的车辆免费。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30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30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kern w:val="2"/>
        <w:sz w:val="18"/>
        <w:szCs w:val="24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FiYjc4ODk0M2ZkMWViZDA3YTVhYzhlNzk0MzYifQ=="/>
  </w:docVars>
  <w:rsids>
    <w:rsidRoot w:val="2CF84E55"/>
    <w:rsid w:val="2CF8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2024-05-10T09:46:00Z</dcterms:created>
  <dc:creator>李英</dc:creator>
  <cp:lastModifiedBy>李英</cp:lastModifiedBy>
  <dcterms:modified xsi:type="dcterms:W3CDTF">2024-05-10T09:46:39Z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D2D1B53CCB5B45C7B4C150359AF2EC9B_11</vt:lpwstr>
  </property>
</Properties>
</file>