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964" w:firstLineChars="200"/>
        <w:jc w:val="left"/>
        <w:textAlignment w:val="auto"/>
        <w:rPr>
          <w:rFonts w:hint="eastAsia" w:ascii="黑体" w:hAnsi="黑体" w:eastAsia="黑体"/>
          <w:b/>
          <w:sz w:val="48"/>
          <w:szCs w:val="48"/>
        </w:rPr>
      </w:pPr>
    </w:p>
    <w:p>
      <w:pPr>
        <w:keepNext w:val="0"/>
        <w:keepLines w:val="0"/>
        <w:pageBreakBefore w:val="0"/>
        <w:widowControl w:val="0"/>
        <w:kinsoku/>
        <w:wordWrap/>
        <w:overflowPunct/>
        <w:topLinePunct w:val="0"/>
        <w:autoSpaceDE/>
        <w:autoSpaceDN/>
        <w:bidi w:val="0"/>
        <w:adjustRightInd/>
        <w:snapToGrid/>
        <w:ind w:firstLine="960" w:firstLineChars="200"/>
        <w:jc w:val="center"/>
        <w:textAlignment w:val="auto"/>
        <w:rPr>
          <w:sz w:val="48"/>
          <w:szCs w:val="48"/>
        </w:rPr>
      </w:pPr>
      <w:r>
        <w:rPr>
          <w:rFonts w:hint="eastAsia" w:ascii="方正小标宋简体" w:hAnsi="方正小标宋简体" w:eastAsia="方正小标宋简体" w:cs="方正小标宋简体"/>
          <w:b/>
          <w:bCs/>
          <w:i w:val="0"/>
          <w:iCs w:val="0"/>
          <w:caps w:val="0"/>
          <w:color w:val="333333"/>
          <w:spacing w:val="0"/>
          <w:kern w:val="0"/>
          <w:sz w:val="48"/>
          <w:szCs w:val="48"/>
          <w:shd w:val="clear" w:color="auto" w:fill="FFFFFF"/>
          <w:lang w:val="en-US" w:eastAsia="zh-CN" w:bidi="ar"/>
        </w:rPr>
        <w:t>2022年度南县政府决算相关说明</w:t>
      </w:r>
    </w:p>
    <w:p>
      <w:pPr>
        <w:ind w:firstLine="883" w:firstLineChars="200"/>
        <w:rPr>
          <w:b/>
          <w:sz w:val="44"/>
          <w:szCs w:val="44"/>
        </w:rPr>
      </w:pPr>
    </w:p>
    <w:p>
      <w:pPr>
        <w:ind w:firstLine="883" w:firstLineChars="200"/>
        <w:rPr>
          <w:b/>
          <w:sz w:val="44"/>
          <w:szCs w:val="44"/>
        </w:rPr>
      </w:pPr>
    </w:p>
    <w:p>
      <w:pPr>
        <w:ind w:firstLine="960" w:firstLineChars="200"/>
        <w:jc w:val="center"/>
        <w:rPr>
          <w:rFonts w:ascii="黑体" w:hAnsi="黑体" w:eastAsia="黑体" w:cs="黑体"/>
          <w:b/>
          <w:sz w:val="44"/>
          <w:szCs w:val="44"/>
        </w:rPr>
      </w:pPr>
      <w:r>
        <w:rPr>
          <w:rFonts w:hint="eastAsia" w:ascii="方正小标宋简体" w:hAnsi="方正小标宋简体" w:eastAsia="方正小标宋简体" w:cs="方正小标宋简体"/>
          <w:b/>
          <w:bCs/>
          <w:i w:val="0"/>
          <w:iCs w:val="0"/>
          <w:caps w:val="0"/>
          <w:color w:val="333333"/>
          <w:spacing w:val="0"/>
          <w:kern w:val="0"/>
          <w:sz w:val="48"/>
          <w:szCs w:val="48"/>
          <w:shd w:val="clear" w:color="auto" w:fill="FFFFFF"/>
          <w:lang w:val="en-US" w:eastAsia="zh-CN" w:bidi="ar"/>
        </w:rPr>
        <w:t>目    录</w:t>
      </w:r>
    </w:p>
    <w:p>
      <w:pPr>
        <w:ind w:firstLine="883" w:firstLineChars="200"/>
        <w:rPr>
          <w:b/>
          <w:sz w:val="44"/>
          <w:szCs w:val="44"/>
        </w:rPr>
      </w:pPr>
    </w:p>
    <w:p>
      <w:pPr>
        <w:bidi w:val="0"/>
        <w:rPr>
          <w:rFonts w:hint="eastAsia" w:ascii="黑体" w:hAnsi="黑体" w:eastAsia="黑体" w:cs="黑体"/>
          <w:b/>
          <w:bCs/>
        </w:rPr>
      </w:pPr>
    </w:p>
    <w:p>
      <w:pPr>
        <w:bidi w:val="0"/>
        <w:rPr>
          <w:rFonts w:hint="eastAsia" w:ascii="宋体" w:hAnsi="宋体" w:eastAsia="宋体" w:cs="宋体"/>
          <w:b/>
          <w:bCs/>
          <w:lang w:val="en-US" w:eastAsia="zh-CN"/>
        </w:rPr>
      </w:pPr>
      <w:r>
        <w:rPr>
          <w:rFonts w:hint="eastAsia" w:ascii="宋体" w:hAnsi="宋体" w:eastAsia="宋体" w:cs="宋体"/>
          <w:b/>
          <w:bCs/>
          <w:lang w:val="en-US" w:eastAsia="zh-CN"/>
        </w:rPr>
        <w:t>一、关于2022年南县转移支付情况说明</w:t>
      </w:r>
    </w:p>
    <w:p>
      <w:pPr>
        <w:bidi w:val="0"/>
        <w:rPr>
          <w:rFonts w:hint="eastAsia" w:ascii="宋体" w:hAnsi="宋体" w:eastAsia="宋体" w:cs="宋体"/>
          <w:b/>
          <w:bCs/>
          <w:lang w:eastAsia="zh-CN"/>
        </w:rPr>
      </w:pPr>
    </w:p>
    <w:p>
      <w:pPr>
        <w:bidi w:val="0"/>
        <w:rPr>
          <w:rFonts w:hint="eastAsia" w:ascii="宋体" w:hAnsi="宋体" w:eastAsia="宋体" w:cs="宋体"/>
          <w:b/>
          <w:bCs/>
        </w:rPr>
      </w:pPr>
      <w:r>
        <w:rPr>
          <w:rFonts w:hint="eastAsia" w:ascii="宋体" w:hAnsi="宋体" w:eastAsia="宋体" w:cs="宋体"/>
          <w:b/>
          <w:bCs/>
          <w:lang w:eastAsia="zh-CN"/>
        </w:rPr>
        <w:t>二、</w:t>
      </w:r>
      <w:r>
        <w:rPr>
          <w:rFonts w:hint="eastAsia" w:ascii="宋体" w:hAnsi="宋体" w:eastAsia="宋体" w:cs="宋体"/>
          <w:b/>
          <w:bCs/>
        </w:rPr>
        <w:t>关于202</w:t>
      </w:r>
      <w:r>
        <w:rPr>
          <w:rFonts w:hint="eastAsia" w:ascii="宋体" w:hAnsi="宋体" w:eastAsia="宋体" w:cs="宋体"/>
          <w:b/>
          <w:bCs/>
          <w:lang w:val="en-US" w:eastAsia="zh-CN"/>
        </w:rPr>
        <w:t>2</w:t>
      </w:r>
      <w:r>
        <w:rPr>
          <w:rFonts w:hint="eastAsia" w:ascii="宋体" w:hAnsi="宋体" w:eastAsia="宋体" w:cs="宋体"/>
          <w:b/>
          <w:bCs/>
        </w:rPr>
        <w:t>年南县“三公”经费支出情况说明</w:t>
      </w:r>
    </w:p>
    <w:p>
      <w:pPr>
        <w:bidi w:val="0"/>
        <w:rPr>
          <w:rFonts w:hint="eastAsia" w:ascii="宋体" w:hAnsi="宋体" w:eastAsia="宋体" w:cs="宋体"/>
          <w:b/>
          <w:bCs/>
        </w:rPr>
      </w:pPr>
    </w:p>
    <w:p>
      <w:pPr>
        <w:bidi w:val="0"/>
        <w:rPr>
          <w:rFonts w:hint="eastAsia" w:ascii="宋体" w:hAnsi="宋体" w:eastAsia="宋体" w:cs="宋体"/>
          <w:b/>
          <w:bCs/>
        </w:rPr>
      </w:pPr>
      <w:r>
        <w:rPr>
          <w:rFonts w:hint="eastAsia" w:ascii="宋体" w:hAnsi="宋体" w:eastAsia="宋体" w:cs="宋体"/>
          <w:b/>
          <w:bCs/>
          <w:lang w:eastAsia="zh-CN"/>
        </w:rPr>
        <w:t>三、</w:t>
      </w:r>
      <w:r>
        <w:rPr>
          <w:rFonts w:hint="eastAsia" w:ascii="宋体" w:hAnsi="宋体" w:eastAsia="宋体" w:cs="宋体"/>
          <w:b/>
          <w:bCs/>
        </w:rPr>
        <w:t>关于202</w:t>
      </w:r>
      <w:r>
        <w:rPr>
          <w:rFonts w:hint="eastAsia" w:ascii="宋体" w:hAnsi="宋体" w:eastAsia="宋体" w:cs="宋体"/>
          <w:b/>
          <w:bCs/>
          <w:lang w:val="en-US" w:eastAsia="zh-CN"/>
        </w:rPr>
        <w:t>2</w:t>
      </w:r>
      <w:r>
        <w:rPr>
          <w:rFonts w:hint="eastAsia" w:ascii="宋体" w:hAnsi="宋体" w:eastAsia="宋体" w:cs="宋体"/>
          <w:b/>
          <w:bCs/>
        </w:rPr>
        <w:t>年南县政府债务情况说明</w:t>
      </w:r>
    </w:p>
    <w:p>
      <w:pPr>
        <w:bidi w:val="0"/>
        <w:rPr>
          <w:rFonts w:hint="eastAsia" w:ascii="宋体" w:hAnsi="宋体" w:eastAsia="宋体" w:cs="宋体"/>
          <w:b/>
          <w:bCs/>
        </w:rPr>
      </w:pPr>
    </w:p>
    <w:p>
      <w:pPr>
        <w:bidi w:val="0"/>
        <w:rPr>
          <w:rFonts w:hint="eastAsia" w:ascii="黑体" w:hAnsi="黑体" w:eastAsia="黑体" w:cs="黑体"/>
          <w:b/>
          <w:bCs/>
        </w:rPr>
      </w:pPr>
      <w:r>
        <w:rPr>
          <w:rFonts w:hint="eastAsia" w:ascii="宋体" w:hAnsi="宋体" w:eastAsia="宋体" w:cs="宋体"/>
          <w:b/>
          <w:bCs/>
        </w:rPr>
        <w:t>四、关于202</w:t>
      </w:r>
      <w:r>
        <w:rPr>
          <w:rFonts w:hint="eastAsia" w:ascii="宋体" w:hAnsi="宋体" w:eastAsia="宋体" w:cs="宋体"/>
          <w:b/>
          <w:bCs/>
          <w:lang w:val="en-US" w:eastAsia="zh-CN"/>
        </w:rPr>
        <w:t>2</w:t>
      </w:r>
      <w:r>
        <w:rPr>
          <w:rFonts w:hint="eastAsia" w:ascii="宋体" w:hAnsi="宋体" w:eastAsia="宋体" w:cs="宋体"/>
          <w:b/>
          <w:bCs/>
        </w:rPr>
        <w:t>年南县预算绩效管理工作情况说明</w:t>
      </w:r>
    </w:p>
    <w:p>
      <w:pPr>
        <w:rPr>
          <w:rFonts w:ascii="宋体" w:hAnsi="宋体" w:eastAsia="宋体" w:cs="宋体"/>
          <w:bCs/>
          <w:sz w:val="32"/>
          <w:szCs w:val="32"/>
        </w:rPr>
      </w:pPr>
    </w:p>
    <w:p>
      <w:pPr>
        <w:rPr>
          <w:rFonts w:ascii="宋体" w:hAnsi="宋体" w:eastAsia="宋体" w:cs="宋体"/>
          <w:bCs/>
          <w:sz w:val="32"/>
          <w:szCs w:val="32"/>
        </w:rPr>
      </w:pPr>
    </w:p>
    <w:p>
      <w:pPr>
        <w:rPr>
          <w:rFonts w:ascii="宋体" w:hAnsi="宋体" w:eastAsia="宋体" w:cs="宋体"/>
          <w:bCs/>
          <w:sz w:val="32"/>
          <w:szCs w:val="32"/>
        </w:rPr>
      </w:pPr>
    </w:p>
    <w:p>
      <w:pPr>
        <w:rPr>
          <w:rFonts w:ascii="宋体" w:hAnsi="宋体" w:eastAsia="宋体" w:cs="宋体"/>
          <w:bCs/>
          <w:sz w:val="32"/>
          <w:szCs w:val="32"/>
        </w:rPr>
      </w:pPr>
    </w:p>
    <w:p>
      <w:pPr>
        <w:rPr>
          <w:rFonts w:ascii="宋体" w:hAnsi="宋体" w:eastAsia="宋体" w:cs="宋体"/>
          <w:bCs/>
          <w:sz w:val="32"/>
          <w:szCs w:val="32"/>
        </w:rPr>
      </w:pPr>
    </w:p>
    <w:p>
      <w:pPr>
        <w:rPr>
          <w:rFonts w:ascii="宋体" w:hAnsi="宋体" w:eastAsia="宋体" w:cs="宋体"/>
          <w:bCs/>
          <w:sz w:val="32"/>
          <w:szCs w:val="32"/>
        </w:rPr>
      </w:pPr>
    </w:p>
    <w:p>
      <w:pPr>
        <w:rPr>
          <w:rFonts w:ascii="宋体" w:hAnsi="宋体" w:eastAsia="宋体" w:cs="宋体"/>
          <w:bCs/>
          <w:sz w:val="32"/>
          <w:szCs w:val="32"/>
        </w:rPr>
      </w:pPr>
    </w:p>
    <w:p>
      <w:pPr>
        <w:pStyle w:val="6"/>
      </w:pPr>
    </w:p>
    <w:p>
      <w:bookmarkStart w:id="0" w:name="_GoBack"/>
      <w:bookmarkEnd w:id="0"/>
      <w:r>
        <w:rPr>
          <w:sz w:val="21"/>
        </w:rPr>
        <w:pict>
          <v:shape id="_x0000_s2050" o:spid="_x0000_s2050" o:spt="202" type="#_x0000_t202" style="position:absolute;left:0pt;margin-left:-92.95pt;margin-top:14.05pt;height:124.4pt;width:596.95pt;z-index:251659264;mso-width-relative:page;mso-height-relative:page;" fillcolor="#9DC3E6" filled="t" stroked="t" coordsize="21600,21600">
            <v:path/>
            <v:fill type="gradientRadial" on="t" color2="fill lighten(147)" focus="100%" focussize="0f,0f" focusposition="0f,0f" method="linear sigma">
              <o:fill type="gradientCenter" v:ext="backwardCompatible"/>
            </v:fill>
            <v:stroke color="#FFC000"/>
            <v:imagedata o:title=""/>
            <o:lock v:ext="edit" aspectratio="f"/>
            <v:textbox>
              <w:txbxContent>
                <w:p>
                  <w:pPr>
                    <w:rPr>
                      <w:rFonts w:hint="eastAsia" w:ascii="黑体" w:hAnsi="黑体" w:eastAsia="黑体" w:cs="黑体"/>
                      <w:b/>
                      <w:sz w:val="36"/>
                      <w:szCs w:val="36"/>
                    </w:rPr>
                  </w:pPr>
                </w:p>
                <w:p>
                  <w:pPr>
                    <w:keepNext w:val="0"/>
                    <w:keepLines w:val="0"/>
                    <w:pageBreakBefore w:val="0"/>
                    <w:widowControl w:val="0"/>
                    <w:kinsoku/>
                    <w:wordWrap/>
                    <w:overflowPunct/>
                    <w:topLinePunct w:val="0"/>
                    <w:autoSpaceDE/>
                    <w:autoSpaceDN/>
                    <w:bidi w:val="0"/>
                    <w:adjustRightInd/>
                    <w:snapToGrid/>
                    <w:ind w:firstLine="1601" w:firstLineChars="400"/>
                    <w:jc w:val="left"/>
                    <w:textAlignment w:val="auto"/>
                    <w:rPr>
                      <w:rFonts w:hint="eastAsia" w:ascii="方正小标宋简体" w:hAnsi="方正小标宋简体" w:eastAsia="方正小标宋简体" w:cs="方正小标宋简体"/>
                      <w:b/>
                      <w:bCs/>
                      <w:i w:val="0"/>
                      <w:iCs w:val="0"/>
                      <w:caps w:val="0"/>
                      <w:color w:val="333333"/>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bCs/>
                      <w:i w:val="0"/>
                      <w:iCs w:val="0"/>
                      <w:caps w:val="0"/>
                      <w:color w:val="333333"/>
                      <w:spacing w:val="0"/>
                      <w:kern w:val="0"/>
                      <w:sz w:val="40"/>
                      <w:szCs w:val="40"/>
                      <w:shd w:val="clear" w:color="auto" w:fill="FFFFFF"/>
                      <w:lang w:val="en-US" w:eastAsia="zh-CN" w:bidi="ar"/>
                    </w:rPr>
                    <w:t>一、关于2022年南县转移支付情况说明</w:t>
                  </w:r>
                </w:p>
                <w:p>
                  <w:pPr>
                    <w:keepNext w:val="0"/>
                    <w:keepLines w:val="0"/>
                    <w:pageBreakBefore w:val="0"/>
                    <w:widowControl w:val="0"/>
                    <w:kinsoku/>
                    <w:wordWrap/>
                    <w:overflowPunct/>
                    <w:topLinePunct w:val="0"/>
                    <w:autoSpaceDE/>
                    <w:autoSpaceDN/>
                    <w:bidi w:val="0"/>
                    <w:adjustRightInd/>
                    <w:snapToGrid/>
                    <w:ind w:firstLine="1325" w:firstLineChars="300"/>
                    <w:jc w:val="left"/>
                    <w:textAlignment w:val="auto"/>
                    <w:rPr>
                      <w:rFonts w:hint="eastAsia" w:ascii="黑体" w:hAnsi="黑体" w:eastAsia="黑体" w:cs="黑体"/>
                      <w:b/>
                      <w:bCs w:val="0"/>
                      <w:sz w:val="44"/>
                      <w:szCs w:val="44"/>
                    </w:rPr>
                  </w:pPr>
                </w:p>
              </w:txbxContent>
            </v:textbox>
          </v:shape>
        </w:pict>
      </w:r>
    </w:p>
    <w:p/>
    <w:p/>
    <w:p/>
    <w:p>
      <w:pPr>
        <w:pStyle w:val="5"/>
        <w:ind w:left="0" w:leftChars="0" w:firstLine="0" w:firstLineChars="0"/>
        <w:rPr>
          <w:rFonts w:hint="eastAsia" w:eastAsia="仿宋"/>
          <w:lang w:val="en-US" w:eastAsia="zh-CN"/>
        </w:rPr>
      </w:pP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w:t>
      </w:r>
      <w:r>
        <w:rPr>
          <w:rFonts w:hint="eastAsia" w:cs="仿宋"/>
          <w:kern w:val="2"/>
          <w:sz w:val="32"/>
          <w:szCs w:val="32"/>
          <w:lang w:val="en-US" w:eastAsia="zh-CN" w:bidi="ar-SA"/>
        </w:rPr>
        <w:t>2</w:t>
      </w:r>
      <w:r>
        <w:rPr>
          <w:rFonts w:hint="eastAsia" w:ascii="仿宋" w:hAnsi="仿宋" w:eastAsia="仿宋" w:cs="仿宋"/>
          <w:kern w:val="2"/>
          <w:sz w:val="32"/>
          <w:szCs w:val="32"/>
          <w:lang w:val="en-US" w:eastAsia="zh-CN" w:bidi="ar-SA"/>
        </w:rPr>
        <w:t>年，我县共收到上级下拨的转移支付3</w:t>
      </w:r>
      <w:r>
        <w:rPr>
          <w:rFonts w:hint="eastAsia" w:cs="仿宋"/>
          <w:kern w:val="2"/>
          <w:sz w:val="32"/>
          <w:szCs w:val="32"/>
          <w:lang w:val="en-US" w:eastAsia="zh-CN" w:bidi="ar-SA"/>
        </w:rPr>
        <w:t>83027</w:t>
      </w:r>
      <w:r>
        <w:rPr>
          <w:rFonts w:hint="eastAsia" w:ascii="仿宋" w:hAnsi="仿宋" w:eastAsia="仿宋" w:cs="仿宋"/>
          <w:kern w:val="2"/>
          <w:sz w:val="32"/>
          <w:szCs w:val="32"/>
          <w:lang w:val="en-US" w:eastAsia="zh-CN" w:bidi="ar-SA"/>
        </w:rPr>
        <w:t>万元，其中：一般公共预算转移支付373795万元，政府性基金预算转移支付9232万元。</w:t>
      </w:r>
    </w:p>
    <w:p>
      <w:pPr>
        <w:ind w:firstLine="640" w:firstLineChars="200"/>
        <w:rPr>
          <w:rFonts w:hint="eastAsia" w:ascii="仿宋" w:hAnsi="仿宋" w:eastAsia="仿宋" w:cs="仿宋"/>
          <w:color w:val="000000" w:themeColor="text1"/>
          <w:kern w:val="2"/>
          <w:sz w:val="32"/>
          <w:szCs w:val="32"/>
          <w:highlight w:val="none"/>
          <w:lang w:val="en-US" w:eastAsia="zh-CN" w:bidi="ar-SA"/>
        </w:rPr>
      </w:pPr>
      <w:r>
        <w:rPr>
          <w:rFonts w:hint="eastAsia" w:ascii="仿宋" w:hAnsi="仿宋" w:eastAsia="仿宋" w:cs="仿宋"/>
          <w:kern w:val="2"/>
          <w:sz w:val="32"/>
          <w:szCs w:val="32"/>
          <w:lang w:val="en-US" w:eastAsia="zh-CN" w:bidi="ar-SA"/>
        </w:rPr>
        <w:t>与上年相比</w:t>
      </w:r>
      <w:r>
        <w:rPr>
          <w:rFonts w:hint="eastAsia" w:cs="仿宋"/>
          <w:kern w:val="2"/>
          <w:sz w:val="32"/>
          <w:szCs w:val="32"/>
          <w:lang w:val="en-US" w:eastAsia="zh-CN" w:bidi="ar-SA"/>
        </w:rPr>
        <w:t>增加45973</w:t>
      </w:r>
      <w:r>
        <w:rPr>
          <w:rFonts w:hint="eastAsia" w:ascii="仿宋" w:hAnsi="仿宋" w:eastAsia="仿宋" w:cs="仿宋"/>
          <w:kern w:val="2"/>
          <w:sz w:val="32"/>
          <w:szCs w:val="32"/>
          <w:lang w:val="en-US" w:eastAsia="zh-CN" w:bidi="ar-SA"/>
        </w:rPr>
        <w:t>万元，</w:t>
      </w:r>
      <w:r>
        <w:rPr>
          <w:rFonts w:hint="eastAsia" w:cs="仿宋"/>
          <w:kern w:val="2"/>
          <w:sz w:val="32"/>
          <w:szCs w:val="32"/>
          <w:lang w:val="en-US" w:eastAsia="zh-CN" w:bidi="ar-SA"/>
        </w:rPr>
        <w:t>增长</w:t>
      </w:r>
      <w:r>
        <w:rPr>
          <w:rFonts w:hint="eastAsia" w:ascii="仿宋" w:hAnsi="仿宋" w:eastAsia="仿宋" w:cs="仿宋"/>
          <w:kern w:val="2"/>
          <w:sz w:val="32"/>
          <w:szCs w:val="32"/>
          <w:lang w:val="en-US" w:eastAsia="zh-CN" w:bidi="ar-SA"/>
        </w:rPr>
        <w:t>1</w:t>
      </w:r>
      <w:r>
        <w:rPr>
          <w:rFonts w:hint="eastAsia" w:cs="仿宋"/>
          <w:kern w:val="2"/>
          <w:sz w:val="32"/>
          <w:szCs w:val="32"/>
          <w:lang w:val="en-US" w:eastAsia="zh-CN" w:bidi="ar-SA"/>
        </w:rPr>
        <w:t>3.64</w:t>
      </w:r>
      <w:r>
        <w:rPr>
          <w:rFonts w:hint="eastAsia" w:ascii="仿宋" w:hAnsi="仿宋" w:eastAsia="仿宋" w:cs="仿宋"/>
          <w:kern w:val="2"/>
          <w:sz w:val="32"/>
          <w:szCs w:val="32"/>
          <w:lang w:val="en-US" w:eastAsia="zh-CN" w:bidi="ar-SA"/>
        </w:rPr>
        <w:t>%，</w:t>
      </w:r>
      <w:r>
        <w:rPr>
          <w:rFonts w:hint="eastAsia" w:ascii="仿宋" w:hAnsi="仿宋" w:eastAsia="仿宋" w:cs="仿宋"/>
          <w:color w:val="000000" w:themeColor="text1"/>
          <w:kern w:val="2"/>
          <w:sz w:val="32"/>
          <w:szCs w:val="32"/>
          <w:highlight w:val="none"/>
          <w:lang w:val="en-US" w:eastAsia="zh-CN" w:bidi="ar-SA"/>
        </w:rPr>
        <w:t>主要是因为</w:t>
      </w:r>
      <w:r>
        <w:rPr>
          <w:rFonts w:hint="eastAsia" w:cs="仿宋"/>
          <w:color w:val="000000" w:themeColor="text1"/>
          <w:kern w:val="2"/>
          <w:sz w:val="32"/>
          <w:szCs w:val="32"/>
          <w:highlight w:val="none"/>
          <w:lang w:val="en-US" w:eastAsia="zh-CN" w:bidi="ar-SA"/>
        </w:rPr>
        <w:t>：</w:t>
      </w:r>
      <w:r>
        <w:rPr>
          <w:rFonts w:hint="eastAsia" w:cs="仿宋"/>
          <w:color w:val="auto"/>
          <w:kern w:val="2"/>
          <w:sz w:val="32"/>
          <w:szCs w:val="32"/>
          <w:highlight w:val="none"/>
          <w:lang w:val="en-US" w:eastAsia="zh-CN" w:bidi="ar-SA"/>
        </w:rPr>
        <w:t>一是增加了增值税留抵退税转移支付收入2160万元、其他退税减税降费转移支付收入1372万元、补充县区财力转移支付收入15407万元；二是</w:t>
      </w:r>
      <w:r>
        <w:rPr>
          <w:rFonts w:hint="eastAsia" w:ascii="仿宋" w:hAnsi="仿宋" w:eastAsia="仿宋" w:cs="仿宋"/>
          <w:color w:val="auto"/>
          <w:kern w:val="2"/>
          <w:sz w:val="32"/>
          <w:szCs w:val="32"/>
          <w:highlight w:val="none"/>
          <w:lang w:val="en-US" w:eastAsia="zh-CN" w:bidi="ar-SA"/>
        </w:rPr>
        <w:t>政府性基金预算转移支付中</w:t>
      </w:r>
      <w:r>
        <w:rPr>
          <w:rFonts w:hint="eastAsia" w:cs="仿宋"/>
          <w:color w:val="auto"/>
          <w:kern w:val="2"/>
          <w:sz w:val="32"/>
          <w:szCs w:val="32"/>
          <w:highlight w:val="none"/>
          <w:lang w:val="en-US" w:eastAsia="zh-CN" w:bidi="ar-SA"/>
        </w:rPr>
        <w:t>增加农林水</w:t>
      </w:r>
      <w:r>
        <w:rPr>
          <w:rFonts w:hint="eastAsia" w:ascii="仿宋" w:hAnsi="仿宋" w:eastAsia="仿宋" w:cs="仿宋"/>
          <w:color w:val="auto"/>
          <w:kern w:val="2"/>
          <w:sz w:val="32"/>
          <w:szCs w:val="32"/>
          <w:highlight w:val="none"/>
          <w:lang w:val="en-US" w:eastAsia="zh-CN" w:bidi="ar-SA"/>
        </w:rPr>
        <w:t>支付收入</w:t>
      </w:r>
      <w:r>
        <w:rPr>
          <w:rFonts w:hint="eastAsia" w:cs="仿宋"/>
          <w:color w:val="auto"/>
          <w:kern w:val="2"/>
          <w:sz w:val="32"/>
          <w:szCs w:val="32"/>
          <w:highlight w:val="none"/>
          <w:lang w:val="en-US" w:eastAsia="zh-CN" w:bidi="ar-SA"/>
        </w:rPr>
        <w:t>4403</w:t>
      </w:r>
      <w:r>
        <w:rPr>
          <w:rFonts w:hint="eastAsia" w:ascii="仿宋" w:hAnsi="仿宋" w:eastAsia="仿宋" w:cs="仿宋"/>
          <w:color w:val="auto"/>
          <w:kern w:val="2"/>
          <w:sz w:val="32"/>
          <w:szCs w:val="32"/>
          <w:highlight w:val="none"/>
          <w:lang w:val="en-US" w:eastAsia="zh-CN" w:bidi="ar-SA"/>
        </w:rPr>
        <w:t>万元。</w:t>
      </w:r>
    </w:p>
    <w:p>
      <w:pPr>
        <w:pStyle w:val="6"/>
        <w:rPr>
          <w:rFonts w:hint="default"/>
          <w:lang w:val="en-US" w:eastAsia="zh-CN"/>
        </w:rPr>
      </w:pPr>
    </w:p>
    <w:p>
      <w:pPr>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一般公共预算转移支付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cs="仿宋"/>
          <w:sz w:val="32"/>
          <w:szCs w:val="32"/>
          <w:lang w:val="en-US" w:eastAsia="zh-CN"/>
        </w:rPr>
        <w:t>2</w:t>
      </w:r>
      <w:r>
        <w:rPr>
          <w:rFonts w:hint="eastAsia" w:ascii="仿宋" w:hAnsi="仿宋" w:eastAsia="仿宋" w:cs="仿宋"/>
          <w:sz w:val="32"/>
          <w:szCs w:val="32"/>
        </w:rPr>
        <w:t>年，上级下达我县一般公共预算转移支付</w:t>
      </w:r>
      <w:r>
        <w:rPr>
          <w:rFonts w:hint="eastAsia" w:ascii="仿宋" w:hAnsi="仿宋" w:eastAsia="仿宋" w:cs="仿宋"/>
          <w:sz w:val="32"/>
          <w:szCs w:val="32"/>
          <w:lang w:val="en-US" w:eastAsia="zh-CN"/>
        </w:rPr>
        <w:t>3</w:t>
      </w:r>
      <w:r>
        <w:rPr>
          <w:rFonts w:hint="eastAsia" w:cs="仿宋"/>
          <w:sz w:val="32"/>
          <w:szCs w:val="32"/>
          <w:lang w:val="en-US" w:eastAsia="zh-CN"/>
        </w:rPr>
        <w:t>67964</w:t>
      </w:r>
      <w:r>
        <w:rPr>
          <w:rFonts w:hint="eastAsia" w:ascii="仿宋" w:hAnsi="仿宋" w:eastAsia="仿宋" w:cs="仿宋"/>
          <w:sz w:val="32"/>
          <w:szCs w:val="32"/>
        </w:rPr>
        <w:t>万元，比上年</w:t>
      </w:r>
      <w:r>
        <w:rPr>
          <w:rFonts w:hint="eastAsia" w:cs="仿宋"/>
          <w:sz w:val="32"/>
          <w:szCs w:val="32"/>
          <w:lang w:eastAsia="zh-CN"/>
        </w:rPr>
        <w:t>增加</w:t>
      </w:r>
      <w:r>
        <w:rPr>
          <w:rFonts w:hint="eastAsia" w:cs="仿宋"/>
          <w:sz w:val="32"/>
          <w:szCs w:val="32"/>
          <w:lang w:val="en-US" w:eastAsia="zh-CN"/>
        </w:rPr>
        <w:t>36219</w:t>
      </w:r>
      <w:r>
        <w:rPr>
          <w:rFonts w:hint="eastAsia" w:ascii="仿宋" w:hAnsi="仿宋" w:eastAsia="仿宋" w:cs="仿宋"/>
          <w:sz w:val="32"/>
          <w:szCs w:val="32"/>
        </w:rPr>
        <w:t>万元，</w:t>
      </w:r>
      <w:r>
        <w:rPr>
          <w:rFonts w:hint="eastAsia" w:cs="仿宋"/>
          <w:sz w:val="32"/>
          <w:szCs w:val="32"/>
          <w:lang w:eastAsia="zh-CN"/>
        </w:rPr>
        <w:t>增长</w:t>
      </w:r>
      <w:r>
        <w:rPr>
          <w:rFonts w:hint="eastAsia" w:cs="仿宋"/>
          <w:sz w:val="32"/>
          <w:szCs w:val="32"/>
          <w:lang w:val="en-US" w:eastAsia="zh-CN"/>
        </w:rPr>
        <w:t>10.92</w:t>
      </w:r>
      <w:r>
        <w:rPr>
          <w:rFonts w:hint="eastAsia" w:ascii="仿宋" w:hAnsi="仿宋" w:eastAsia="仿宋" w:cs="仿宋"/>
          <w:sz w:val="32"/>
          <w:szCs w:val="32"/>
        </w:rPr>
        <w:t>%，其中：一般性转移支付</w:t>
      </w:r>
      <w:r>
        <w:rPr>
          <w:rFonts w:hint="eastAsia" w:cs="仿宋"/>
          <w:sz w:val="32"/>
          <w:szCs w:val="32"/>
          <w:lang w:val="en-US" w:eastAsia="zh-CN"/>
        </w:rPr>
        <w:t>308806</w:t>
      </w:r>
      <w:r>
        <w:rPr>
          <w:rFonts w:hint="eastAsia" w:ascii="仿宋" w:hAnsi="仿宋" w:eastAsia="仿宋" w:cs="仿宋"/>
          <w:sz w:val="32"/>
          <w:szCs w:val="32"/>
        </w:rPr>
        <w:t>万元</w:t>
      </w:r>
      <w:r>
        <w:rPr>
          <w:rFonts w:hint="eastAsia" w:ascii="仿宋" w:hAnsi="仿宋" w:eastAsia="仿宋" w:cs="仿宋"/>
          <w:sz w:val="32"/>
          <w:szCs w:val="32"/>
          <w:lang w:eastAsia="zh-CN"/>
        </w:rPr>
        <w:t>，占</w:t>
      </w:r>
      <w:r>
        <w:rPr>
          <w:rFonts w:hint="eastAsia" w:cs="仿宋"/>
          <w:sz w:val="32"/>
          <w:szCs w:val="32"/>
          <w:lang w:val="en-US" w:eastAsia="zh-CN"/>
        </w:rPr>
        <w:t>83.92</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w:t>
      </w:r>
      <w:r>
        <w:rPr>
          <w:rFonts w:hint="eastAsia" w:ascii="仿宋" w:hAnsi="仿宋" w:eastAsia="仿宋" w:cs="仿宋"/>
          <w:sz w:val="32"/>
          <w:szCs w:val="32"/>
        </w:rPr>
        <w:t>专项转移支付</w:t>
      </w:r>
      <w:r>
        <w:rPr>
          <w:rFonts w:hint="eastAsia" w:cs="仿宋"/>
          <w:sz w:val="32"/>
          <w:szCs w:val="32"/>
          <w:lang w:val="en-US" w:eastAsia="zh-CN"/>
        </w:rPr>
        <w:t>59158</w:t>
      </w:r>
      <w:r>
        <w:rPr>
          <w:rFonts w:hint="eastAsia" w:ascii="仿宋" w:hAnsi="仿宋" w:eastAsia="仿宋" w:cs="仿宋"/>
          <w:sz w:val="32"/>
          <w:szCs w:val="32"/>
        </w:rPr>
        <w:t>万元</w:t>
      </w:r>
      <w:r>
        <w:rPr>
          <w:rFonts w:hint="eastAsia" w:ascii="仿宋" w:hAnsi="仿宋" w:eastAsia="仿宋" w:cs="仿宋"/>
          <w:sz w:val="32"/>
          <w:szCs w:val="32"/>
          <w:lang w:eastAsia="zh-CN"/>
        </w:rPr>
        <w:t>，占</w:t>
      </w:r>
      <w:r>
        <w:rPr>
          <w:rFonts w:hint="eastAsia" w:cs="仿宋"/>
          <w:sz w:val="32"/>
          <w:szCs w:val="32"/>
          <w:lang w:val="en-US" w:eastAsia="zh-CN"/>
        </w:rPr>
        <w:t>16.08</w:t>
      </w:r>
      <w:r>
        <w:rPr>
          <w:rFonts w:hint="eastAsia" w:ascii="仿宋" w:hAnsi="仿宋" w:eastAsia="仿宋" w:cs="仿宋"/>
          <w:sz w:val="32"/>
          <w:szCs w:val="32"/>
          <w:lang w:val="en-US" w:eastAsia="zh-CN"/>
        </w:rPr>
        <w:t>%</w:t>
      </w:r>
      <w:r>
        <w:rPr>
          <w:rFonts w:hint="eastAsia" w:ascii="仿宋" w:hAnsi="仿宋" w:eastAsia="仿宋" w:cs="仿宋"/>
          <w:sz w:val="32"/>
          <w:szCs w:val="32"/>
        </w:rPr>
        <w:t>。</w:t>
      </w:r>
    </w:p>
    <w:p>
      <w:pPr>
        <w:pStyle w:val="6"/>
        <w:rPr>
          <w:rFonts w:hint="eastAsia"/>
        </w:rPr>
      </w:pPr>
      <w:r>
        <w:rPr>
          <w:rFonts w:hint="eastAsia" w:ascii="仿宋" w:hAnsi="仿宋" w:eastAsia="仿宋" w:cs="仿宋"/>
          <w:sz w:val="32"/>
          <w:szCs w:val="32"/>
          <w:lang w:eastAsia="zh-CN"/>
        </w:rPr>
        <w:drawing>
          <wp:anchor distT="0" distB="0" distL="114300" distR="114300" simplePos="0" relativeHeight="251664384" behindDoc="0" locked="0" layoutInCell="1" allowOverlap="1">
            <wp:simplePos x="0" y="0"/>
            <wp:positionH relativeFrom="column">
              <wp:posOffset>-313055</wp:posOffset>
            </wp:positionH>
            <wp:positionV relativeFrom="page">
              <wp:posOffset>1210945</wp:posOffset>
            </wp:positionV>
            <wp:extent cx="5956935" cy="3884295"/>
            <wp:effectExtent l="4445" t="4445" r="20320" b="1651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numPr>
          <w:ilvl w:val="0"/>
          <w:numId w:val="0"/>
        </w:numPr>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一般性转移支付情况</w:t>
      </w:r>
    </w:p>
    <w:p>
      <w:pPr>
        <w:numPr>
          <w:ilvl w:val="0"/>
          <w:numId w:val="0"/>
        </w:numPr>
        <w:ind w:firstLine="640" w:firstLineChars="200"/>
        <w:rPr>
          <w:rFonts w:hint="eastAsia"/>
          <w:lang w:val="en-US" w:eastAsia="zh-CN"/>
        </w:rPr>
      </w:pPr>
      <w:r>
        <w:rPr>
          <w:rFonts w:hint="eastAsia" w:ascii="仿宋" w:hAnsi="仿宋" w:eastAsia="仿宋" w:cs="仿宋"/>
          <w:b w:val="0"/>
          <w:bCs w:val="0"/>
          <w:sz w:val="32"/>
          <w:szCs w:val="32"/>
          <w:lang w:val="en-US" w:eastAsia="zh-CN"/>
        </w:rPr>
        <w:t>202</w:t>
      </w:r>
      <w:r>
        <w:rPr>
          <w:rFonts w:hint="eastAsia" w:cs="仿宋"/>
          <w:b w:val="0"/>
          <w:bCs w:val="0"/>
          <w:sz w:val="32"/>
          <w:szCs w:val="32"/>
          <w:lang w:val="en-US" w:eastAsia="zh-CN"/>
        </w:rPr>
        <w:t>2</w:t>
      </w:r>
      <w:r>
        <w:rPr>
          <w:rFonts w:hint="eastAsia" w:ascii="仿宋" w:hAnsi="仿宋" w:eastAsia="仿宋" w:cs="仿宋"/>
          <w:b w:val="0"/>
          <w:bCs w:val="0"/>
          <w:sz w:val="32"/>
          <w:szCs w:val="32"/>
          <w:lang w:val="en-US" w:eastAsia="zh-CN"/>
        </w:rPr>
        <w:t>年</w:t>
      </w:r>
      <w:r>
        <w:rPr>
          <w:rFonts w:hint="eastAsia" w:ascii="楷体" w:hAnsi="楷体" w:eastAsia="楷体" w:cs="楷体"/>
          <w:b w:val="0"/>
          <w:bCs w:val="0"/>
          <w:sz w:val="32"/>
          <w:szCs w:val="32"/>
        </w:rPr>
        <w:t>一般性转移支付</w:t>
      </w:r>
      <w:r>
        <w:rPr>
          <w:rFonts w:hint="eastAsia" w:cs="仿宋"/>
          <w:sz w:val="32"/>
          <w:szCs w:val="32"/>
          <w:lang w:val="en-US" w:eastAsia="zh-CN"/>
        </w:rPr>
        <w:t>308806</w:t>
      </w:r>
      <w:r>
        <w:rPr>
          <w:rFonts w:hint="eastAsia" w:ascii="仿宋" w:hAnsi="仿宋" w:eastAsia="仿宋" w:cs="仿宋"/>
          <w:sz w:val="32"/>
          <w:szCs w:val="32"/>
        </w:rPr>
        <w:t>万元</w:t>
      </w:r>
      <w:r>
        <w:rPr>
          <w:rFonts w:hint="eastAsia" w:ascii="仿宋" w:hAnsi="仿宋" w:eastAsia="仿宋" w:cs="仿宋"/>
          <w:sz w:val="32"/>
          <w:szCs w:val="32"/>
          <w:lang w:eastAsia="zh-CN"/>
        </w:rPr>
        <w:t>，比上年</w:t>
      </w:r>
      <w:r>
        <w:rPr>
          <w:rFonts w:hint="eastAsia" w:cs="仿宋"/>
          <w:sz w:val="32"/>
          <w:szCs w:val="32"/>
          <w:lang w:eastAsia="zh-CN"/>
        </w:rPr>
        <w:t>增加</w:t>
      </w:r>
      <w:r>
        <w:rPr>
          <w:rFonts w:hint="eastAsia" w:cs="仿宋"/>
          <w:sz w:val="32"/>
          <w:szCs w:val="32"/>
          <w:lang w:val="en-US" w:eastAsia="zh-CN"/>
        </w:rPr>
        <w:t>44386</w:t>
      </w:r>
      <w:r>
        <w:rPr>
          <w:rFonts w:hint="eastAsia" w:ascii="仿宋" w:hAnsi="仿宋" w:eastAsia="仿宋" w:cs="仿宋"/>
          <w:sz w:val="32"/>
          <w:szCs w:val="32"/>
          <w:lang w:val="en-US" w:eastAsia="zh-CN"/>
        </w:rPr>
        <w:t>万元，</w:t>
      </w:r>
      <w:r>
        <w:rPr>
          <w:rFonts w:hint="eastAsia" w:cs="仿宋"/>
          <w:sz w:val="32"/>
          <w:szCs w:val="32"/>
          <w:lang w:val="en-US" w:eastAsia="zh-CN"/>
        </w:rPr>
        <w:t>增长16.79</w:t>
      </w:r>
      <w:r>
        <w:rPr>
          <w:rFonts w:hint="eastAsia" w:ascii="仿宋" w:hAnsi="仿宋" w:eastAsia="仿宋" w:cs="仿宋"/>
          <w:sz w:val="32"/>
          <w:szCs w:val="32"/>
          <w:lang w:val="en-US" w:eastAsia="zh-CN"/>
        </w:rPr>
        <w:t>%，主要是因为：</w:t>
      </w:r>
      <w:r>
        <w:rPr>
          <w:rFonts w:hint="eastAsia" w:ascii="仿宋" w:hAnsi="仿宋" w:eastAsia="仿宋" w:cs="仿宋"/>
          <w:color w:val="auto"/>
          <w:sz w:val="32"/>
          <w:szCs w:val="32"/>
          <w:lang w:val="en-US" w:eastAsia="zh-CN"/>
        </w:rPr>
        <w:t>均衡性转移支付收入、医疗卫生共同财政事权转移支付收入</w:t>
      </w:r>
      <w:r>
        <w:rPr>
          <w:rFonts w:hint="eastAsia" w:cs="仿宋"/>
          <w:color w:val="auto"/>
          <w:sz w:val="32"/>
          <w:szCs w:val="32"/>
          <w:lang w:val="en-US" w:eastAsia="zh-CN"/>
        </w:rPr>
        <w:t>、</w:t>
      </w:r>
      <w:r>
        <w:rPr>
          <w:rFonts w:hint="eastAsia" w:ascii="仿宋" w:hAnsi="仿宋" w:eastAsia="仿宋" w:cs="仿宋"/>
          <w:color w:val="auto"/>
          <w:sz w:val="32"/>
          <w:szCs w:val="32"/>
          <w:lang w:val="en-US" w:eastAsia="zh-CN"/>
        </w:rPr>
        <w:t>农林水共同财政事权转移支付收入</w:t>
      </w:r>
      <w:r>
        <w:rPr>
          <w:rFonts w:hint="eastAsia" w:cs="仿宋"/>
          <w:color w:val="auto"/>
          <w:sz w:val="32"/>
          <w:szCs w:val="32"/>
          <w:lang w:val="en-US" w:eastAsia="zh-CN"/>
        </w:rPr>
        <w:t>、</w:t>
      </w:r>
      <w:r>
        <w:rPr>
          <w:rFonts w:hint="eastAsia" w:cs="仿宋"/>
          <w:color w:val="auto"/>
          <w:kern w:val="2"/>
          <w:sz w:val="32"/>
          <w:szCs w:val="32"/>
          <w:highlight w:val="none"/>
          <w:lang w:val="en-US" w:eastAsia="zh-CN" w:bidi="ar-SA"/>
        </w:rPr>
        <w:t>增值税留抵退税转移支付收入、其他退税减税降费转移支付收入、补充县区财力转移支付收入</w:t>
      </w:r>
      <w:r>
        <w:rPr>
          <w:rFonts w:hint="eastAsia" w:cs="仿宋"/>
          <w:color w:val="auto"/>
          <w:sz w:val="32"/>
          <w:szCs w:val="32"/>
          <w:lang w:eastAsia="zh-CN"/>
        </w:rPr>
        <w:t>增幅</w:t>
      </w:r>
      <w:r>
        <w:rPr>
          <w:rFonts w:hint="eastAsia" w:ascii="仿宋" w:hAnsi="仿宋" w:eastAsia="仿宋" w:cs="仿宋"/>
          <w:color w:val="auto"/>
          <w:sz w:val="32"/>
          <w:szCs w:val="32"/>
          <w:lang w:eastAsia="zh-CN"/>
        </w:rPr>
        <w:t>较大。</w:t>
      </w:r>
      <w:r>
        <w:rPr>
          <w:rFonts w:hint="eastAsia" w:ascii="仿宋" w:hAnsi="仿宋" w:eastAsia="仿宋" w:cs="仿宋"/>
          <w:sz w:val="32"/>
          <w:szCs w:val="32"/>
          <w:lang w:eastAsia="zh-CN"/>
        </w:rPr>
        <w:t>具体明细情况如下：</w:t>
      </w:r>
    </w:p>
    <w:p>
      <w:pPr>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均衡性转移支付81344万元，</w:t>
      </w:r>
      <w:r>
        <w:rPr>
          <w:rFonts w:hint="eastAsia"/>
          <w:lang w:eastAsia="zh-CN"/>
        </w:rPr>
        <w:t>增长</w:t>
      </w:r>
      <w:r>
        <w:rPr>
          <w:rFonts w:hint="eastAsia"/>
          <w:lang w:val="en-US" w:eastAsia="zh-CN"/>
        </w:rPr>
        <w:t>16.54</w:t>
      </w:r>
      <w:r>
        <w:rPr>
          <w:rFonts w:hint="eastAsia"/>
        </w:rPr>
        <w:t>%。</w:t>
      </w:r>
    </w:p>
    <w:p>
      <w:pPr>
        <w:bidi w:val="0"/>
        <w:rPr>
          <w:rFonts w:hint="eastAsia"/>
          <w:lang w:eastAsia="zh-CN"/>
        </w:rPr>
      </w:pPr>
      <w:r>
        <w:rPr>
          <w:rFonts w:hint="eastAsia"/>
          <w:lang w:eastAsia="zh-CN"/>
        </w:rPr>
        <w:t>（</w:t>
      </w:r>
      <w:r>
        <w:rPr>
          <w:rFonts w:hint="eastAsia"/>
          <w:lang w:val="en-US" w:eastAsia="zh-CN"/>
        </w:rPr>
        <w:t>2）</w:t>
      </w:r>
      <w:r>
        <w:rPr>
          <w:rFonts w:hint="eastAsia"/>
          <w:lang w:eastAsia="zh-CN"/>
        </w:rPr>
        <w:t>县级基本财力保障机制奖补资金</w:t>
      </w:r>
      <w:r>
        <w:rPr>
          <w:rFonts w:hint="eastAsia"/>
          <w:lang w:val="en-US" w:eastAsia="zh-CN"/>
        </w:rPr>
        <w:t>27056</w:t>
      </w:r>
      <w:r>
        <w:rPr>
          <w:rFonts w:hint="eastAsia"/>
          <w:lang w:eastAsia="zh-CN"/>
        </w:rPr>
        <w:t>万元，增长</w:t>
      </w:r>
      <w:r>
        <w:rPr>
          <w:rFonts w:hint="eastAsia"/>
          <w:lang w:val="en-US" w:eastAsia="zh-CN"/>
        </w:rPr>
        <w:t>4.08</w:t>
      </w:r>
      <w:r>
        <w:rPr>
          <w:rFonts w:hint="eastAsia"/>
          <w:lang w:eastAsia="zh-CN"/>
        </w:rPr>
        <w:t>%。</w:t>
      </w:r>
    </w:p>
    <w:p>
      <w:pPr>
        <w:bidi w:val="0"/>
        <w:rPr>
          <w:rFonts w:hint="eastAsia"/>
          <w:lang w:eastAsia="zh-CN"/>
        </w:rPr>
      </w:pPr>
      <w:r>
        <w:rPr>
          <w:rFonts w:hint="eastAsia"/>
          <w:lang w:eastAsia="zh-CN"/>
        </w:rPr>
        <w:t>（</w:t>
      </w:r>
      <w:r>
        <w:rPr>
          <w:rFonts w:hint="eastAsia"/>
          <w:lang w:val="en-US" w:eastAsia="zh-CN"/>
        </w:rPr>
        <w:t>3</w:t>
      </w:r>
      <w:r>
        <w:rPr>
          <w:rFonts w:hint="eastAsia"/>
          <w:lang w:eastAsia="zh-CN"/>
        </w:rPr>
        <w:t>）结算补助收入</w:t>
      </w:r>
      <w:r>
        <w:rPr>
          <w:rFonts w:hint="eastAsia"/>
          <w:lang w:val="en-US" w:eastAsia="zh-CN"/>
        </w:rPr>
        <w:t>3891</w:t>
      </w:r>
      <w:r>
        <w:rPr>
          <w:rFonts w:hint="eastAsia"/>
          <w:lang w:eastAsia="zh-CN"/>
        </w:rPr>
        <w:t>万元，增长</w:t>
      </w:r>
      <w:r>
        <w:rPr>
          <w:rFonts w:hint="eastAsia"/>
          <w:lang w:val="en-US" w:eastAsia="zh-CN"/>
        </w:rPr>
        <w:t>18.2</w:t>
      </w:r>
      <w:r>
        <w:rPr>
          <w:rFonts w:hint="eastAsia"/>
          <w:lang w:eastAsia="zh-CN"/>
        </w:rPr>
        <w:t>%。</w:t>
      </w:r>
    </w:p>
    <w:p>
      <w:pPr>
        <w:bidi w:val="0"/>
        <w:rPr>
          <w:rFonts w:hint="eastAsia"/>
          <w:lang w:eastAsia="zh-CN"/>
        </w:rPr>
      </w:pPr>
      <w:r>
        <w:rPr>
          <w:rFonts w:hint="eastAsia"/>
          <w:lang w:eastAsia="zh-CN"/>
        </w:rPr>
        <w:t>（</w:t>
      </w:r>
      <w:r>
        <w:rPr>
          <w:rFonts w:hint="eastAsia"/>
          <w:lang w:val="en-US" w:eastAsia="zh-CN"/>
        </w:rPr>
        <w:t>4</w:t>
      </w:r>
      <w:r>
        <w:rPr>
          <w:rFonts w:hint="eastAsia"/>
          <w:lang w:eastAsia="zh-CN"/>
        </w:rPr>
        <w:t>）企业事业单位划转补助收入89万元，与上年持平。</w:t>
      </w:r>
    </w:p>
    <w:p>
      <w:pPr>
        <w:bidi w:val="0"/>
        <w:rPr>
          <w:rFonts w:hint="eastAsia"/>
          <w:lang w:eastAsia="zh-CN"/>
        </w:rPr>
      </w:pPr>
      <w:r>
        <w:rPr>
          <w:rFonts w:hint="eastAsia"/>
          <w:lang w:eastAsia="zh-CN"/>
        </w:rPr>
        <w:t>（</w:t>
      </w:r>
      <w:r>
        <w:rPr>
          <w:rFonts w:hint="eastAsia"/>
          <w:lang w:val="en-US" w:eastAsia="zh-CN"/>
        </w:rPr>
        <w:t>5</w:t>
      </w:r>
      <w:r>
        <w:rPr>
          <w:rFonts w:hint="eastAsia"/>
          <w:lang w:eastAsia="zh-CN"/>
        </w:rPr>
        <w:t>）产粮(油)大县奖励资金4</w:t>
      </w:r>
      <w:r>
        <w:rPr>
          <w:rFonts w:hint="eastAsia"/>
          <w:lang w:val="en-US" w:eastAsia="zh-CN"/>
        </w:rPr>
        <w:t>733</w:t>
      </w:r>
      <w:r>
        <w:rPr>
          <w:rFonts w:hint="eastAsia"/>
          <w:lang w:eastAsia="zh-CN"/>
        </w:rPr>
        <w:t>万元，增长</w:t>
      </w:r>
      <w:r>
        <w:rPr>
          <w:rFonts w:hint="eastAsia"/>
          <w:lang w:val="en-US" w:eastAsia="zh-CN"/>
        </w:rPr>
        <w:t>9.92</w:t>
      </w:r>
      <w:r>
        <w:rPr>
          <w:rFonts w:hint="eastAsia"/>
          <w:lang w:eastAsia="zh-CN"/>
        </w:rPr>
        <w:t>%。</w:t>
      </w:r>
    </w:p>
    <w:p>
      <w:pPr>
        <w:bidi w:val="0"/>
        <w:rPr>
          <w:rFonts w:hint="eastAsia"/>
          <w:lang w:eastAsia="zh-CN"/>
        </w:rPr>
      </w:pPr>
      <w:r>
        <w:rPr>
          <w:rFonts w:hint="eastAsia"/>
          <w:lang w:eastAsia="zh-CN"/>
        </w:rPr>
        <w:t>（</w:t>
      </w:r>
      <w:r>
        <w:rPr>
          <w:rFonts w:hint="eastAsia"/>
          <w:lang w:val="en-US" w:eastAsia="zh-CN"/>
        </w:rPr>
        <w:t>6</w:t>
      </w:r>
      <w:r>
        <w:rPr>
          <w:rFonts w:hint="eastAsia"/>
          <w:lang w:eastAsia="zh-CN"/>
        </w:rPr>
        <w:t>）重点生态功能区转移支付</w:t>
      </w:r>
      <w:r>
        <w:rPr>
          <w:rFonts w:hint="eastAsia"/>
          <w:lang w:val="en-US" w:eastAsia="zh-CN"/>
        </w:rPr>
        <w:t>3497</w:t>
      </w:r>
      <w:r>
        <w:rPr>
          <w:rFonts w:hint="eastAsia"/>
          <w:lang w:eastAsia="zh-CN"/>
        </w:rPr>
        <w:t>万元，增长</w:t>
      </w:r>
      <w:r>
        <w:rPr>
          <w:rFonts w:hint="eastAsia"/>
          <w:lang w:val="en-US" w:eastAsia="zh-CN"/>
        </w:rPr>
        <w:t>1.48</w:t>
      </w:r>
      <w:r>
        <w:rPr>
          <w:rFonts w:hint="eastAsia"/>
          <w:lang w:eastAsia="zh-CN"/>
        </w:rPr>
        <w:t>%。</w:t>
      </w:r>
    </w:p>
    <w:p>
      <w:pPr>
        <w:bidi w:val="0"/>
        <w:rPr>
          <w:rFonts w:hint="eastAsia"/>
          <w:lang w:eastAsia="zh-CN"/>
        </w:rPr>
      </w:pPr>
      <w:r>
        <w:rPr>
          <w:rFonts w:hint="eastAsia"/>
          <w:lang w:eastAsia="zh-CN"/>
        </w:rPr>
        <w:t>（</w:t>
      </w:r>
      <w:r>
        <w:rPr>
          <w:rFonts w:hint="eastAsia"/>
          <w:lang w:val="en-US" w:eastAsia="zh-CN"/>
        </w:rPr>
        <w:t>7</w:t>
      </w:r>
      <w:r>
        <w:rPr>
          <w:rFonts w:hint="eastAsia"/>
          <w:lang w:eastAsia="zh-CN"/>
        </w:rPr>
        <w:t>）固定数额补助21</w:t>
      </w:r>
      <w:r>
        <w:rPr>
          <w:rFonts w:hint="eastAsia"/>
          <w:lang w:val="en-US" w:eastAsia="zh-CN"/>
        </w:rPr>
        <w:t>239</w:t>
      </w:r>
      <w:r>
        <w:rPr>
          <w:rFonts w:hint="eastAsia"/>
          <w:lang w:eastAsia="zh-CN"/>
        </w:rPr>
        <w:t>万元，下降</w:t>
      </w:r>
      <w:r>
        <w:rPr>
          <w:rFonts w:hint="eastAsia"/>
          <w:lang w:val="en-US" w:eastAsia="zh-CN"/>
        </w:rPr>
        <w:t>2.18</w:t>
      </w:r>
      <w:r>
        <w:rPr>
          <w:rFonts w:hint="eastAsia"/>
          <w:lang w:eastAsia="zh-CN"/>
        </w:rPr>
        <w:t>%。</w:t>
      </w:r>
    </w:p>
    <w:p>
      <w:pPr>
        <w:bidi w:val="0"/>
        <w:rPr>
          <w:rFonts w:hint="eastAsia"/>
          <w:lang w:eastAsia="zh-CN"/>
        </w:rPr>
      </w:pPr>
      <w:r>
        <w:rPr>
          <w:rFonts w:hint="eastAsia"/>
          <w:lang w:eastAsia="zh-CN"/>
        </w:rPr>
        <w:t>（</w:t>
      </w:r>
      <w:r>
        <w:rPr>
          <w:rFonts w:hint="eastAsia"/>
          <w:lang w:val="en-US" w:eastAsia="zh-CN"/>
        </w:rPr>
        <w:t>8</w:t>
      </w:r>
      <w:r>
        <w:rPr>
          <w:rFonts w:hint="eastAsia"/>
          <w:lang w:eastAsia="zh-CN"/>
        </w:rPr>
        <w:t>）革命老区转移支付收入</w:t>
      </w:r>
      <w:r>
        <w:rPr>
          <w:rFonts w:hint="eastAsia"/>
          <w:lang w:val="en-US" w:eastAsia="zh-CN"/>
        </w:rPr>
        <w:t>2056</w:t>
      </w:r>
      <w:r>
        <w:rPr>
          <w:rFonts w:hint="eastAsia"/>
          <w:lang w:eastAsia="zh-CN"/>
        </w:rPr>
        <w:t>万元，增长</w:t>
      </w:r>
      <w:r>
        <w:rPr>
          <w:rFonts w:hint="eastAsia"/>
          <w:lang w:val="en-US" w:eastAsia="zh-CN"/>
        </w:rPr>
        <w:t>16.03</w:t>
      </w:r>
      <w:r>
        <w:rPr>
          <w:rFonts w:hint="eastAsia"/>
          <w:lang w:eastAsia="zh-CN"/>
        </w:rPr>
        <w:t>%。</w:t>
      </w:r>
    </w:p>
    <w:p>
      <w:pPr>
        <w:bidi w:val="0"/>
        <w:rPr>
          <w:rFonts w:hint="eastAsia"/>
          <w:lang w:eastAsia="zh-CN"/>
        </w:rPr>
      </w:pPr>
      <w:r>
        <w:rPr>
          <w:rFonts w:hint="eastAsia"/>
          <w:lang w:eastAsia="zh-CN"/>
        </w:rPr>
        <w:t>（9）欠发达地区转移支付收入</w:t>
      </w:r>
      <w:r>
        <w:rPr>
          <w:rFonts w:hint="eastAsia"/>
          <w:lang w:val="en-US" w:eastAsia="zh-CN"/>
        </w:rPr>
        <w:t>5005</w:t>
      </w:r>
      <w:r>
        <w:rPr>
          <w:rFonts w:hint="eastAsia"/>
          <w:lang w:eastAsia="zh-CN"/>
        </w:rPr>
        <w:t>万元，增长</w:t>
      </w:r>
      <w:r>
        <w:rPr>
          <w:rFonts w:hint="eastAsia"/>
          <w:lang w:val="en-US" w:eastAsia="zh-CN"/>
        </w:rPr>
        <w:t>22.91</w:t>
      </w:r>
      <w:r>
        <w:rPr>
          <w:rFonts w:hint="eastAsia"/>
          <w:lang w:eastAsia="zh-CN"/>
        </w:rPr>
        <w:t>%。</w:t>
      </w:r>
    </w:p>
    <w:p>
      <w:pPr>
        <w:bidi w:val="0"/>
        <w:rPr>
          <w:rFonts w:hint="eastAsia"/>
          <w:lang w:eastAsia="zh-CN"/>
        </w:rPr>
      </w:pPr>
      <w:r>
        <w:rPr>
          <w:rFonts w:hint="eastAsia"/>
          <w:lang w:eastAsia="zh-CN"/>
        </w:rPr>
        <w:t>（10）公共安全共同财政事权转移支付收入</w:t>
      </w:r>
      <w:r>
        <w:rPr>
          <w:rFonts w:hint="eastAsia"/>
          <w:lang w:val="en-US" w:eastAsia="zh-CN"/>
        </w:rPr>
        <w:t>1060</w:t>
      </w:r>
      <w:r>
        <w:rPr>
          <w:rFonts w:hint="eastAsia"/>
          <w:lang w:eastAsia="zh-CN"/>
        </w:rPr>
        <w:t>万元，增长</w:t>
      </w:r>
      <w:r>
        <w:rPr>
          <w:rFonts w:hint="eastAsia"/>
          <w:lang w:val="en-US" w:eastAsia="zh-CN"/>
        </w:rPr>
        <w:t>9.39</w:t>
      </w:r>
      <w:r>
        <w:rPr>
          <w:rFonts w:hint="eastAsia"/>
          <w:lang w:eastAsia="zh-CN"/>
        </w:rPr>
        <w:t>%。</w:t>
      </w:r>
    </w:p>
    <w:p>
      <w:pPr>
        <w:bidi w:val="0"/>
        <w:rPr>
          <w:rFonts w:hint="eastAsia"/>
          <w:lang w:eastAsia="zh-CN"/>
        </w:rPr>
      </w:pPr>
      <w:r>
        <w:rPr>
          <w:rFonts w:hint="eastAsia"/>
          <w:lang w:eastAsia="zh-CN"/>
        </w:rPr>
        <w:t>（11）教育共同财政事权转移支付收入</w:t>
      </w:r>
      <w:r>
        <w:rPr>
          <w:rFonts w:hint="eastAsia"/>
          <w:lang w:val="en-US" w:eastAsia="zh-CN"/>
        </w:rPr>
        <w:t>16377</w:t>
      </w:r>
      <w:r>
        <w:rPr>
          <w:rFonts w:hint="eastAsia"/>
          <w:lang w:eastAsia="zh-CN"/>
        </w:rPr>
        <w:t>万元，增长</w:t>
      </w:r>
      <w:r>
        <w:rPr>
          <w:rFonts w:hint="eastAsia"/>
          <w:lang w:val="en-US" w:eastAsia="zh-CN"/>
        </w:rPr>
        <w:t>15.98</w:t>
      </w:r>
      <w:r>
        <w:rPr>
          <w:rFonts w:hint="eastAsia"/>
          <w:lang w:eastAsia="zh-CN"/>
        </w:rPr>
        <w:t>%。</w:t>
      </w:r>
    </w:p>
    <w:p>
      <w:pPr>
        <w:bidi w:val="0"/>
        <w:rPr>
          <w:rFonts w:hint="eastAsia"/>
          <w:lang w:eastAsia="zh-CN"/>
        </w:rPr>
      </w:pPr>
      <w:r>
        <w:rPr>
          <w:rFonts w:hint="eastAsia"/>
          <w:lang w:eastAsia="zh-CN"/>
        </w:rPr>
        <w:t>（</w:t>
      </w:r>
      <w:r>
        <w:rPr>
          <w:rFonts w:hint="eastAsia"/>
          <w:lang w:val="en-US" w:eastAsia="zh-CN"/>
        </w:rPr>
        <w:t>12</w:t>
      </w:r>
      <w:r>
        <w:rPr>
          <w:rFonts w:hint="eastAsia"/>
          <w:lang w:eastAsia="zh-CN"/>
        </w:rPr>
        <w:t>）文化旅游体育与传媒共同财政事权转移支付收入</w:t>
      </w:r>
      <w:r>
        <w:rPr>
          <w:rFonts w:hint="eastAsia"/>
          <w:lang w:val="en-US" w:eastAsia="zh-CN"/>
        </w:rPr>
        <w:t>575</w:t>
      </w:r>
      <w:r>
        <w:rPr>
          <w:rFonts w:hint="eastAsia"/>
          <w:lang w:eastAsia="zh-CN"/>
        </w:rPr>
        <w:t>万元，增长</w:t>
      </w:r>
      <w:r>
        <w:rPr>
          <w:rFonts w:hint="eastAsia"/>
          <w:lang w:val="en-US" w:eastAsia="zh-CN"/>
        </w:rPr>
        <w:t>5.5</w:t>
      </w:r>
      <w:r>
        <w:rPr>
          <w:rFonts w:hint="eastAsia"/>
          <w:lang w:eastAsia="zh-CN"/>
        </w:rPr>
        <w:t>%。</w:t>
      </w:r>
    </w:p>
    <w:p>
      <w:pPr>
        <w:bidi w:val="0"/>
        <w:rPr>
          <w:rFonts w:hint="eastAsia"/>
          <w:lang w:eastAsia="zh-CN"/>
        </w:rPr>
      </w:pPr>
      <w:r>
        <w:rPr>
          <w:rFonts w:hint="eastAsia"/>
          <w:lang w:eastAsia="zh-CN"/>
        </w:rPr>
        <w:t>（</w:t>
      </w:r>
      <w:r>
        <w:rPr>
          <w:rFonts w:hint="eastAsia"/>
          <w:lang w:val="en-US" w:eastAsia="zh-CN"/>
        </w:rPr>
        <w:t>13）</w:t>
      </w:r>
      <w:r>
        <w:rPr>
          <w:rFonts w:hint="eastAsia"/>
          <w:lang w:eastAsia="zh-CN"/>
        </w:rPr>
        <w:t>社会保障和就业共同财政事权转移支付收入</w:t>
      </w:r>
      <w:r>
        <w:rPr>
          <w:rFonts w:hint="eastAsia"/>
          <w:lang w:val="en-US" w:eastAsia="zh-CN"/>
        </w:rPr>
        <w:t>29446</w:t>
      </w:r>
      <w:r>
        <w:rPr>
          <w:rFonts w:hint="eastAsia"/>
          <w:lang w:eastAsia="zh-CN"/>
        </w:rPr>
        <w:t>万元，下降</w:t>
      </w:r>
      <w:r>
        <w:rPr>
          <w:rFonts w:hint="eastAsia"/>
          <w:lang w:val="en-US" w:eastAsia="zh-CN"/>
        </w:rPr>
        <w:t>0.01</w:t>
      </w:r>
      <w:r>
        <w:rPr>
          <w:rFonts w:hint="eastAsia"/>
          <w:lang w:eastAsia="zh-CN"/>
        </w:rPr>
        <w:t>%。</w:t>
      </w:r>
    </w:p>
    <w:p>
      <w:pPr>
        <w:bidi w:val="0"/>
        <w:rPr>
          <w:rFonts w:hint="eastAsia"/>
          <w:lang w:eastAsia="zh-CN"/>
        </w:rPr>
      </w:pPr>
      <w:r>
        <w:rPr>
          <w:rFonts w:hint="eastAsia"/>
          <w:lang w:eastAsia="zh-CN"/>
        </w:rPr>
        <w:t>（</w:t>
      </w:r>
      <w:r>
        <w:rPr>
          <w:rFonts w:hint="eastAsia"/>
          <w:lang w:val="en-US" w:eastAsia="zh-CN"/>
        </w:rPr>
        <w:t>14）</w:t>
      </w:r>
      <w:r>
        <w:rPr>
          <w:rFonts w:hint="eastAsia"/>
          <w:lang w:eastAsia="zh-CN"/>
        </w:rPr>
        <w:t>医疗卫生共同财政事权转移支付收入</w:t>
      </w:r>
      <w:r>
        <w:rPr>
          <w:rFonts w:hint="eastAsia"/>
          <w:lang w:val="en-US" w:eastAsia="zh-CN"/>
        </w:rPr>
        <w:t>43032</w:t>
      </w:r>
      <w:r>
        <w:rPr>
          <w:rFonts w:hint="eastAsia"/>
          <w:lang w:eastAsia="zh-CN"/>
        </w:rPr>
        <w:t>万元，增长</w:t>
      </w:r>
      <w:r>
        <w:rPr>
          <w:rFonts w:hint="eastAsia"/>
          <w:lang w:val="en-US" w:eastAsia="zh-CN"/>
        </w:rPr>
        <w:t>8.5</w:t>
      </w:r>
      <w:r>
        <w:rPr>
          <w:rFonts w:hint="eastAsia"/>
          <w:lang w:eastAsia="zh-CN"/>
        </w:rPr>
        <w:t>%。</w:t>
      </w:r>
    </w:p>
    <w:p>
      <w:pPr>
        <w:bidi w:val="0"/>
        <w:rPr>
          <w:rFonts w:hint="eastAsia"/>
          <w:lang w:eastAsia="zh-CN"/>
        </w:rPr>
      </w:pPr>
      <w:r>
        <w:rPr>
          <w:rFonts w:hint="eastAsia"/>
          <w:lang w:eastAsia="zh-CN"/>
        </w:rPr>
        <w:t>（</w:t>
      </w:r>
      <w:r>
        <w:rPr>
          <w:rFonts w:hint="eastAsia"/>
          <w:lang w:val="en-US" w:eastAsia="zh-CN"/>
        </w:rPr>
        <w:t>15）</w:t>
      </w:r>
      <w:r>
        <w:rPr>
          <w:rFonts w:hint="eastAsia"/>
          <w:lang w:eastAsia="zh-CN"/>
        </w:rPr>
        <w:t>节能环保共同财政事权转移支付收入</w:t>
      </w:r>
      <w:r>
        <w:rPr>
          <w:rFonts w:hint="eastAsia"/>
          <w:lang w:val="en-US" w:eastAsia="zh-CN"/>
        </w:rPr>
        <w:t>0</w:t>
      </w:r>
      <w:r>
        <w:rPr>
          <w:rFonts w:hint="eastAsia"/>
          <w:lang w:eastAsia="zh-CN"/>
        </w:rPr>
        <w:t>万元，下降</w:t>
      </w:r>
      <w:r>
        <w:rPr>
          <w:rFonts w:hint="eastAsia"/>
          <w:lang w:val="en-US" w:eastAsia="zh-CN"/>
        </w:rPr>
        <w:t>100</w:t>
      </w:r>
      <w:r>
        <w:rPr>
          <w:rFonts w:hint="eastAsia"/>
          <w:lang w:eastAsia="zh-CN"/>
        </w:rPr>
        <w:t xml:space="preserve">%。 </w:t>
      </w:r>
    </w:p>
    <w:p>
      <w:pPr>
        <w:bidi w:val="0"/>
        <w:rPr>
          <w:rFonts w:hint="eastAsia"/>
          <w:lang w:eastAsia="zh-CN"/>
        </w:rPr>
      </w:pPr>
      <w:r>
        <w:rPr>
          <w:rFonts w:hint="eastAsia"/>
          <w:lang w:eastAsia="zh-CN"/>
        </w:rPr>
        <w:t>（</w:t>
      </w:r>
      <w:r>
        <w:rPr>
          <w:rFonts w:hint="eastAsia"/>
          <w:lang w:val="en-US" w:eastAsia="zh-CN"/>
        </w:rPr>
        <w:t>16）</w:t>
      </w:r>
      <w:r>
        <w:rPr>
          <w:rFonts w:hint="eastAsia"/>
          <w:lang w:eastAsia="zh-CN"/>
        </w:rPr>
        <w:t>农林水共同财政事权转移支付收入</w:t>
      </w:r>
      <w:r>
        <w:rPr>
          <w:rFonts w:hint="eastAsia"/>
          <w:lang w:val="en-US" w:eastAsia="zh-CN"/>
        </w:rPr>
        <w:t>40024</w:t>
      </w:r>
      <w:r>
        <w:rPr>
          <w:rFonts w:hint="eastAsia"/>
          <w:lang w:eastAsia="zh-CN"/>
        </w:rPr>
        <w:t>万元，增长</w:t>
      </w:r>
      <w:r>
        <w:rPr>
          <w:rFonts w:hint="eastAsia"/>
          <w:lang w:val="en-US" w:eastAsia="zh-CN"/>
        </w:rPr>
        <w:t>22.66</w:t>
      </w:r>
      <w:r>
        <w:rPr>
          <w:rFonts w:hint="eastAsia"/>
          <w:lang w:eastAsia="zh-CN"/>
        </w:rPr>
        <w:t>%。</w:t>
      </w:r>
    </w:p>
    <w:p>
      <w:pPr>
        <w:bidi w:val="0"/>
        <w:rPr>
          <w:rFonts w:hint="eastAsia"/>
          <w:lang w:eastAsia="zh-CN"/>
        </w:rPr>
      </w:pPr>
      <w:r>
        <w:rPr>
          <w:rFonts w:hint="eastAsia"/>
          <w:lang w:eastAsia="zh-CN"/>
        </w:rPr>
        <w:t>（</w:t>
      </w:r>
      <w:r>
        <w:rPr>
          <w:rFonts w:hint="eastAsia"/>
          <w:lang w:val="en-US" w:eastAsia="zh-CN"/>
        </w:rPr>
        <w:t>17）</w:t>
      </w:r>
      <w:r>
        <w:rPr>
          <w:rFonts w:hint="eastAsia"/>
          <w:lang w:eastAsia="zh-CN"/>
        </w:rPr>
        <w:t>交通运输共同财政事权转移支付收入</w:t>
      </w:r>
      <w:r>
        <w:rPr>
          <w:rFonts w:hint="eastAsia"/>
          <w:lang w:val="en-US" w:eastAsia="zh-CN"/>
        </w:rPr>
        <w:t>3456</w:t>
      </w:r>
      <w:r>
        <w:rPr>
          <w:rFonts w:hint="eastAsia"/>
          <w:lang w:eastAsia="zh-CN"/>
        </w:rPr>
        <w:t>万元，增长</w:t>
      </w:r>
      <w:r>
        <w:rPr>
          <w:rFonts w:hint="eastAsia"/>
          <w:lang w:val="en-US" w:eastAsia="zh-CN"/>
        </w:rPr>
        <w:t>41.81</w:t>
      </w:r>
      <w:r>
        <w:rPr>
          <w:rFonts w:hint="eastAsia"/>
          <w:lang w:eastAsia="zh-CN"/>
        </w:rPr>
        <w:t xml:space="preserve">%。  </w:t>
      </w:r>
    </w:p>
    <w:p>
      <w:pPr>
        <w:bidi w:val="0"/>
        <w:rPr>
          <w:rFonts w:hint="eastAsia"/>
          <w:lang w:eastAsia="zh-CN"/>
        </w:rPr>
      </w:pPr>
      <w:r>
        <w:rPr>
          <w:rFonts w:hint="eastAsia"/>
          <w:lang w:val="en-US" w:eastAsia="zh-CN"/>
        </w:rPr>
        <w:t>（18）</w:t>
      </w:r>
      <w:r>
        <w:rPr>
          <w:rFonts w:hint="eastAsia"/>
          <w:lang w:eastAsia="zh-CN"/>
        </w:rPr>
        <w:t>住房保障共同财政事权转移支付收入</w:t>
      </w:r>
      <w:r>
        <w:rPr>
          <w:rFonts w:hint="eastAsia"/>
          <w:lang w:val="en-US" w:eastAsia="zh-CN"/>
        </w:rPr>
        <w:t>3503</w:t>
      </w:r>
      <w:r>
        <w:rPr>
          <w:rFonts w:hint="eastAsia"/>
          <w:lang w:eastAsia="zh-CN"/>
        </w:rPr>
        <w:t>万元，下降</w:t>
      </w:r>
      <w:r>
        <w:rPr>
          <w:rFonts w:hint="eastAsia"/>
          <w:lang w:val="en-US" w:eastAsia="zh-CN"/>
        </w:rPr>
        <w:t>25.63</w:t>
      </w:r>
      <w:r>
        <w:rPr>
          <w:rFonts w:hint="eastAsia"/>
          <w:lang w:eastAsia="zh-CN"/>
        </w:rPr>
        <w:t>%。</w:t>
      </w:r>
    </w:p>
    <w:p>
      <w:pPr>
        <w:bidi w:val="0"/>
        <w:rPr>
          <w:rFonts w:hint="eastAsia"/>
          <w:lang w:eastAsia="zh-CN"/>
        </w:rPr>
      </w:pPr>
      <w:r>
        <w:rPr>
          <w:rFonts w:hint="eastAsia"/>
          <w:lang w:eastAsia="zh-CN"/>
        </w:rPr>
        <w:t>（</w:t>
      </w:r>
      <w:r>
        <w:rPr>
          <w:rFonts w:hint="eastAsia"/>
          <w:lang w:val="en-US" w:eastAsia="zh-CN"/>
        </w:rPr>
        <w:t>19）</w:t>
      </w:r>
      <w:r>
        <w:rPr>
          <w:rFonts w:hint="eastAsia"/>
          <w:lang w:eastAsia="zh-CN"/>
        </w:rPr>
        <w:t>粮油物资储备共同财政事权转移支付收入</w:t>
      </w:r>
      <w:r>
        <w:rPr>
          <w:rFonts w:hint="eastAsia"/>
          <w:lang w:val="en-US" w:eastAsia="zh-CN"/>
        </w:rPr>
        <w:t>246</w:t>
      </w:r>
      <w:r>
        <w:rPr>
          <w:rFonts w:hint="eastAsia"/>
          <w:lang w:eastAsia="zh-CN"/>
        </w:rPr>
        <w:t>万元，下降</w:t>
      </w:r>
      <w:r>
        <w:rPr>
          <w:rFonts w:hint="eastAsia"/>
          <w:lang w:val="en-US" w:eastAsia="zh-CN"/>
        </w:rPr>
        <w:t>1.99</w:t>
      </w:r>
      <w:r>
        <w:rPr>
          <w:rFonts w:hint="eastAsia"/>
          <w:lang w:eastAsia="zh-CN"/>
        </w:rPr>
        <w:t xml:space="preserve">%。  </w:t>
      </w:r>
    </w:p>
    <w:p>
      <w:pPr>
        <w:bidi w:val="0"/>
        <w:rPr>
          <w:rFonts w:hint="eastAsia"/>
          <w:lang w:eastAsia="zh-CN"/>
        </w:rPr>
      </w:pPr>
      <w:r>
        <w:rPr>
          <w:rFonts w:hint="eastAsia"/>
          <w:lang w:eastAsia="zh-CN"/>
        </w:rPr>
        <w:t>（</w:t>
      </w:r>
      <w:r>
        <w:rPr>
          <w:rFonts w:hint="eastAsia"/>
          <w:lang w:val="en-US" w:eastAsia="zh-CN"/>
        </w:rPr>
        <w:t>20）</w:t>
      </w:r>
      <w:r>
        <w:rPr>
          <w:rFonts w:hint="eastAsia"/>
          <w:lang w:eastAsia="zh-CN"/>
        </w:rPr>
        <w:t>灾害防治及应急管理共同财政事权转移支付收入</w:t>
      </w:r>
      <w:r>
        <w:rPr>
          <w:rFonts w:hint="eastAsia"/>
          <w:lang w:val="en-US" w:eastAsia="zh-CN"/>
        </w:rPr>
        <w:t>339</w:t>
      </w:r>
      <w:r>
        <w:rPr>
          <w:rFonts w:hint="eastAsia"/>
          <w:lang w:eastAsia="zh-CN"/>
        </w:rPr>
        <w:t>万元，增长</w:t>
      </w:r>
      <w:r>
        <w:rPr>
          <w:rFonts w:hint="eastAsia"/>
          <w:lang w:val="en-US" w:eastAsia="zh-CN"/>
        </w:rPr>
        <w:t>194.78%</w:t>
      </w:r>
      <w:r>
        <w:rPr>
          <w:rFonts w:hint="eastAsia"/>
          <w:lang w:eastAsia="zh-CN"/>
        </w:rPr>
        <w:t>。</w:t>
      </w:r>
    </w:p>
    <w:p>
      <w:pPr>
        <w:pStyle w:val="2"/>
        <w:ind w:left="0" w:leftChars="0" w:firstLine="0" w:firstLineChars="0"/>
        <w:rPr>
          <w:rFonts w:hint="eastAsia"/>
          <w:lang w:val="en-US" w:eastAsia="zh-CN"/>
        </w:rPr>
      </w:pPr>
      <w:r>
        <w:rPr>
          <w:rFonts w:hint="eastAsia"/>
          <w:lang w:eastAsia="zh-CN"/>
        </w:rPr>
        <w:t>（</w:t>
      </w:r>
      <w:r>
        <w:rPr>
          <w:rFonts w:hint="eastAsia"/>
          <w:lang w:val="en-US" w:eastAsia="zh-CN"/>
        </w:rPr>
        <w:t>21</w:t>
      </w:r>
      <w:r>
        <w:rPr>
          <w:rFonts w:hint="eastAsia"/>
          <w:lang w:eastAsia="zh-CN"/>
        </w:rPr>
        <w:t>）增值税留抵退税转移支付收入</w:t>
      </w:r>
      <w:r>
        <w:rPr>
          <w:rFonts w:hint="eastAsia"/>
          <w:lang w:val="en-US" w:eastAsia="zh-CN"/>
        </w:rPr>
        <w:t>2160</w:t>
      </w:r>
      <w:r>
        <w:rPr>
          <w:rFonts w:hint="eastAsia"/>
          <w:lang w:eastAsia="zh-CN"/>
        </w:rPr>
        <w:t>万元</w:t>
      </w:r>
      <w:r>
        <w:rPr>
          <w:rFonts w:hint="eastAsia"/>
          <w:lang w:val="en-US" w:eastAsia="zh-CN"/>
        </w:rPr>
        <w:t>，本年新增转移性收入类型。</w:t>
      </w:r>
    </w:p>
    <w:p>
      <w:pPr>
        <w:pStyle w:val="2"/>
        <w:ind w:left="0" w:leftChars="0" w:firstLine="0" w:firstLineChars="0"/>
        <w:rPr>
          <w:rFonts w:hint="eastAsia"/>
          <w:lang w:val="en-US" w:eastAsia="zh-CN"/>
        </w:rPr>
      </w:pPr>
      <w:r>
        <w:rPr>
          <w:rFonts w:hint="eastAsia" w:ascii="仿宋" w:hAnsi="仿宋" w:eastAsia="仿宋" w:cstheme="minorBidi"/>
          <w:kern w:val="2"/>
          <w:sz w:val="32"/>
          <w:szCs w:val="22"/>
          <w:lang w:val="en-US" w:eastAsia="zh-CN" w:bidi="ar-SA"/>
        </w:rPr>
        <w:t>（22）其他退税减税降费转移支付收入1372万元，</w:t>
      </w:r>
      <w:r>
        <w:rPr>
          <w:rFonts w:hint="eastAsia"/>
          <w:lang w:val="en-US" w:eastAsia="zh-CN"/>
        </w:rPr>
        <w:t>本年新增转移性收入类型。</w:t>
      </w:r>
    </w:p>
    <w:p>
      <w:pPr>
        <w:pStyle w:val="2"/>
        <w:ind w:left="0" w:leftChars="0" w:firstLine="0" w:firstLineChars="0"/>
        <w:rPr>
          <w:rFonts w:hint="eastAsia" w:ascii="仿宋" w:hAnsi="仿宋" w:eastAsia="仿宋" w:cstheme="minorBidi"/>
          <w:kern w:val="2"/>
          <w:sz w:val="32"/>
          <w:szCs w:val="22"/>
          <w:lang w:val="en-US" w:eastAsia="zh-CN" w:bidi="ar-SA"/>
        </w:rPr>
      </w:pPr>
      <w:r>
        <w:rPr>
          <w:rFonts w:hint="eastAsia" w:ascii="仿宋" w:hAnsi="仿宋" w:eastAsia="仿宋" w:cstheme="minorBidi"/>
          <w:kern w:val="2"/>
          <w:sz w:val="32"/>
          <w:szCs w:val="22"/>
          <w:lang w:val="en-US" w:eastAsia="zh-CN" w:bidi="ar-SA"/>
        </w:rPr>
        <w:t>（23）补充县区财力转移支付收入15407万元，</w:t>
      </w:r>
      <w:r>
        <w:rPr>
          <w:rFonts w:hint="eastAsia"/>
          <w:lang w:val="en-US" w:eastAsia="zh-CN"/>
        </w:rPr>
        <w:t>本年新增转移性收入类型。</w:t>
      </w:r>
    </w:p>
    <w:p>
      <w:pPr>
        <w:bidi w:val="0"/>
        <w:rPr>
          <w:rFonts w:hint="eastAsia"/>
          <w:lang w:eastAsia="zh-CN"/>
        </w:rPr>
      </w:pPr>
      <w:r>
        <w:rPr>
          <w:rFonts w:hint="eastAsia"/>
          <w:lang w:eastAsia="zh-CN"/>
        </w:rPr>
        <w:t>（</w:t>
      </w:r>
      <w:r>
        <w:rPr>
          <w:rFonts w:hint="eastAsia"/>
          <w:lang w:val="en-US" w:eastAsia="zh-CN"/>
        </w:rPr>
        <w:t>24）</w:t>
      </w:r>
      <w:r>
        <w:rPr>
          <w:rFonts w:hint="eastAsia"/>
          <w:lang w:eastAsia="zh-CN"/>
        </w:rPr>
        <w:t>其他一般性转移支付</w:t>
      </w:r>
      <w:r>
        <w:rPr>
          <w:rFonts w:hint="eastAsia"/>
          <w:lang w:val="en-US" w:eastAsia="zh-CN"/>
        </w:rPr>
        <w:t>2899</w:t>
      </w:r>
      <w:r>
        <w:rPr>
          <w:rFonts w:hint="eastAsia"/>
          <w:lang w:eastAsia="zh-CN"/>
        </w:rPr>
        <w:t>万元，下降</w:t>
      </w:r>
      <w:r>
        <w:rPr>
          <w:rFonts w:hint="eastAsia"/>
          <w:lang w:val="en-US" w:eastAsia="zh-CN"/>
        </w:rPr>
        <w:t>27.62</w:t>
      </w:r>
      <w:r>
        <w:rPr>
          <w:rFonts w:hint="eastAsia"/>
          <w:lang w:eastAsia="zh-CN"/>
        </w:rPr>
        <w:t>%。</w:t>
      </w:r>
    </w:p>
    <w:p>
      <w:pPr>
        <w:pStyle w:val="6"/>
        <w:rPr>
          <w:rFonts w:hint="eastAsia"/>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rPr>
      </w:pPr>
      <w:r>
        <w:rPr>
          <w:rFonts w:hint="eastAsia"/>
          <w:lang w:eastAsia="zh-CN"/>
        </w:rPr>
        <w:drawing>
          <wp:anchor distT="0" distB="0" distL="114300" distR="114300" simplePos="0" relativeHeight="251663360" behindDoc="0" locked="0" layoutInCell="1" allowOverlap="1">
            <wp:simplePos x="0" y="0"/>
            <wp:positionH relativeFrom="column">
              <wp:posOffset>-630555</wp:posOffset>
            </wp:positionH>
            <wp:positionV relativeFrom="page">
              <wp:posOffset>1024255</wp:posOffset>
            </wp:positionV>
            <wp:extent cx="6629400" cy="5267960"/>
            <wp:effectExtent l="4445" t="4445" r="10795" b="1587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专项转移支付情况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cs="仿宋"/>
          <w:sz w:val="32"/>
          <w:szCs w:val="32"/>
          <w:lang w:val="en-US" w:eastAsia="zh-CN"/>
        </w:rPr>
        <w:t>2</w:t>
      </w:r>
      <w:r>
        <w:rPr>
          <w:rFonts w:hint="eastAsia" w:ascii="仿宋" w:hAnsi="仿宋" w:eastAsia="仿宋" w:cs="仿宋"/>
          <w:sz w:val="32"/>
          <w:szCs w:val="32"/>
        </w:rPr>
        <w:t>年，上级下达我县专项转移支付</w:t>
      </w:r>
      <w:r>
        <w:rPr>
          <w:rFonts w:hint="eastAsia" w:cs="仿宋"/>
          <w:sz w:val="32"/>
          <w:szCs w:val="32"/>
          <w:lang w:val="en-US" w:eastAsia="zh-CN"/>
        </w:rPr>
        <w:t>59158</w:t>
      </w:r>
      <w:r>
        <w:rPr>
          <w:rFonts w:hint="eastAsia" w:ascii="仿宋" w:hAnsi="仿宋" w:eastAsia="仿宋" w:cs="仿宋"/>
          <w:sz w:val="32"/>
          <w:szCs w:val="32"/>
        </w:rPr>
        <w:t>万元，比上年减少</w:t>
      </w:r>
      <w:r>
        <w:rPr>
          <w:rFonts w:hint="eastAsia" w:cs="仿宋"/>
          <w:sz w:val="32"/>
          <w:szCs w:val="32"/>
          <w:lang w:val="en-US" w:eastAsia="zh-CN"/>
        </w:rPr>
        <w:t>8167</w:t>
      </w:r>
      <w:r>
        <w:rPr>
          <w:rFonts w:hint="eastAsia" w:ascii="仿宋" w:hAnsi="仿宋" w:eastAsia="仿宋" w:cs="仿宋"/>
          <w:sz w:val="32"/>
          <w:szCs w:val="32"/>
        </w:rPr>
        <w:t>万元，下降</w:t>
      </w:r>
      <w:r>
        <w:rPr>
          <w:rFonts w:hint="eastAsia" w:cs="仿宋"/>
          <w:sz w:val="32"/>
          <w:szCs w:val="32"/>
          <w:lang w:val="en-US" w:eastAsia="zh-CN"/>
        </w:rPr>
        <w:t>12.13</w:t>
      </w:r>
      <w:r>
        <w:rPr>
          <w:rFonts w:hint="eastAsia" w:ascii="仿宋" w:hAnsi="仿宋" w:eastAsia="仿宋" w:cs="仿宋"/>
          <w:sz w:val="32"/>
          <w:szCs w:val="32"/>
        </w:rPr>
        <w:t>%。</w:t>
      </w:r>
      <w:r>
        <w:rPr>
          <w:rFonts w:hint="eastAsia" w:ascii="仿宋" w:hAnsi="仿宋" w:eastAsia="仿宋" w:cs="仿宋"/>
          <w:color w:val="auto"/>
          <w:sz w:val="32"/>
          <w:szCs w:val="32"/>
          <w:lang w:eastAsia="zh-CN"/>
        </w:rPr>
        <w:t>主要是因为</w:t>
      </w:r>
      <w:r>
        <w:rPr>
          <w:rFonts w:hint="eastAsia" w:cs="仿宋"/>
          <w:color w:val="auto"/>
          <w:sz w:val="32"/>
          <w:szCs w:val="32"/>
          <w:lang w:eastAsia="zh-CN"/>
        </w:rPr>
        <w:t>一般公共服务</w:t>
      </w:r>
      <w:r>
        <w:rPr>
          <w:rFonts w:hint="eastAsia" w:ascii="仿宋" w:hAnsi="仿宋" w:eastAsia="仿宋" w:cs="仿宋"/>
          <w:color w:val="auto"/>
          <w:sz w:val="32"/>
          <w:szCs w:val="32"/>
        </w:rPr>
        <w:t>、</w:t>
      </w:r>
      <w:r>
        <w:rPr>
          <w:rFonts w:hint="eastAsia" w:cs="仿宋"/>
          <w:color w:val="auto"/>
          <w:sz w:val="32"/>
          <w:szCs w:val="32"/>
          <w:lang w:eastAsia="zh-CN"/>
        </w:rPr>
        <w:t>科学技术</w:t>
      </w:r>
      <w:r>
        <w:rPr>
          <w:rFonts w:hint="eastAsia" w:ascii="仿宋" w:hAnsi="仿宋" w:eastAsia="仿宋" w:cs="仿宋"/>
          <w:color w:val="auto"/>
          <w:sz w:val="32"/>
          <w:szCs w:val="32"/>
        </w:rPr>
        <w:t>、</w:t>
      </w:r>
      <w:r>
        <w:rPr>
          <w:rFonts w:hint="eastAsia" w:cs="仿宋"/>
          <w:color w:val="auto"/>
          <w:sz w:val="32"/>
          <w:szCs w:val="32"/>
          <w:lang w:eastAsia="zh-CN"/>
        </w:rPr>
        <w:t>节能环保</w:t>
      </w:r>
      <w:r>
        <w:rPr>
          <w:rFonts w:hint="eastAsia" w:ascii="仿宋" w:hAnsi="仿宋" w:eastAsia="仿宋" w:cs="仿宋"/>
          <w:color w:val="auto"/>
          <w:sz w:val="32"/>
          <w:szCs w:val="32"/>
        </w:rPr>
        <w:t>、交通运输等</w:t>
      </w:r>
      <w:r>
        <w:rPr>
          <w:rFonts w:hint="eastAsia" w:cs="仿宋"/>
          <w:color w:val="auto"/>
          <w:sz w:val="32"/>
          <w:szCs w:val="32"/>
          <w:lang w:eastAsia="zh-CN"/>
        </w:rPr>
        <w:t>下降</w:t>
      </w:r>
      <w:r>
        <w:rPr>
          <w:rFonts w:hint="eastAsia" w:ascii="仿宋" w:hAnsi="仿宋" w:eastAsia="仿宋" w:cs="仿宋"/>
          <w:color w:val="auto"/>
          <w:sz w:val="32"/>
          <w:szCs w:val="32"/>
        </w:rPr>
        <w:t>幅度较大</w:t>
      </w:r>
      <w:r>
        <w:rPr>
          <w:rFonts w:hint="eastAsia" w:cs="仿宋"/>
          <w:color w:val="auto"/>
          <w:sz w:val="32"/>
          <w:szCs w:val="32"/>
          <w:lang w:eastAsia="zh-CN"/>
        </w:rPr>
        <w:t>。</w:t>
      </w:r>
      <w:r>
        <w:rPr>
          <w:rFonts w:hint="eastAsia" w:ascii="仿宋" w:hAnsi="仿宋" w:eastAsia="仿宋" w:cs="仿宋"/>
          <w:color w:val="auto"/>
          <w:sz w:val="32"/>
          <w:szCs w:val="32"/>
        </w:rPr>
        <w:t>具体</w:t>
      </w:r>
      <w:r>
        <w:rPr>
          <w:rFonts w:hint="eastAsia" w:ascii="仿宋" w:hAnsi="仿宋" w:eastAsia="仿宋" w:cs="仿宋"/>
          <w:color w:val="auto"/>
          <w:sz w:val="32"/>
          <w:szCs w:val="32"/>
          <w:lang w:eastAsia="zh-CN"/>
        </w:rPr>
        <w:t>明细情况</w:t>
      </w:r>
      <w:r>
        <w:rPr>
          <w:rFonts w:hint="eastAsia" w:ascii="仿宋" w:hAnsi="仿宋" w:eastAsia="仿宋" w:cs="仿宋"/>
          <w:color w:val="auto"/>
          <w:sz w:val="32"/>
          <w:szCs w:val="32"/>
        </w:rPr>
        <w:t>如下：</w:t>
      </w:r>
    </w:p>
    <w:p>
      <w:pPr>
        <w:numPr>
          <w:ilvl w:val="0"/>
          <w:numId w:val="1"/>
        </w:numPr>
        <w:rPr>
          <w:rFonts w:hint="eastAsia" w:ascii="仿宋" w:hAnsi="仿宋" w:eastAsia="仿宋" w:cs="仿宋"/>
          <w:sz w:val="32"/>
          <w:szCs w:val="32"/>
        </w:rPr>
      </w:pPr>
      <w:r>
        <w:rPr>
          <w:rFonts w:hint="eastAsia" w:ascii="仿宋" w:hAnsi="仿宋" w:eastAsia="仿宋" w:cs="仿宋"/>
          <w:sz w:val="32"/>
          <w:szCs w:val="32"/>
        </w:rPr>
        <w:t>一般公共服务</w:t>
      </w:r>
      <w:r>
        <w:rPr>
          <w:rFonts w:hint="eastAsia" w:cs="仿宋"/>
          <w:sz w:val="32"/>
          <w:szCs w:val="32"/>
          <w:lang w:val="en-US" w:eastAsia="zh-CN"/>
        </w:rPr>
        <w:t>1037</w:t>
      </w:r>
      <w:r>
        <w:rPr>
          <w:rFonts w:hint="eastAsia" w:ascii="仿宋" w:hAnsi="仿宋" w:eastAsia="仿宋" w:cs="仿宋"/>
          <w:sz w:val="32"/>
          <w:szCs w:val="32"/>
        </w:rPr>
        <w:t>万元，</w:t>
      </w:r>
      <w:r>
        <w:rPr>
          <w:rFonts w:hint="eastAsia" w:cs="仿宋"/>
          <w:sz w:val="32"/>
          <w:szCs w:val="32"/>
          <w:lang w:eastAsia="zh-CN"/>
        </w:rPr>
        <w:t>下降</w:t>
      </w:r>
      <w:r>
        <w:rPr>
          <w:rFonts w:hint="eastAsia" w:cs="仿宋"/>
          <w:sz w:val="32"/>
          <w:szCs w:val="32"/>
          <w:lang w:val="en-US" w:eastAsia="zh-CN"/>
        </w:rPr>
        <w:t>72.7</w:t>
      </w:r>
      <w:r>
        <w:rPr>
          <w:rFonts w:hint="eastAsia" w:ascii="仿宋" w:hAnsi="仿宋" w:eastAsia="仿宋" w:cs="仿宋"/>
          <w:sz w:val="32"/>
          <w:szCs w:val="32"/>
        </w:rPr>
        <w:t>%。</w:t>
      </w:r>
    </w:p>
    <w:p>
      <w:pPr>
        <w:numPr>
          <w:ilvl w:val="0"/>
          <w:numId w:val="1"/>
        </w:numPr>
        <w:rPr>
          <w:rFonts w:hint="eastAsia" w:ascii="仿宋" w:hAnsi="仿宋" w:eastAsia="仿宋" w:cs="仿宋"/>
          <w:sz w:val="32"/>
          <w:szCs w:val="32"/>
        </w:rPr>
      </w:pPr>
      <w:r>
        <w:rPr>
          <w:rFonts w:hint="eastAsia" w:ascii="仿宋" w:hAnsi="仿宋" w:eastAsia="仿宋" w:cs="仿宋"/>
          <w:sz w:val="32"/>
          <w:szCs w:val="32"/>
        </w:rPr>
        <w:t>国防</w:t>
      </w:r>
      <w:r>
        <w:rPr>
          <w:rFonts w:hint="eastAsia" w:cs="仿宋"/>
          <w:sz w:val="32"/>
          <w:szCs w:val="32"/>
          <w:lang w:val="en-US" w:eastAsia="zh-CN"/>
        </w:rPr>
        <w:t>100万元，</w:t>
      </w:r>
      <w:r>
        <w:rPr>
          <w:rFonts w:hint="eastAsia" w:cs="仿宋"/>
          <w:sz w:val="32"/>
          <w:szCs w:val="32"/>
          <w:lang w:eastAsia="zh-CN"/>
        </w:rPr>
        <w:t>下降</w:t>
      </w:r>
      <w:r>
        <w:rPr>
          <w:rFonts w:hint="eastAsia" w:cs="仿宋"/>
          <w:sz w:val="32"/>
          <w:szCs w:val="32"/>
          <w:lang w:val="en-US" w:eastAsia="zh-CN"/>
        </w:rPr>
        <w:t>9.91%</w:t>
      </w:r>
      <w:r>
        <w:rPr>
          <w:rFonts w:hint="eastAsia" w:cs="仿宋"/>
          <w:sz w:val="32"/>
          <w:szCs w:val="32"/>
          <w:lang w:eastAsia="zh-CN"/>
        </w:rPr>
        <w:t>。</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cs="仿宋"/>
          <w:sz w:val="32"/>
          <w:szCs w:val="32"/>
          <w:lang w:val="en-US" w:eastAsia="zh-CN"/>
        </w:rPr>
        <w:t>3</w:t>
      </w:r>
      <w:r>
        <w:rPr>
          <w:rFonts w:hint="eastAsia" w:ascii="仿宋" w:hAnsi="仿宋" w:eastAsia="仿宋" w:cs="仿宋"/>
          <w:sz w:val="32"/>
          <w:szCs w:val="32"/>
          <w:lang w:val="en-US" w:eastAsia="zh-CN"/>
        </w:rPr>
        <w:t>）</w:t>
      </w:r>
      <w:r>
        <w:rPr>
          <w:rFonts w:hint="eastAsia" w:ascii="仿宋" w:hAnsi="仿宋" w:eastAsia="仿宋" w:cs="仿宋"/>
          <w:sz w:val="32"/>
          <w:szCs w:val="32"/>
        </w:rPr>
        <w:t>公共安全</w:t>
      </w:r>
      <w:r>
        <w:rPr>
          <w:rFonts w:hint="eastAsia" w:cs="仿宋"/>
          <w:sz w:val="32"/>
          <w:szCs w:val="32"/>
          <w:lang w:val="en-US" w:eastAsia="zh-CN"/>
        </w:rPr>
        <w:t>79</w:t>
      </w:r>
      <w:r>
        <w:rPr>
          <w:rFonts w:hint="eastAsia" w:ascii="仿宋" w:hAnsi="仿宋" w:eastAsia="仿宋" w:cs="仿宋"/>
          <w:sz w:val="32"/>
          <w:szCs w:val="32"/>
        </w:rPr>
        <w:t>万元，</w:t>
      </w:r>
      <w:r>
        <w:rPr>
          <w:rFonts w:hint="eastAsia" w:cs="仿宋"/>
          <w:sz w:val="32"/>
          <w:szCs w:val="32"/>
          <w:lang w:eastAsia="zh-CN"/>
        </w:rPr>
        <w:t>下降</w:t>
      </w:r>
      <w:r>
        <w:rPr>
          <w:rFonts w:hint="eastAsia" w:cs="仿宋"/>
          <w:sz w:val="32"/>
          <w:szCs w:val="32"/>
          <w:lang w:val="en-US" w:eastAsia="zh-CN"/>
        </w:rPr>
        <w:t>41.48</w:t>
      </w:r>
      <w:r>
        <w:rPr>
          <w:rFonts w:hint="eastAsia" w:ascii="仿宋" w:hAnsi="仿宋" w:eastAsia="仿宋" w:cs="仿宋"/>
          <w:sz w:val="32"/>
          <w:szCs w:val="32"/>
        </w:rPr>
        <w:t>%。</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cs="仿宋"/>
          <w:sz w:val="32"/>
          <w:szCs w:val="32"/>
          <w:lang w:val="en-US" w:eastAsia="zh-CN"/>
        </w:rPr>
        <w:t>4</w:t>
      </w:r>
      <w:r>
        <w:rPr>
          <w:rFonts w:hint="eastAsia" w:ascii="仿宋" w:hAnsi="仿宋" w:eastAsia="仿宋" w:cs="仿宋"/>
          <w:sz w:val="32"/>
          <w:szCs w:val="32"/>
          <w:lang w:val="en-US" w:eastAsia="zh-CN"/>
        </w:rPr>
        <w:t>）</w:t>
      </w:r>
      <w:r>
        <w:rPr>
          <w:rFonts w:hint="eastAsia" w:ascii="仿宋" w:hAnsi="仿宋" w:eastAsia="仿宋" w:cs="仿宋"/>
          <w:sz w:val="32"/>
          <w:szCs w:val="32"/>
        </w:rPr>
        <w:t>教育</w:t>
      </w:r>
      <w:r>
        <w:rPr>
          <w:rFonts w:hint="eastAsia" w:cs="仿宋"/>
          <w:sz w:val="32"/>
          <w:szCs w:val="32"/>
          <w:lang w:val="en-US" w:eastAsia="zh-CN"/>
        </w:rPr>
        <w:t>443</w:t>
      </w:r>
      <w:r>
        <w:rPr>
          <w:rFonts w:hint="eastAsia" w:ascii="仿宋" w:hAnsi="仿宋" w:eastAsia="仿宋" w:cs="仿宋"/>
          <w:sz w:val="32"/>
          <w:szCs w:val="32"/>
        </w:rPr>
        <w:t>万元，下降</w:t>
      </w:r>
      <w:r>
        <w:rPr>
          <w:rFonts w:hint="eastAsia" w:cs="仿宋"/>
          <w:sz w:val="32"/>
          <w:szCs w:val="32"/>
          <w:lang w:val="en-US" w:eastAsia="zh-CN"/>
        </w:rPr>
        <w:t>0.67</w:t>
      </w:r>
      <w:r>
        <w:rPr>
          <w:rFonts w:hint="eastAsia" w:ascii="仿宋" w:hAnsi="仿宋" w:eastAsia="仿宋" w:cs="仿宋"/>
          <w:sz w:val="32"/>
          <w:szCs w:val="32"/>
        </w:rPr>
        <w:t>%。</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cs="仿宋"/>
          <w:sz w:val="32"/>
          <w:szCs w:val="32"/>
          <w:lang w:val="en-US" w:eastAsia="zh-CN"/>
        </w:rPr>
        <w:t>5</w:t>
      </w:r>
      <w:r>
        <w:rPr>
          <w:rFonts w:hint="eastAsia" w:ascii="仿宋" w:hAnsi="仿宋" w:eastAsia="仿宋" w:cs="仿宋"/>
          <w:sz w:val="32"/>
          <w:szCs w:val="32"/>
          <w:lang w:val="en-US" w:eastAsia="zh-CN"/>
        </w:rPr>
        <w:t>）</w:t>
      </w:r>
      <w:r>
        <w:rPr>
          <w:rFonts w:hint="eastAsia" w:ascii="仿宋" w:hAnsi="仿宋" w:eastAsia="仿宋" w:cs="仿宋"/>
          <w:sz w:val="32"/>
          <w:szCs w:val="32"/>
        </w:rPr>
        <w:t>科学技术</w:t>
      </w:r>
      <w:r>
        <w:rPr>
          <w:rFonts w:hint="eastAsia" w:cs="仿宋"/>
          <w:sz w:val="32"/>
          <w:szCs w:val="32"/>
          <w:lang w:val="en-US" w:eastAsia="zh-CN"/>
        </w:rPr>
        <w:t>354</w:t>
      </w:r>
      <w:r>
        <w:rPr>
          <w:rFonts w:hint="eastAsia" w:ascii="仿宋" w:hAnsi="仿宋" w:eastAsia="仿宋" w:cs="仿宋"/>
          <w:sz w:val="32"/>
          <w:szCs w:val="32"/>
        </w:rPr>
        <w:t>万元，下降</w:t>
      </w:r>
      <w:r>
        <w:rPr>
          <w:rFonts w:hint="eastAsia" w:cs="仿宋"/>
          <w:sz w:val="32"/>
          <w:szCs w:val="32"/>
          <w:lang w:val="en-US" w:eastAsia="zh-CN"/>
        </w:rPr>
        <w:t>48.47</w:t>
      </w:r>
      <w:r>
        <w:rPr>
          <w:rFonts w:hint="eastAsia" w:ascii="仿宋" w:hAnsi="仿宋" w:eastAsia="仿宋" w:cs="仿宋"/>
          <w:sz w:val="32"/>
          <w:szCs w:val="32"/>
        </w:rPr>
        <w:t>%。</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cs="仿宋"/>
          <w:sz w:val="32"/>
          <w:szCs w:val="32"/>
          <w:lang w:val="en-US" w:eastAsia="zh-CN"/>
        </w:rPr>
        <w:t>6</w:t>
      </w:r>
      <w:r>
        <w:rPr>
          <w:rFonts w:hint="eastAsia" w:ascii="仿宋" w:hAnsi="仿宋" w:eastAsia="仿宋" w:cs="仿宋"/>
          <w:sz w:val="32"/>
          <w:szCs w:val="32"/>
          <w:lang w:val="en-US" w:eastAsia="zh-CN"/>
        </w:rPr>
        <w:t>）</w:t>
      </w:r>
      <w:r>
        <w:rPr>
          <w:rFonts w:hint="eastAsia" w:ascii="仿宋" w:hAnsi="仿宋" w:eastAsia="仿宋" w:cs="仿宋"/>
          <w:sz w:val="32"/>
          <w:szCs w:val="32"/>
        </w:rPr>
        <w:t>文化旅游体育与传媒</w:t>
      </w:r>
      <w:r>
        <w:rPr>
          <w:rFonts w:hint="eastAsia" w:cs="仿宋"/>
          <w:sz w:val="32"/>
          <w:szCs w:val="32"/>
          <w:lang w:val="en-US" w:eastAsia="zh-CN"/>
        </w:rPr>
        <w:t>314</w:t>
      </w:r>
      <w:r>
        <w:rPr>
          <w:rFonts w:hint="eastAsia" w:ascii="仿宋" w:hAnsi="仿宋" w:eastAsia="仿宋" w:cs="仿宋"/>
          <w:sz w:val="32"/>
          <w:szCs w:val="32"/>
        </w:rPr>
        <w:t>万元，</w:t>
      </w:r>
      <w:r>
        <w:rPr>
          <w:rFonts w:hint="eastAsia" w:cs="仿宋"/>
          <w:sz w:val="32"/>
          <w:szCs w:val="32"/>
          <w:lang w:eastAsia="zh-CN"/>
        </w:rPr>
        <w:t>下降</w:t>
      </w:r>
      <w:r>
        <w:rPr>
          <w:rFonts w:hint="eastAsia" w:cs="仿宋"/>
          <w:sz w:val="32"/>
          <w:szCs w:val="32"/>
          <w:lang w:val="en-US" w:eastAsia="zh-CN"/>
        </w:rPr>
        <w:t>16.49</w:t>
      </w:r>
      <w:r>
        <w:rPr>
          <w:rFonts w:hint="eastAsia" w:ascii="仿宋" w:hAnsi="仿宋" w:eastAsia="仿宋" w:cs="仿宋"/>
          <w:sz w:val="32"/>
          <w:szCs w:val="32"/>
        </w:rPr>
        <w:t>%。</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cs="仿宋"/>
          <w:sz w:val="32"/>
          <w:szCs w:val="32"/>
          <w:lang w:val="en-US" w:eastAsia="zh-CN"/>
        </w:rPr>
        <w:t>7）</w:t>
      </w:r>
      <w:r>
        <w:rPr>
          <w:rFonts w:hint="eastAsia" w:ascii="仿宋" w:hAnsi="仿宋" w:eastAsia="仿宋" w:cs="仿宋"/>
          <w:sz w:val="32"/>
          <w:szCs w:val="32"/>
        </w:rPr>
        <w:t>社会保障和就业</w:t>
      </w:r>
      <w:r>
        <w:rPr>
          <w:rFonts w:hint="eastAsia" w:cs="仿宋"/>
          <w:sz w:val="32"/>
          <w:szCs w:val="32"/>
          <w:lang w:val="en-US" w:eastAsia="zh-CN"/>
        </w:rPr>
        <w:t>1367</w:t>
      </w:r>
      <w:r>
        <w:rPr>
          <w:rFonts w:hint="eastAsia" w:ascii="仿宋" w:hAnsi="仿宋" w:eastAsia="仿宋" w:cs="仿宋"/>
          <w:sz w:val="32"/>
          <w:szCs w:val="32"/>
        </w:rPr>
        <w:t>万元，</w:t>
      </w:r>
      <w:r>
        <w:rPr>
          <w:rFonts w:hint="eastAsia" w:cs="仿宋"/>
          <w:sz w:val="32"/>
          <w:szCs w:val="32"/>
          <w:lang w:eastAsia="zh-CN"/>
        </w:rPr>
        <w:t>增长</w:t>
      </w:r>
      <w:r>
        <w:rPr>
          <w:rFonts w:hint="eastAsia" w:cs="仿宋"/>
          <w:sz w:val="32"/>
          <w:szCs w:val="32"/>
          <w:lang w:val="en-US" w:eastAsia="zh-CN"/>
        </w:rPr>
        <w:t>47.62</w:t>
      </w:r>
      <w:r>
        <w:rPr>
          <w:rFonts w:hint="eastAsia" w:ascii="仿宋" w:hAnsi="仿宋" w:eastAsia="仿宋" w:cs="仿宋"/>
          <w:sz w:val="32"/>
          <w:szCs w:val="32"/>
        </w:rPr>
        <w:t>%。</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cs="仿宋"/>
          <w:sz w:val="32"/>
          <w:szCs w:val="32"/>
          <w:lang w:val="en-US" w:eastAsia="zh-CN"/>
        </w:rPr>
        <w:t>8</w:t>
      </w:r>
      <w:r>
        <w:rPr>
          <w:rFonts w:hint="eastAsia" w:ascii="仿宋" w:hAnsi="仿宋" w:eastAsia="仿宋" w:cs="仿宋"/>
          <w:sz w:val="32"/>
          <w:szCs w:val="32"/>
          <w:lang w:val="en-US" w:eastAsia="zh-CN"/>
        </w:rPr>
        <w:t>）</w:t>
      </w:r>
      <w:r>
        <w:rPr>
          <w:rFonts w:hint="eastAsia" w:ascii="仿宋" w:hAnsi="仿宋" w:eastAsia="仿宋" w:cs="仿宋"/>
          <w:sz w:val="32"/>
          <w:szCs w:val="32"/>
        </w:rPr>
        <w:t>卫生健康</w:t>
      </w:r>
      <w:r>
        <w:rPr>
          <w:rFonts w:hint="eastAsia" w:cs="仿宋"/>
          <w:sz w:val="32"/>
          <w:szCs w:val="32"/>
          <w:lang w:val="en-US" w:eastAsia="zh-CN"/>
        </w:rPr>
        <w:t>1516</w:t>
      </w:r>
      <w:r>
        <w:rPr>
          <w:rFonts w:hint="eastAsia" w:ascii="仿宋" w:hAnsi="仿宋" w:eastAsia="仿宋" w:cs="仿宋"/>
          <w:sz w:val="32"/>
          <w:szCs w:val="32"/>
        </w:rPr>
        <w:t>万元，</w:t>
      </w:r>
      <w:r>
        <w:rPr>
          <w:rFonts w:hint="eastAsia" w:cs="仿宋"/>
          <w:sz w:val="32"/>
          <w:szCs w:val="32"/>
          <w:lang w:eastAsia="zh-CN"/>
        </w:rPr>
        <w:t>增长</w:t>
      </w:r>
      <w:r>
        <w:rPr>
          <w:rFonts w:hint="eastAsia" w:cs="仿宋"/>
          <w:sz w:val="32"/>
          <w:szCs w:val="32"/>
          <w:lang w:val="en-US" w:eastAsia="zh-CN"/>
        </w:rPr>
        <w:t>34.76</w:t>
      </w:r>
      <w:r>
        <w:rPr>
          <w:rFonts w:hint="eastAsia" w:ascii="仿宋" w:hAnsi="仿宋" w:eastAsia="仿宋" w:cs="仿宋"/>
          <w:sz w:val="32"/>
          <w:szCs w:val="32"/>
        </w:rPr>
        <w:t>%。</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cs="仿宋"/>
          <w:sz w:val="32"/>
          <w:szCs w:val="32"/>
          <w:lang w:val="en-US" w:eastAsia="zh-CN"/>
        </w:rPr>
        <w:t>9</w:t>
      </w:r>
      <w:r>
        <w:rPr>
          <w:rFonts w:hint="eastAsia" w:ascii="仿宋" w:hAnsi="仿宋" w:eastAsia="仿宋" w:cs="仿宋"/>
          <w:sz w:val="32"/>
          <w:szCs w:val="32"/>
          <w:lang w:val="en-US" w:eastAsia="zh-CN"/>
        </w:rPr>
        <w:t>）</w:t>
      </w:r>
      <w:r>
        <w:rPr>
          <w:rFonts w:hint="eastAsia" w:ascii="仿宋" w:hAnsi="仿宋" w:eastAsia="仿宋" w:cs="仿宋"/>
          <w:sz w:val="32"/>
          <w:szCs w:val="32"/>
        </w:rPr>
        <w:t>节能环保</w:t>
      </w:r>
      <w:r>
        <w:rPr>
          <w:rFonts w:hint="eastAsia" w:cs="仿宋"/>
          <w:sz w:val="32"/>
          <w:szCs w:val="32"/>
          <w:lang w:val="en-US" w:eastAsia="zh-CN"/>
        </w:rPr>
        <w:t>5637</w:t>
      </w:r>
      <w:r>
        <w:rPr>
          <w:rFonts w:hint="eastAsia" w:ascii="仿宋" w:hAnsi="仿宋" w:eastAsia="仿宋" w:cs="仿宋"/>
          <w:sz w:val="32"/>
          <w:szCs w:val="32"/>
        </w:rPr>
        <w:t>万元，</w:t>
      </w:r>
      <w:r>
        <w:rPr>
          <w:rFonts w:hint="eastAsia" w:cs="仿宋"/>
          <w:sz w:val="32"/>
          <w:szCs w:val="32"/>
          <w:lang w:eastAsia="zh-CN"/>
        </w:rPr>
        <w:t>下降</w:t>
      </w:r>
      <w:r>
        <w:rPr>
          <w:rFonts w:hint="eastAsia" w:cs="仿宋"/>
          <w:sz w:val="32"/>
          <w:szCs w:val="32"/>
          <w:lang w:val="en-US" w:eastAsia="zh-CN"/>
        </w:rPr>
        <w:t>48.24</w:t>
      </w:r>
      <w:r>
        <w:rPr>
          <w:rFonts w:hint="eastAsia" w:ascii="仿宋" w:hAnsi="仿宋" w:eastAsia="仿宋" w:cs="仿宋"/>
          <w:sz w:val="32"/>
          <w:szCs w:val="32"/>
        </w:rPr>
        <w:t>%。</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cs="仿宋"/>
          <w:sz w:val="32"/>
          <w:szCs w:val="32"/>
          <w:lang w:val="en-US" w:eastAsia="zh-CN"/>
        </w:rPr>
        <w:t>10</w:t>
      </w:r>
      <w:r>
        <w:rPr>
          <w:rFonts w:hint="eastAsia" w:ascii="仿宋" w:hAnsi="仿宋" w:eastAsia="仿宋" w:cs="仿宋"/>
          <w:sz w:val="32"/>
          <w:szCs w:val="32"/>
          <w:lang w:val="en-US" w:eastAsia="zh-CN"/>
        </w:rPr>
        <w:t>）</w:t>
      </w:r>
      <w:r>
        <w:rPr>
          <w:rFonts w:hint="eastAsia" w:ascii="仿宋" w:hAnsi="仿宋" w:eastAsia="仿宋" w:cs="仿宋"/>
          <w:sz w:val="32"/>
          <w:szCs w:val="32"/>
        </w:rPr>
        <w:t>城乡社区</w:t>
      </w:r>
      <w:r>
        <w:rPr>
          <w:rFonts w:hint="eastAsia" w:cs="仿宋"/>
          <w:sz w:val="32"/>
          <w:szCs w:val="32"/>
          <w:lang w:val="en-US" w:eastAsia="zh-CN"/>
        </w:rPr>
        <w:t>1383</w:t>
      </w:r>
      <w:r>
        <w:rPr>
          <w:rFonts w:hint="eastAsia" w:ascii="仿宋" w:hAnsi="仿宋" w:eastAsia="仿宋" w:cs="仿宋"/>
          <w:sz w:val="32"/>
          <w:szCs w:val="32"/>
        </w:rPr>
        <w:t>万元，</w:t>
      </w:r>
      <w:r>
        <w:rPr>
          <w:rFonts w:hint="eastAsia" w:cs="仿宋"/>
          <w:sz w:val="32"/>
          <w:szCs w:val="32"/>
          <w:lang w:eastAsia="zh-CN"/>
        </w:rPr>
        <w:t>增长</w:t>
      </w:r>
      <w:r>
        <w:rPr>
          <w:rFonts w:hint="eastAsia" w:cs="仿宋"/>
          <w:sz w:val="32"/>
          <w:szCs w:val="32"/>
          <w:lang w:val="en-US" w:eastAsia="zh-CN"/>
        </w:rPr>
        <w:t>14.01</w:t>
      </w:r>
      <w:r>
        <w:rPr>
          <w:rFonts w:hint="eastAsia" w:ascii="仿宋" w:hAnsi="仿宋" w:eastAsia="仿宋" w:cs="仿宋"/>
          <w:sz w:val="32"/>
          <w:szCs w:val="32"/>
        </w:rPr>
        <w:t>%。</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cs="仿宋"/>
          <w:sz w:val="32"/>
          <w:szCs w:val="32"/>
          <w:lang w:val="en-US" w:eastAsia="zh-CN"/>
        </w:rPr>
        <w:t>1</w:t>
      </w:r>
      <w:r>
        <w:rPr>
          <w:rFonts w:hint="eastAsia" w:ascii="仿宋" w:hAnsi="仿宋" w:eastAsia="仿宋" w:cs="仿宋"/>
          <w:sz w:val="32"/>
          <w:szCs w:val="32"/>
          <w:lang w:val="en-US" w:eastAsia="zh-CN"/>
        </w:rPr>
        <w:t>）</w:t>
      </w:r>
      <w:r>
        <w:rPr>
          <w:rFonts w:hint="eastAsia" w:ascii="仿宋" w:hAnsi="仿宋" w:eastAsia="仿宋" w:cs="仿宋"/>
          <w:sz w:val="32"/>
          <w:szCs w:val="32"/>
        </w:rPr>
        <w:t>农林水</w:t>
      </w:r>
      <w:r>
        <w:rPr>
          <w:rFonts w:hint="eastAsia" w:cs="仿宋"/>
          <w:sz w:val="32"/>
          <w:szCs w:val="32"/>
          <w:lang w:val="en-US" w:eastAsia="zh-CN"/>
        </w:rPr>
        <w:t>32199</w:t>
      </w:r>
      <w:r>
        <w:rPr>
          <w:rFonts w:hint="eastAsia" w:ascii="仿宋" w:hAnsi="仿宋" w:eastAsia="仿宋" w:cs="仿宋"/>
          <w:sz w:val="32"/>
          <w:szCs w:val="32"/>
        </w:rPr>
        <w:t>万元，</w:t>
      </w:r>
      <w:r>
        <w:rPr>
          <w:rFonts w:hint="eastAsia" w:cs="仿宋"/>
          <w:sz w:val="32"/>
          <w:szCs w:val="32"/>
          <w:lang w:eastAsia="zh-CN"/>
        </w:rPr>
        <w:t>增长</w:t>
      </w:r>
      <w:r>
        <w:rPr>
          <w:rFonts w:hint="eastAsia" w:cs="仿宋"/>
          <w:sz w:val="32"/>
          <w:szCs w:val="32"/>
          <w:lang w:val="en-US" w:eastAsia="zh-CN"/>
        </w:rPr>
        <w:t>8.75</w:t>
      </w:r>
      <w:r>
        <w:rPr>
          <w:rFonts w:hint="eastAsia" w:ascii="仿宋" w:hAnsi="仿宋" w:eastAsia="仿宋" w:cs="仿宋"/>
          <w:sz w:val="32"/>
          <w:szCs w:val="32"/>
        </w:rPr>
        <w:t xml:space="preserve">%。 </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cs="仿宋"/>
          <w:sz w:val="32"/>
          <w:szCs w:val="32"/>
          <w:lang w:val="en-US" w:eastAsia="zh-CN"/>
        </w:rPr>
        <w:t>2</w:t>
      </w:r>
      <w:r>
        <w:rPr>
          <w:rFonts w:hint="eastAsia" w:ascii="仿宋" w:hAnsi="仿宋" w:eastAsia="仿宋" w:cs="仿宋"/>
          <w:sz w:val="32"/>
          <w:szCs w:val="32"/>
          <w:lang w:val="en-US" w:eastAsia="zh-CN"/>
        </w:rPr>
        <w:t>）</w:t>
      </w:r>
      <w:r>
        <w:rPr>
          <w:rFonts w:hint="eastAsia" w:ascii="仿宋" w:hAnsi="仿宋" w:eastAsia="仿宋" w:cs="仿宋"/>
          <w:sz w:val="32"/>
          <w:szCs w:val="32"/>
        </w:rPr>
        <w:t>交通运输</w:t>
      </w:r>
      <w:r>
        <w:rPr>
          <w:rFonts w:hint="eastAsia" w:cs="仿宋"/>
          <w:sz w:val="32"/>
          <w:szCs w:val="32"/>
          <w:lang w:val="en-US" w:eastAsia="zh-CN"/>
        </w:rPr>
        <w:t>4891</w:t>
      </w:r>
      <w:r>
        <w:rPr>
          <w:rFonts w:hint="eastAsia" w:ascii="仿宋" w:hAnsi="仿宋" w:eastAsia="仿宋" w:cs="仿宋"/>
          <w:sz w:val="32"/>
          <w:szCs w:val="32"/>
        </w:rPr>
        <w:t>万元，</w:t>
      </w:r>
      <w:r>
        <w:rPr>
          <w:rFonts w:hint="eastAsia" w:cs="仿宋"/>
          <w:sz w:val="32"/>
          <w:szCs w:val="32"/>
          <w:lang w:eastAsia="zh-CN"/>
        </w:rPr>
        <w:t>下降</w:t>
      </w:r>
      <w:r>
        <w:rPr>
          <w:rFonts w:hint="eastAsia" w:cs="仿宋"/>
          <w:sz w:val="32"/>
          <w:szCs w:val="32"/>
          <w:lang w:val="en-US" w:eastAsia="zh-CN"/>
        </w:rPr>
        <w:t>54.94</w:t>
      </w:r>
      <w:r>
        <w:rPr>
          <w:rFonts w:hint="eastAsia" w:ascii="仿宋" w:hAnsi="仿宋" w:eastAsia="仿宋" w:cs="仿宋"/>
          <w:sz w:val="32"/>
          <w:szCs w:val="32"/>
        </w:rPr>
        <w:t>%。</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cs="仿宋"/>
          <w:sz w:val="32"/>
          <w:szCs w:val="32"/>
          <w:lang w:val="en-US" w:eastAsia="zh-CN"/>
        </w:rPr>
        <w:t>3</w:t>
      </w:r>
      <w:r>
        <w:rPr>
          <w:rFonts w:hint="eastAsia" w:ascii="仿宋" w:hAnsi="仿宋" w:eastAsia="仿宋" w:cs="仿宋"/>
          <w:sz w:val="32"/>
          <w:szCs w:val="32"/>
          <w:lang w:val="en-US" w:eastAsia="zh-CN"/>
        </w:rPr>
        <w:t>）</w:t>
      </w:r>
      <w:r>
        <w:rPr>
          <w:rFonts w:hint="eastAsia" w:ascii="仿宋" w:hAnsi="仿宋" w:eastAsia="仿宋" w:cs="仿宋"/>
          <w:sz w:val="32"/>
          <w:szCs w:val="32"/>
        </w:rPr>
        <w:t>资源勘探信息等1</w:t>
      </w:r>
      <w:r>
        <w:rPr>
          <w:rFonts w:hint="eastAsia" w:cs="仿宋"/>
          <w:sz w:val="32"/>
          <w:szCs w:val="32"/>
          <w:lang w:val="en-US" w:eastAsia="zh-CN"/>
        </w:rPr>
        <w:t>196</w:t>
      </w:r>
      <w:r>
        <w:rPr>
          <w:rFonts w:hint="eastAsia" w:ascii="仿宋" w:hAnsi="仿宋" w:eastAsia="仿宋" w:cs="仿宋"/>
          <w:sz w:val="32"/>
          <w:szCs w:val="32"/>
        </w:rPr>
        <w:t>万元，</w:t>
      </w:r>
      <w:r>
        <w:rPr>
          <w:rFonts w:hint="eastAsia" w:cs="仿宋"/>
          <w:sz w:val="32"/>
          <w:szCs w:val="32"/>
          <w:lang w:eastAsia="zh-CN"/>
        </w:rPr>
        <w:t>增长</w:t>
      </w:r>
      <w:r>
        <w:rPr>
          <w:rFonts w:hint="eastAsia" w:cs="仿宋"/>
          <w:sz w:val="32"/>
          <w:szCs w:val="32"/>
          <w:lang w:val="en-US" w:eastAsia="zh-CN"/>
        </w:rPr>
        <w:t>3.82</w:t>
      </w:r>
      <w:r>
        <w:rPr>
          <w:rFonts w:hint="eastAsia" w:ascii="仿宋" w:hAnsi="仿宋" w:eastAsia="仿宋" w:cs="仿宋"/>
          <w:sz w:val="32"/>
          <w:szCs w:val="32"/>
        </w:rPr>
        <w:t>%。</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cs="仿宋"/>
          <w:sz w:val="32"/>
          <w:szCs w:val="32"/>
          <w:lang w:val="en-US" w:eastAsia="zh-CN"/>
        </w:rPr>
        <w:t>4</w:t>
      </w:r>
      <w:r>
        <w:rPr>
          <w:rFonts w:hint="eastAsia" w:ascii="仿宋" w:hAnsi="仿宋" w:eastAsia="仿宋" w:cs="仿宋"/>
          <w:sz w:val="32"/>
          <w:szCs w:val="32"/>
          <w:lang w:val="en-US" w:eastAsia="zh-CN"/>
        </w:rPr>
        <w:t>）</w:t>
      </w:r>
      <w:r>
        <w:rPr>
          <w:rFonts w:hint="eastAsia" w:ascii="仿宋" w:hAnsi="仿宋" w:eastAsia="仿宋" w:cs="仿宋"/>
          <w:sz w:val="32"/>
          <w:szCs w:val="32"/>
        </w:rPr>
        <w:t>商业服务业等</w:t>
      </w:r>
      <w:r>
        <w:rPr>
          <w:rFonts w:hint="eastAsia" w:cs="仿宋"/>
          <w:sz w:val="32"/>
          <w:szCs w:val="32"/>
          <w:lang w:val="en-US" w:eastAsia="zh-CN"/>
        </w:rPr>
        <w:t>1322</w:t>
      </w:r>
      <w:r>
        <w:rPr>
          <w:rFonts w:hint="eastAsia" w:ascii="仿宋" w:hAnsi="仿宋" w:eastAsia="仿宋" w:cs="仿宋"/>
          <w:sz w:val="32"/>
          <w:szCs w:val="32"/>
        </w:rPr>
        <w:t>万元，</w:t>
      </w:r>
      <w:r>
        <w:rPr>
          <w:rFonts w:hint="eastAsia" w:cs="仿宋"/>
          <w:sz w:val="32"/>
          <w:szCs w:val="32"/>
          <w:lang w:eastAsia="zh-CN"/>
        </w:rPr>
        <w:t>增长</w:t>
      </w:r>
      <w:r>
        <w:rPr>
          <w:rFonts w:hint="eastAsia" w:cs="仿宋"/>
          <w:sz w:val="32"/>
          <w:szCs w:val="32"/>
          <w:lang w:val="en-US" w:eastAsia="zh-CN"/>
        </w:rPr>
        <w:t>395.13</w:t>
      </w:r>
      <w:r>
        <w:rPr>
          <w:rFonts w:hint="eastAsia" w:ascii="仿宋" w:hAnsi="仿宋" w:eastAsia="仿宋" w:cs="仿宋"/>
          <w:sz w:val="32"/>
          <w:szCs w:val="32"/>
        </w:rPr>
        <w:t>%。</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cs="仿宋"/>
          <w:sz w:val="32"/>
          <w:szCs w:val="32"/>
          <w:lang w:val="en-US" w:eastAsia="zh-CN"/>
        </w:rPr>
        <w:t>5</w:t>
      </w:r>
      <w:r>
        <w:rPr>
          <w:rFonts w:hint="eastAsia" w:ascii="仿宋" w:hAnsi="仿宋" w:eastAsia="仿宋" w:cs="仿宋"/>
          <w:sz w:val="32"/>
          <w:szCs w:val="32"/>
          <w:lang w:val="en-US" w:eastAsia="zh-CN"/>
        </w:rPr>
        <w:t>）</w:t>
      </w:r>
      <w:r>
        <w:rPr>
          <w:rFonts w:hint="eastAsia" w:ascii="仿宋" w:hAnsi="仿宋" w:eastAsia="仿宋" w:cs="仿宋"/>
          <w:sz w:val="32"/>
          <w:szCs w:val="32"/>
        </w:rPr>
        <w:t>金融</w:t>
      </w:r>
      <w:r>
        <w:rPr>
          <w:rFonts w:hint="eastAsia" w:cs="仿宋"/>
          <w:sz w:val="32"/>
          <w:szCs w:val="32"/>
          <w:lang w:val="en-US" w:eastAsia="zh-CN"/>
        </w:rPr>
        <w:t>74</w:t>
      </w:r>
      <w:r>
        <w:rPr>
          <w:rFonts w:hint="eastAsia" w:ascii="仿宋" w:hAnsi="仿宋" w:eastAsia="仿宋" w:cs="仿宋"/>
          <w:sz w:val="32"/>
          <w:szCs w:val="32"/>
        </w:rPr>
        <w:t>万元，</w:t>
      </w:r>
      <w:r>
        <w:rPr>
          <w:rFonts w:hint="eastAsia" w:cs="仿宋"/>
          <w:sz w:val="32"/>
          <w:szCs w:val="32"/>
          <w:lang w:eastAsia="zh-CN"/>
        </w:rPr>
        <w:t>下降</w:t>
      </w:r>
      <w:r>
        <w:rPr>
          <w:rFonts w:hint="eastAsia" w:cs="仿宋"/>
          <w:sz w:val="32"/>
          <w:szCs w:val="32"/>
          <w:lang w:val="en-US" w:eastAsia="zh-CN"/>
        </w:rPr>
        <w:t>17.78</w:t>
      </w:r>
      <w:r>
        <w:rPr>
          <w:rFonts w:hint="eastAsia" w:ascii="仿宋" w:hAnsi="仿宋" w:eastAsia="仿宋" w:cs="仿宋"/>
          <w:sz w:val="32"/>
          <w:szCs w:val="32"/>
        </w:rPr>
        <w:t>%。</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cs="仿宋"/>
          <w:sz w:val="32"/>
          <w:szCs w:val="32"/>
          <w:lang w:val="en-US" w:eastAsia="zh-CN"/>
        </w:rPr>
        <w:t>6</w:t>
      </w:r>
      <w:r>
        <w:rPr>
          <w:rFonts w:hint="eastAsia" w:ascii="仿宋" w:hAnsi="仿宋" w:eastAsia="仿宋" w:cs="仿宋"/>
          <w:sz w:val="32"/>
          <w:szCs w:val="32"/>
          <w:lang w:val="en-US" w:eastAsia="zh-CN"/>
        </w:rPr>
        <w:t>）</w:t>
      </w:r>
      <w:r>
        <w:rPr>
          <w:rFonts w:hint="eastAsia" w:ascii="仿宋" w:hAnsi="仿宋" w:eastAsia="仿宋" w:cs="仿宋"/>
          <w:sz w:val="32"/>
          <w:szCs w:val="32"/>
        </w:rPr>
        <w:t>自然资源海洋气象等</w:t>
      </w:r>
      <w:r>
        <w:rPr>
          <w:rFonts w:hint="eastAsia" w:cs="仿宋"/>
          <w:sz w:val="32"/>
          <w:szCs w:val="32"/>
          <w:lang w:val="en-US" w:eastAsia="zh-CN"/>
        </w:rPr>
        <w:t>1969</w:t>
      </w:r>
      <w:r>
        <w:rPr>
          <w:rFonts w:hint="eastAsia" w:ascii="仿宋" w:hAnsi="仿宋" w:eastAsia="仿宋" w:cs="仿宋"/>
          <w:sz w:val="32"/>
          <w:szCs w:val="32"/>
        </w:rPr>
        <w:t>万元，增长</w:t>
      </w:r>
      <w:r>
        <w:rPr>
          <w:rFonts w:hint="eastAsia" w:cs="仿宋"/>
          <w:sz w:val="32"/>
          <w:szCs w:val="32"/>
          <w:lang w:val="en-US" w:eastAsia="zh-CN"/>
        </w:rPr>
        <w:t>4.12</w:t>
      </w:r>
      <w:r>
        <w:rPr>
          <w:rFonts w:hint="eastAsia" w:ascii="仿宋" w:hAnsi="仿宋" w:eastAsia="仿宋" w:cs="仿宋"/>
          <w:sz w:val="32"/>
          <w:szCs w:val="32"/>
        </w:rPr>
        <w:t>%。</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cs="仿宋"/>
          <w:sz w:val="32"/>
          <w:szCs w:val="32"/>
          <w:lang w:val="en-US" w:eastAsia="zh-CN"/>
        </w:rPr>
        <w:t>7</w:t>
      </w:r>
      <w:r>
        <w:rPr>
          <w:rFonts w:hint="eastAsia" w:ascii="仿宋" w:hAnsi="仿宋" w:eastAsia="仿宋" w:cs="仿宋"/>
          <w:sz w:val="32"/>
          <w:szCs w:val="32"/>
          <w:lang w:val="en-US" w:eastAsia="zh-CN"/>
        </w:rPr>
        <w:t>）</w:t>
      </w:r>
      <w:r>
        <w:rPr>
          <w:rFonts w:hint="eastAsia" w:ascii="仿宋" w:hAnsi="仿宋" w:eastAsia="仿宋" w:cs="仿宋"/>
          <w:sz w:val="32"/>
          <w:szCs w:val="32"/>
        </w:rPr>
        <w:t>住房保障</w:t>
      </w:r>
      <w:r>
        <w:rPr>
          <w:rFonts w:hint="eastAsia" w:cs="仿宋"/>
          <w:sz w:val="32"/>
          <w:szCs w:val="32"/>
          <w:lang w:val="en-US" w:eastAsia="zh-CN"/>
        </w:rPr>
        <w:t>4023</w:t>
      </w:r>
      <w:r>
        <w:rPr>
          <w:rFonts w:hint="eastAsia" w:ascii="仿宋" w:hAnsi="仿宋" w:eastAsia="仿宋" w:cs="仿宋"/>
          <w:sz w:val="32"/>
          <w:szCs w:val="32"/>
        </w:rPr>
        <w:t>万元，</w:t>
      </w:r>
      <w:r>
        <w:rPr>
          <w:rFonts w:hint="eastAsia" w:cs="仿宋"/>
          <w:sz w:val="32"/>
          <w:szCs w:val="32"/>
          <w:lang w:eastAsia="zh-CN"/>
        </w:rPr>
        <w:t>增长</w:t>
      </w:r>
      <w:r>
        <w:rPr>
          <w:rFonts w:hint="eastAsia" w:cs="仿宋"/>
          <w:sz w:val="32"/>
          <w:szCs w:val="32"/>
          <w:lang w:val="en-US" w:eastAsia="zh-CN"/>
        </w:rPr>
        <w:t>18.81</w:t>
      </w:r>
      <w:r>
        <w:rPr>
          <w:rFonts w:hint="eastAsia" w:ascii="仿宋" w:hAnsi="仿宋" w:eastAsia="仿宋" w:cs="仿宋"/>
          <w:sz w:val="32"/>
          <w:szCs w:val="32"/>
        </w:rPr>
        <w:t>%。</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cs="仿宋"/>
          <w:sz w:val="32"/>
          <w:szCs w:val="32"/>
          <w:lang w:val="en-US" w:eastAsia="zh-CN"/>
        </w:rPr>
        <w:t>8</w:t>
      </w:r>
      <w:r>
        <w:rPr>
          <w:rFonts w:hint="eastAsia" w:ascii="仿宋" w:hAnsi="仿宋" w:eastAsia="仿宋" w:cs="仿宋"/>
          <w:sz w:val="32"/>
          <w:szCs w:val="32"/>
          <w:lang w:val="en-US" w:eastAsia="zh-CN"/>
        </w:rPr>
        <w:t>）</w:t>
      </w:r>
      <w:r>
        <w:rPr>
          <w:rFonts w:hint="eastAsia" w:ascii="仿宋" w:hAnsi="仿宋" w:eastAsia="仿宋" w:cs="仿宋"/>
          <w:sz w:val="32"/>
          <w:szCs w:val="32"/>
        </w:rPr>
        <w:t>粮油物资储备</w:t>
      </w:r>
      <w:r>
        <w:rPr>
          <w:rFonts w:hint="eastAsia" w:cs="仿宋"/>
          <w:sz w:val="32"/>
          <w:szCs w:val="32"/>
          <w:lang w:val="en-US" w:eastAsia="zh-CN"/>
        </w:rPr>
        <w:t>971</w:t>
      </w:r>
      <w:r>
        <w:rPr>
          <w:rFonts w:hint="eastAsia" w:ascii="仿宋" w:hAnsi="仿宋" w:eastAsia="仿宋" w:cs="仿宋"/>
          <w:sz w:val="32"/>
          <w:szCs w:val="32"/>
        </w:rPr>
        <w:t>万元，</w:t>
      </w:r>
      <w:r>
        <w:rPr>
          <w:rFonts w:hint="eastAsia" w:cs="仿宋"/>
          <w:sz w:val="32"/>
          <w:szCs w:val="32"/>
          <w:lang w:eastAsia="zh-CN"/>
        </w:rPr>
        <w:t>增长</w:t>
      </w:r>
      <w:r>
        <w:rPr>
          <w:rFonts w:hint="eastAsia" w:cs="仿宋"/>
          <w:sz w:val="32"/>
          <w:szCs w:val="32"/>
          <w:lang w:val="en-US" w:eastAsia="zh-CN"/>
        </w:rPr>
        <w:t>400.52</w:t>
      </w:r>
      <w:r>
        <w:rPr>
          <w:rFonts w:hint="eastAsia" w:ascii="仿宋" w:hAnsi="仿宋" w:eastAsia="仿宋" w:cs="仿宋"/>
          <w:sz w:val="32"/>
          <w:szCs w:val="32"/>
        </w:rPr>
        <w:t xml:space="preserve">%。 </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cs="仿宋"/>
          <w:sz w:val="32"/>
          <w:szCs w:val="32"/>
          <w:lang w:val="en-US" w:eastAsia="zh-CN"/>
        </w:rPr>
        <w:t>9</w:t>
      </w:r>
      <w:r>
        <w:rPr>
          <w:rFonts w:hint="eastAsia" w:ascii="仿宋" w:hAnsi="仿宋" w:eastAsia="仿宋" w:cs="仿宋"/>
          <w:sz w:val="32"/>
          <w:szCs w:val="32"/>
          <w:lang w:val="en-US" w:eastAsia="zh-CN"/>
        </w:rPr>
        <w:t>）</w:t>
      </w:r>
      <w:r>
        <w:rPr>
          <w:rFonts w:hint="eastAsia" w:ascii="仿宋" w:hAnsi="仿宋" w:eastAsia="仿宋" w:cs="仿宋"/>
          <w:sz w:val="32"/>
          <w:szCs w:val="32"/>
        </w:rPr>
        <w:t>灾害防治及应急管理</w:t>
      </w:r>
      <w:r>
        <w:rPr>
          <w:rFonts w:hint="eastAsia" w:cs="仿宋"/>
          <w:sz w:val="32"/>
          <w:szCs w:val="32"/>
          <w:lang w:val="en-US" w:eastAsia="zh-CN"/>
        </w:rPr>
        <w:t>283</w:t>
      </w:r>
      <w:r>
        <w:rPr>
          <w:rFonts w:hint="eastAsia" w:ascii="仿宋" w:hAnsi="仿宋" w:eastAsia="仿宋" w:cs="仿宋"/>
          <w:sz w:val="32"/>
          <w:szCs w:val="32"/>
        </w:rPr>
        <w:t>万元，</w:t>
      </w:r>
      <w:r>
        <w:rPr>
          <w:rFonts w:hint="eastAsia" w:cs="仿宋"/>
          <w:sz w:val="32"/>
          <w:szCs w:val="32"/>
          <w:lang w:eastAsia="zh-CN"/>
        </w:rPr>
        <w:t>增长</w:t>
      </w:r>
      <w:r>
        <w:rPr>
          <w:rFonts w:hint="eastAsia" w:cs="仿宋"/>
          <w:sz w:val="32"/>
          <w:szCs w:val="32"/>
          <w:lang w:val="en-US" w:eastAsia="zh-CN"/>
        </w:rPr>
        <w:t>63.58%</w:t>
      </w:r>
      <w:r>
        <w:rPr>
          <w:rFonts w:hint="eastAsia" w:ascii="仿宋" w:hAnsi="仿宋" w:eastAsia="仿宋" w:cs="仿宋"/>
          <w:sz w:val="32"/>
          <w:szCs w:val="32"/>
        </w:rPr>
        <w:t>。</w:t>
      </w:r>
    </w:p>
    <w:p>
      <w:pPr>
        <w:numPr>
          <w:ilvl w:val="0"/>
          <w:numId w:val="0"/>
        </w:numPr>
        <w:rPr>
          <w:rFonts w:hint="eastAsia" w:ascii="仿宋" w:hAnsi="仿宋" w:eastAsia="仿宋" w:cs="仿宋"/>
          <w:sz w:val="32"/>
          <w:szCs w:val="32"/>
        </w:rPr>
      </w:pPr>
    </w:p>
    <w:p>
      <w:pPr>
        <w:numPr>
          <w:ilvl w:val="0"/>
          <w:numId w:val="0"/>
        </w:numPr>
        <w:rPr>
          <w:rFonts w:hint="eastAsia" w:ascii="仿宋" w:hAnsi="仿宋" w:eastAsia="仿宋" w:cs="仿宋"/>
          <w:sz w:val="32"/>
          <w:szCs w:val="32"/>
          <w:lang w:eastAsia="zh-CN"/>
        </w:rPr>
      </w:pPr>
      <w:r>
        <w:rPr>
          <w:rFonts w:hint="eastAsia" w:ascii="仿宋" w:hAnsi="仿宋" w:eastAsia="仿宋" w:cs="仿宋"/>
          <w:sz w:val="32"/>
          <w:szCs w:val="32"/>
          <w:lang w:eastAsia="zh-CN"/>
        </w:rPr>
        <w:drawing>
          <wp:anchor distT="0" distB="0" distL="114300" distR="114300" simplePos="0" relativeHeight="251665408" behindDoc="0" locked="0" layoutInCell="1" allowOverlap="1">
            <wp:simplePos x="0" y="0"/>
            <wp:positionH relativeFrom="column">
              <wp:posOffset>-295275</wp:posOffset>
            </wp:positionH>
            <wp:positionV relativeFrom="page">
              <wp:posOffset>1131570</wp:posOffset>
            </wp:positionV>
            <wp:extent cx="6084570" cy="4464050"/>
            <wp:effectExtent l="5080" t="4445" r="6350" b="825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numPr>
          <w:ilvl w:val="0"/>
          <w:numId w:val="0"/>
        </w:numPr>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（二）政府性基金预算转移支付</w:t>
      </w:r>
    </w:p>
    <w:p>
      <w:pPr>
        <w:widowControl w:val="0"/>
        <w:numPr>
          <w:ilvl w:val="0"/>
          <w:numId w:val="0"/>
        </w:numPr>
        <w:ind w:firstLine="640" w:firstLineChars="200"/>
        <w:jc w:val="both"/>
        <w:rPr>
          <w:rFonts w:hint="eastAsia"/>
          <w:lang w:val="en-US" w:eastAsia="zh-CN"/>
        </w:rPr>
      </w:pPr>
      <w:r>
        <w:rPr>
          <w:rFonts w:hint="eastAsia" w:ascii="仿宋" w:hAnsi="仿宋" w:eastAsia="仿宋" w:cs="仿宋"/>
          <w:sz w:val="32"/>
          <w:szCs w:val="32"/>
          <w:lang w:val="en-US" w:eastAsia="zh-CN"/>
        </w:rPr>
        <w:t>202</w:t>
      </w:r>
      <w:r>
        <w:rPr>
          <w:rFonts w:hint="eastAsia" w:cs="仿宋"/>
          <w:sz w:val="32"/>
          <w:szCs w:val="32"/>
          <w:lang w:val="en-US" w:eastAsia="zh-CN"/>
        </w:rPr>
        <w:t>2</w:t>
      </w:r>
      <w:r>
        <w:rPr>
          <w:rFonts w:hint="eastAsia" w:ascii="仿宋" w:hAnsi="仿宋" w:eastAsia="仿宋" w:cs="仿宋"/>
          <w:sz w:val="32"/>
          <w:szCs w:val="32"/>
          <w:lang w:val="en-US" w:eastAsia="zh-CN"/>
        </w:rPr>
        <w:t>年，我县收到上级下达的政府性基金预算转移支付共</w:t>
      </w:r>
      <w:r>
        <w:rPr>
          <w:rFonts w:hint="eastAsia" w:cs="仿宋"/>
          <w:sz w:val="32"/>
          <w:szCs w:val="32"/>
          <w:lang w:val="en-US" w:eastAsia="zh-CN"/>
        </w:rPr>
        <w:t>9232</w:t>
      </w:r>
      <w:r>
        <w:rPr>
          <w:rFonts w:hint="eastAsia" w:ascii="仿宋" w:hAnsi="仿宋" w:eastAsia="仿宋" w:cs="仿宋"/>
          <w:sz w:val="32"/>
          <w:szCs w:val="32"/>
          <w:lang w:val="en-US" w:eastAsia="zh-CN"/>
        </w:rPr>
        <w:t>万元，比上年</w:t>
      </w:r>
      <w:r>
        <w:rPr>
          <w:rFonts w:hint="eastAsia" w:cs="仿宋"/>
          <w:sz w:val="32"/>
          <w:szCs w:val="32"/>
          <w:lang w:val="en-US" w:eastAsia="zh-CN"/>
        </w:rPr>
        <w:t>增加3923</w:t>
      </w:r>
      <w:r>
        <w:rPr>
          <w:rFonts w:hint="eastAsia" w:ascii="仿宋" w:hAnsi="仿宋" w:eastAsia="仿宋" w:cs="仿宋"/>
          <w:sz w:val="32"/>
          <w:szCs w:val="32"/>
          <w:lang w:val="en-US" w:eastAsia="zh-CN"/>
        </w:rPr>
        <w:t>万元，</w:t>
      </w:r>
      <w:r>
        <w:rPr>
          <w:rFonts w:hint="eastAsia" w:cs="仿宋"/>
          <w:sz w:val="32"/>
          <w:szCs w:val="32"/>
          <w:lang w:val="en-US" w:eastAsia="zh-CN"/>
        </w:rPr>
        <w:t>增长73.89</w:t>
      </w:r>
      <w:r>
        <w:rPr>
          <w:rFonts w:hint="eastAsia" w:ascii="仿宋" w:hAnsi="仿宋" w:eastAsia="仿宋" w:cs="仿宋"/>
          <w:sz w:val="32"/>
          <w:szCs w:val="32"/>
          <w:lang w:val="en-US" w:eastAsia="zh-CN"/>
        </w:rPr>
        <w:t>%，主要是因为：上级</w:t>
      </w:r>
      <w:r>
        <w:rPr>
          <w:rFonts w:hint="eastAsia" w:cs="仿宋"/>
          <w:sz w:val="32"/>
          <w:szCs w:val="32"/>
          <w:lang w:val="en-US" w:eastAsia="zh-CN"/>
        </w:rPr>
        <w:t>增加</w:t>
      </w:r>
      <w:r>
        <w:rPr>
          <w:rFonts w:hint="eastAsia" w:ascii="仿宋" w:hAnsi="仿宋" w:eastAsia="仿宋" w:cs="仿宋"/>
          <w:sz w:val="32"/>
          <w:szCs w:val="32"/>
          <w:lang w:val="en-US" w:eastAsia="zh-CN"/>
        </w:rPr>
        <w:t>了</w:t>
      </w:r>
      <w:r>
        <w:rPr>
          <w:rFonts w:hint="eastAsia" w:ascii="仿宋" w:hAnsi="仿宋" w:eastAsia="仿宋" w:cs="仿宋"/>
          <w:kern w:val="2"/>
          <w:sz w:val="32"/>
          <w:szCs w:val="32"/>
          <w:lang w:val="en-US" w:eastAsia="zh-CN" w:bidi="ar-SA"/>
        </w:rPr>
        <w:t>国家重大水利工程建设基金相关收入</w:t>
      </w:r>
      <w:r>
        <w:rPr>
          <w:rFonts w:hint="eastAsia" w:cs="仿宋"/>
          <w:kern w:val="2"/>
          <w:sz w:val="32"/>
          <w:szCs w:val="32"/>
          <w:lang w:val="en-US" w:eastAsia="zh-CN" w:bidi="ar-SA"/>
        </w:rPr>
        <w:t>的</w:t>
      </w:r>
      <w:r>
        <w:rPr>
          <w:rFonts w:hint="eastAsia" w:ascii="仿宋" w:hAnsi="仿宋" w:eastAsia="仿宋" w:cs="仿宋"/>
          <w:kern w:val="2"/>
          <w:sz w:val="32"/>
          <w:szCs w:val="32"/>
          <w:lang w:val="en-US" w:eastAsia="zh-CN" w:bidi="ar-SA"/>
        </w:rPr>
        <w:t>转移支付。具体明细情况如下：</w:t>
      </w:r>
    </w:p>
    <w:p>
      <w:pPr>
        <w:numPr>
          <w:ilvl w:val="0"/>
          <w:numId w:val="2"/>
        </w:numPr>
        <w:bidi w:val="0"/>
        <w:rPr>
          <w:rFonts w:hint="eastAsia"/>
          <w:lang w:val="en-US" w:eastAsia="zh-CN"/>
        </w:rPr>
      </w:pPr>
      <w:r>
        <w:rPr>
          <w:rFonts w:hint="eastAsia"/>
          <w:lang w:val="en-US" w:eastAsia="zh-CN"/>
        </w:rPr>
        <w:t>国家电影事业发展专项资金相关收入44万元，下降12%。</w:t>
      </w:r>
    </w:p>
    <w:p>
      <w:pPr>
        <w:numPr>
          <w:ilvl w:val="0"/>
          <w:numId w:val="2"/>
        </w:numPr>
        <w:bidi w:val="0"/>
        <w:rPr>
          <w:rFonts w:hint="eastAsia"/>
          <w:lang w:val="en-US" w:eastAsia="zh-CN"/>
        </w:rPr>
      </w:pPr>
      <w:r>
        <w:rPr>
          <w:rFonts w:hint="eastAsia"/>
          <w:lang w:val="en-US" w:eastAsia="zh-CN"/>
        </w:rPr>
        <w:t>大中型水库移民后期扶持基金收入111万元，下降 15.91%。</w:t>
      </w:r>
    </w:p>
    <w:p>
      <w:pPr>
        <w:numPr>
          <w:ilvl w:val="0"/>
          <w:numId w:val="2"/>
        </w:numPr>
        <w:bidi w:val="0"/>
        <w:rPr>
          <w:rFonts w:hint="eastAsia"/>
          <w:lang w:val="en-US" w:eastAsia="zh-CN"/>
        </w:rPr>
      </w:pPr>
      <w:r>
        <w:rPr>
          <w:rFonts w:hint="eastAsia"/>
          <w:lang w:val="en-US" w:eastAsia="zh-CN"/>
        </w:rPr>
        <w:t>城市基础设施配套费相关收入0万，下降100%。</w:t>
      </w:r>
    </w:p>
    <w:p>
      <w:pPr>
        <w:numPr>
          <w:ilvl w:val="0"/>
          <w:numId w:val="2"/>
        </w:numPr>
        <w:bidi w:val="0"/>
        <w:rPr>
          <w:rFonts w:hint="eastAsia"/>
          <w:lang w:val="en-US" w:eastAsia="zh-CN"/>
        </w:rPr>
      </w:pPr>
      <w:r>
        <w:rPr>
          <w:rFonts w:hint="eastAsia"/>
          <w:lang w:val="en-US" w:eastAsia="zh-CN"/>
        </w:rPr>
        <w:t>国家重大水利工程建设基金相关收入8083万元，增长119.65%。</w:t>
      </w:r>
    </w:p>
    <w:p>
      <w:pPr>
        <w:numPr>
          <w:ilvl w:val="0"/>
          <w:numId w:val="2"/>
        </w:numPr>
        <w:bidi w:val="0"/>
        <w:rPr>
          <w:rFonts w:hint="default"/>
          <w:lang w:val="en-US" w:eastAsia="zh-CN"/>
        </w:rPr>
      </w:pPr>
      <w:r>
        <w:rPr>
          <w:rFonts w:hint="default"/>
          <w:lang w:val="en-US" w:eastAsia="zh-CN"/>
        </w:rPr>
        <w:t>彩票发行机构和彩票销售机构的业务费用</w:t>
      </w:r>
      <w:r>
        <w:rPr>
          <w:rFonts w:hint="eastAsia"/>
          <w:lang w:val="en-US" w:eastAsia="zh-CN"/>
        </w:rPr>
        <w:t>28万元，与上年持平。</w:t>
      </w:r>
    </w:p>
    <w:p>
      <w:pPr>
        <w:numPr>
          <w:ilvl w:val="0"/>
          <w:numId w:val="2"/>
        </w:numPr>
        <w:bidi w:val="0"/>
        <w:rPr>
          <w:rFonts w:hint="eastAsia"/>
          <w:lang w:val="en-US" w:eastAsia="zh-CN"/>
        </w:rPr>
      </w:pPr>
      <w:r>
        <w:rPr>
          <w:rFonts w:hint="eastAsia"/>
          <w:lang w:val="en-US" w:eastAsia="zh-CN"/>
        </w:rPr>
        <w:t>彩票公益金收入966万元，下降31.29%。</w:t>
      </w:r>
    </w:p>
    <w:p>
      <w:pPr>
        <w:pStyle w:val="6"/>
        <w:keepNext w:val="0"/>
        <w:keepLines w:val="0"/>
        <w:pageBreakBefore w:val="0"/>
        <w:widowControl w:val="0"/>
        <w:kinsoku/>
        <w:wordWrap/>
        <w:overflowPunct/>
        <w:topLinePunct w:val="0"/>
        <w:autoSpaceDE/>
        <w:autoSpaceDN/>
        <w:bidi w:val="0"/>
        <w:adjustRightInd/>
        <w:ind w:left="-960" w:leftChars="-3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drawing>
          <wp:anchor distT="0" distB="0" distL="114300" distR="114300" simplePos="0" relativeHeight="251666432" behindDoc="0" locked="0" layoutInCell="1" allowOverlap="1">
            <wp:simplePos x="0" y="0"/>
            <wp:positionH relativeFrom="column">
              <wp:posOffset>-131445</wp:posOffset>
            </wp:positionH>
            <wp:positionV relativeFrom="page">
              <wp:posOffset>3525520</wp:posOffset>
            </wp:positionV>
            <wp:extent cx="5767070" cy="3810000"/>
            <wp:effectExtent l="4445" t="4445" r="19685" b="14605"/>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6"/>
        <w:keepNext w:val="0"/>
        <w:keepLines w:val="0"/>
        <w:pageBreakBefore w:val="0"/>
        <w:widowControl w:val="0"/>
        <w:kinsoku/>
        <w:wordWrap/>
        <w:overflowPunct/>
        <w:topLinePunct w:val="0"/>
        <w:autoSpaceDE/>
        <w:autoSpaceDN/>
        <w:bidi w:val="0"/>
        <w:adjustRightInd/>
        <w:ind w:left="-960" w:leftChars="-300"/>
        <w:jc w:val="left"/>
        <w:textAlignment w:val="auto"/>
        <w:rPr>
          <w:rFonts w:hint="eastAsia" w:ascii="仿宋" w:hAnsi="仿宋" w:eastAsia="仿宋" w:cs="仿宋"/>
          <w:sz w:val="32"/>
          <w:szCs w:val="32"/>
          <w:lang w:eastAsia="zh-CN"/>
        </w:rPr>
      </w:pPr>
    </w:p>
    <w:p>
      <w:pPr>
        <w:pStyle w:val="6"/>
        <w:keepNext w:val="0"/>
        <w:keepLines w:val="0"/>
        <w:pageBreakBefore w:val="0"/>
        <w:widowControl w:val="0"/>
        <w:kinsoku/>
        <w:wordWrap/>
        <w:overflowPunct/>
        <w:topLinePunct w:val="0"/>
        <w:autoSpaceDE/>
        <w:autoSpaceDN/>
        <w:bidi w:val="0"/>
        <w:adjustRightInd/>
        <w:ind w:left="-960" w:leftChars="-300"/>
        <w:jc w:val="left"/>
        <w:textAlignment w:val="auto"/>
        <w:rPr>
          <w:rFonts w:hint="eastAsia" w:ascii="仿宋" w:hAnsi="仿宋" w:eastAsia="仿宋" w:cs="仿宋"/>
          <w:sz w:val="32"/>
          <w:szCs w:val="32"/>
          <w:lang w:eastAsia="zh-CN"/>
        </w:rPr>
      </w:pPr>
    </w:p>
    <w:p>
      <w:pPr>
        <w:rPr>
          <w:rFonts w:ascii="宋体" w:hAnsi="宋体" w:eastAsia="宋体" w:cs="宋体"/>
          <w:sz w:val="28"/>
          <w:szCs w:val="28"/>
        </w:rPr>
      </w:pPr>
    </w:p>
    <w:p>
      <w:pPr>
        <w:rPr>
          <w:rFonts w:ascii="宋体" w:hAnsi="宋体" w:eastAsia="宋体" w:cs="宋体"/>
          <w:sz w:val="28"/>
          <w:szCs w:val="28"/>
        </w:rPr>
      </w:pPr>
    </w:p>
    <w:p>
      <w:pPr>
        <w:ind w:left="640" w:leftChars="200"/>
        <w:rPr>
          <w:rFonts w:ascii="宋体" w:hAnsi="宋体" w:eastAsia="宋体" w:cs="宋体"/>
          <w:sz w:val="28"/>
          <w:szCs w:val="28"/>
        </w:rPr>
      </w:pPr>
    </w:p>
    <w:p>
      <w:pPr>
        <w:ind w:left="640" w:leftChars="200"/>
        <w:rPr>
          <w:rFonts w:ascii="宋体" w:hAnsi="宋体" w:eastAsia="宋体" w:cs="宋体"/>
          <w:sz w:val="28"/>
          <w:szCs w:val="28"/>
        </w:rPr>
      </w:pPr>
      <w:r>
        <w:rPr>
          <w:sz w:val="21"/>
        </w:rPr>
        <w:pict>
          <v:shape id="_x0000_s2051" o:spid="_x0000_s2051" o:spt="202" type="#_x0000_t202" style="position:absolute;left:0pt;margin-left:-91.4pt;margin-top:5.85pt;height:124.4pt;width:596.95pt;z-index:251660288;mso-width-relative:page;mso-height-relative:page;" fillcolor="#9DC3E6" filled="t" stroked="t" coordsize="21600,21600">
            <v:path/>
            <v:fill type="gradientRadial" on="t" color2="fill lighten(147)" focus="100%" focussize="0f,0f" focusposition="0f,0f" method="linear sigma">
              <o:fill type="gradientCenter" v:ext="backwardCompatible"/>
            </v:fill>
            <v:stroke color="#FFC000"/>
            <v:imagedata o:title=""/>
            <o:lock v:ext="edit" aspectratio="f"/>
            <v:textbox>
              <w:txbxContent>
                <w:p>
                  <w:pPr>
                    <w:keepNext w:val="0"/>
                    <w:keepLines w:val="0"/>
                    <w:pageBreakBefore w:val="0"/>
                    <w:widowControl w:val="0"/>
                    <w:kinsoku/>
                    <w:wordWrap/>
                    <w:overflowPunct/>
                    <w:topLinePunct w:val="0"/>
                    <w:autoSpaceDE/>
                    <w:autoSpaceDN/>
                    <w:bidi w:val="0"/>
                    <w:adjustRightInd/>
                    <w:snapToGrid/>
                    <w:ind w:firstLine="1084" w:firstLineChars="300"/>
                    <w:jc w:val="left"/>
                    <w:textAlignment w:val="auto"/>
                    <w:rPr>
                      <w:rFonts w:hint="eastAsia" w:ascii="黑体" w:hAnsi="黑体" w:eastAsia="黑体" w:cs="黑体"/>
                      <w:b/>
                      <w:sz w:val="36"/>
                      <w:szCs w:val="36"/>
                    </w:rPr>
                  </w:pPr>
                </w:p>
                <w:p>
                  <w:pPr>
                    <w:keepNext w:val="0"/>
                    <w:keepLines w:val="0"/>
                    <w:pageBreakBefore w:val="0"/>
                    <w:widowControl w:val="0"/>
                    <w:kinsoku/>
                    <w:wordWrap/>
                    <w:overflowPunct/>
                    <w:topLinePunct w:val="0"/>
                    <w:autoSpaceDE/>
                    <w:autoSpaceDN/>
                    <w:bidi w:val="0"/>
                    <w:adjustRightInd/>
                    <w:snapToGrid/>
                    <w:ind w:firstLine="1601" w:firstLineChars="400"/>
                    <w:jc w:val="left"/>
                    <w:textAlignment w:val="auto"/>
                    <w:rPr>
                      <w:rFonts w:hint="eastAsia" w:ascii="方正小标宋简体" w:hAnsi="方正小标宋简体" w:eastAsia="方正小标宋简体" w:cs="方正小标宋简体"/>
                      <w:b/>
                      <w:bCs/>
                      <w:i w:val="0"/>
                      <w:iCs w:val="0"/>
                      <w:caps w:val="0"/>
                      <w:color w:val="333333"/>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bCs/>
                      <w:i w:val="0"/>
                      <w:iCs w:val="0"/>
                      <w:caps w:val="0"/>
                      <w:color w:val="333333"/>
                      <w:spacing w:val="0"/>
                      <w:kern w:val="0"/>
                      <w:sz w:val="40"/>
                      <w:szCs w:val="40"/>
                      <w:shd w:val="clear" w:color="auto" w:fill="FFFFFF"/>
                      <w:lang w:val="en-US" w:eastAsia="zh-CN" w:bidi="ar"/>
                    </w:rPr>
                    <w:t>二、关于2022年南县“三公”经费支出情况说明</w:t>
                  </w:r>
                </w:p>
                <w:p>
                  <w:pPr>
                    <w:rPr>
                      <w:rFonts w:hint="eastAsia" w:eastAsiaTheme="minorEastAsia"/>
                      <w:lang w:val="en-US" w:eastAsia="zh-CN"/>
                    </w:rPr>
                  </w:pPr>
                  <w:r>
                    <w:rPr>
                      <w:rFonts w:hint="eastAsia"/>
                      <w:lang w:val="en-US" w:eastAsia="zh-CN"/>
                    </w:rPr>
                    <w:t xml:space="preserve"> </w:t>
                  </w:r>
                </w:p>
              </w:txbxContent>
            </v:textbox>
          </v:shape>
        </w:pict>
      </w:r>
    </w:p>
    <w:p>
      <w:pPr>
        <w:ind w:left="640" w:leftChars="200"/>
        <w:rPr>
          <w:rFonts w:ascii="宋体" w:hAnsi="宋体" w:eastAsia="宋体" w:cs="宋体"/>
          <w:sz w:val="28"/>
          <w:szCs w:val="28"/>
        </w:rPr>
      </w:pPr>
    </w:p>
    <w:p>
      <w:pPr>
        <w:ind w:left="640" w:leftChars="200"/>
        <w:rPr>
          <w:rFonts w:ascii="宋体" w:hAnsi="宋体" w:eastAsia="宋体" w:cs="宋体"/>
          <w:sz w:val="28"/>
          <w:szCs w:val="28"/>
        </w:rPr>
      </w:pPr>
    </w:p>
    <w:p>
      <w:pPr>
        <w:ind w:left="640" w:leftChars="200"/>
        <w:rPr>
          <w:rFonts w:ascii="宋体" w:hAnsi="宋体" w:eastAsia="宋体" w:cs="宋体"/>
          <w:sz w:val="28"/>
          <w:szCs w:val="28"/>
        </w:rPr>
      </w:pPr>
    </w:p>
    <w:p>
      <w:pPr>
        <w:rPr>
          <w:b/>
          <w:sz w:val="30"/>
          <w:szCs w:val="30"/>
        </w:rPr>
      </w:pPr>
    </w:p>
    <w:p>
      <w:pPr>
        <w:bidi w:val="0"/>
        <w:ind w:firstLine="640" w:firstLineChars="200"/>
        <w:rPr>
          <w:rFonts w:hint="eastAsia"/>
          <w:color w:val="000000" w:themeColor="text1"/>
        </w:rPr>
      </w:pPr>
      <w:r>
        <w:rPr>
          <w:rFonts w:hint="eastAsia"/>
        </w:rPr>
        <w:t>202</w:t>
      </w:r>
      <w:r>
        <w:rPr>
          <w:rFonts w:hint="eastAsia"/>
          <w:lang w:val="en-US" w:eastAsia="zh-CN"/>
        </w:rPr>
        <w:t>2</w:t>
      </w:r>
      <w:r>
        <w:rPr>
          <w:rFonts w:hint="eastAsia"/>
        </w:rPr>
        <w:t>年，县本级一般公共预算“三公经费”决算数为</w:t>
      </w:r>
      <w:r>
        <w:rPr>
          <w:rFonts w:hint="eastAsia"/>
          <w:lang w:val="en-US" w:eastAsia="zh-CN"/>
        </w:rPr>
        <w:t>1067</w:t>
      </w:r>
      <w:r>
        <w:rPr>
          <w:rFonts w:hint="eastAsia"/>
        </w:rPr>
        <w:t>万元，</w:t>
      </w:r>
      <w:r>
        <w:rPr>
          <w:rFonts w:hint="eastAsia"/>
          <w:color w:val="000000" w:themeColor="text1"/>
        </w:rPr>
        <w:t>为预算数</w:t>
      </w:r>
      <w:r>
        <w:rPr>
          <w:rFonts w:hint="eastAsia"/>
          <w:color w:val="000000" w:themeColor="text1"/>
          <w:lang w:val="en-US" w:eastAsia="zh-CN"/>
        </w:rPr>
        <w:t>1236</w:t>
      </w:r>
      <w:r>
        <w:rPr>
          <w:rFonts w:hint="eastAsia"/>
          <w:color w:val="000000" w:themeColor="text1"/>
        </w:rPr>
        <w:t>万元的</w:t>
      </w:r>
      <w:r>
        <w:rPr>
          <w:rFonts w:hint="eastAsia"/>
          <w:color w:val="000000" w:themeColor="text1"/>
          <w:lang w:val="en-US" w:eastAsia="zh-CN"/>
        </w:rPr>
        <w:t>86.33</w:t>
      </w:r>
      <w:r>
        <w:rPr>
          <w:rFonts w:hint="eastAsia"/>
          <w:color w:val="000000" w:themeColor="text1"/>
        </w:rPr>
        <w:t>%。其中：</w:t>
      </w:r>
    </w:p>
    <w:p>
      <w:pPr>
        <w:bidi w:val="0"/>
        <w:ind w:firstLine="640" w:firstLineChars="200"/>
        <w:rPr>
          <w:rFonts w:hint="eastAsia"/>
          <w:color w:val="000000" w:themeColor="text1"/>
        </w:rPr>
      </w:pPr>
      <w:r>
        <w:rPr>
          <w:rFonts w:hint="eastAsia"/>
          <w:color w:val="000000" w:themeColor="text1"/>
        </w:rPr>
        <w:t>公务接待费</w:t>
      </w:r>
      <w:r>
        <w:rPr>
          <w:rFonts w:hint="eastAsia"/>
          <w:color w:val="000000" w:themeColor="text1"/>
          <w:lang w:val="en-US" w:eastAsia="zh-CN"/>
        </w:rPr>
        <w:t>431</w:t>
      </w:r>
      <w:r>
        <w:rPr>
          <w:rFonts w:hint="eastAsia"/>
          <w:color w:val="000000" w:themeColor="text1"/>
        </w:rPr>
        <w:t>万元，为预算数</w:t>
      </w:r>
      <w:r>
        <w:rPr>
          <w:rFonts w:hint="eastAsia"/>
          <w:color w:val="000000" w:themeColor="text1"/>
          <w:lang w:val="en-US" w:eastAsia="zh-CN"/>
        </w:rPr>
        <w:t>593</w:t>
      </w:r>
      <w:r>
        <w:rPr>
          <w:rFonts w:hint="eastAsia"/>
          <w:color w:val="000000" w:themeColor="text1"/>
        </w:rPr>
        <w:t>万元的</w:t>
      </w:r>
      <w:r>
        <w:rPr>
          <w:rFonts w:hint="eastAsia"/>
          <w:color w:val="000000" w:themeColor="text1"/>
          <w:lang w:val="en-US" w:eastAsia="zh-CN"/>
        </w:rPr>
        <w:t>72.68</w:t>
      </w:r>
      <w:r>
        <w:rPr>
          <w:rFonts w:hint="eastAsia"/>
          <w:color w:val="000000" w:themeColor="text1"/>
        </w:rPr>
        <w:t>%。</w:t>
      </w:r>
    </w:p>
    <w:p>
      <w:pPr>
        <w:bidi w:val="0"/>
        <w:ind w:firstLine="640" w:firstLineChars="200"/>
        <w:rPr>
          <w:rFonts w:hint="eastAsia"/>
          <w:color w:val="000000" w:themeColor="text1"/>
        </w:rPr>
      </w:pPr>
      <w:r>
        <w:rPr>
          <w:rFonts w:hint="eastAsia"/>
          <w:color w:val="000000" w:themeColor="text1"/>
        </w:rPr>
        <w:t>因公出国（境）费0万元，为预算数0万元的0%。</w:t>
      </w:r>
    </w:p>
    <w:p>
      <w:pPr>
        <w:bidi w:val="0"/>
        <w:ind w:firstLine="640" w:firstLineChars="200"/>
        <w:rPr>
          <w:rFonts w:hint="default" w:eastAsia="仿宋"/>
          <w:color w:val="FFC000"/>
          <w:lang w:val="en-US" w:eastAsia="zh-CN"/>
        </w:rPr>
      </w:pPr>
      <w:r>
        <w:rPr>
          <w:rFonts w:hint="eastAsia"/>
          <w:color w:val="000000" w:themeColor="text1"/>
        </w:rPr>
        <w:t>公务用车购置及运行维护费</w:t>
      </w:r>
      <w:r>
        <w:rPr>
          <w:rFonts w:hint="eastAsia"/>
          <w:color w:val="000000" w:themeColor="text1"/>
          <w:lang w:val="en-US" w:eastAsia="zh-CN"/>
        </w:rPr>
        <w:t>636</w:t>
      </w:r>
      <w:r>
        <w:rPr>
          <w:rFonts w:hint="eastAsia"/>
          <w:color w:val="000000" w:themeColor="text1"/>
        </w:rPr>
        <w:t>万元，为预算数</w:t>
      </w:r>
      <w:r>
        <w:rPr>
          <w:rFonts w:hint="eastAsia"/>
          <w:color w:val="000000" w:themeColor="text1"/>
          <w:lang w:val="en-US" w:eastAsia="zh-CN"/>
        </w:rPr>
        <w:t>643</w:t>
      </w:r>
      <w:r>
        <w:rPr>
          <w:rFonts w:hint="eastAsia"/>
          <w:color w:val="000000" w:themeColor="text1"/>
        </w:rPr>
        <w:t>万元的</w:t>
      </w:r>
      <w:r>
        <w:rPr>
          <w:rFonts w:hint="eastAsia"/>
          <w:color w:val="000000" w:themeColor="text1"/>
          <w:lang w:val="en-US" w:eastAsia="zh-CN"/>
        </w:rPr>
        <w:t>98.91</w:t>
      </w:r>
      <w:r>
        <w:rPr>
          <w:rFonts w:hint="eastAsia"/>
          <w:color w:val="000000" w:themeColor="text1"/>
        </w:rPr>
        <w:t>%。</w:t>
      </w:r>
      <w:r>
        <w:rPr>
          <w:rFonts w:hint="eastAsia"/>
          <w:color w:val="000000" w:themeColor="text1"/>
          <w:lang w:eastAsia="zh-CN"/>
        </w:rPr>
        <w:t>其中</w:t>
      </w:r>
      <w:r>
        <w:rPr>
          <w:rFonts w:hint="eastAsia"/>
          <w:color w:val="000000" w:themeColor="text1"/>
        </w:rPr>
        <w:t>公务用车购置</w:t>
      </w:r>
      <w:r>
        <w:rPr>
          <w:rFonts w:hint="eastAsia"/>
          <w:color w:val="000000" w:themeColor="text1"/>
          <w:lang w:eastAsia="zh-CN"/>
        </w:rPr>
        <w:t>费</w:t>
      </w:r>
      <w:r>
        <w:rPr>
          <w:rFonts w:hint="eastAsia"/>
          <w:color w:val="000000" w:themeColor="text1"/>
          <w:lang w:val="en-US" w:eastAsia="zh-CN"/>
        </w:rPr>
        <w:t>0万元，预算未安排资金。公务用车运行费636万元，</w:t>
      </w:r>
      <w:r>
        <w:rPr>
          <w:rFonts w:hint="eastAsia"/>
          <w:color w:val="000000" w:themeColor="text1"/>
        </w:rPr>
        <w:t>为预算数</w:t>
      </w:r>
      <w:r>
        <w:rPr>
          <w:rFonts w:hint="eastAsia"/>
          <w:color w:val="000000" w:themeColor="text1"/>
          <w:lang w:val="en-US" w:eastAsia="zh-CN"/>
        </w:rPr>
        <w:t>643</w:t>
      </w:r>
      <w:r>
        <w:rPr>
          <w:rFonts w:hint="eastAsia"/>
          <w:color w:val="000000" w:themeColor="text1"/>
        </w:rPr>
        <w:t>万元的</w:t>
      </w:r>
      <w:r>
        <w:rPr>
          <w:rFonts w:hint="eastAsia"/>
          <w:color w:val="000000" w:themeColor="text1"/>
          <w:lang w:val="en-US" w:eastAsia="zh-CN"/>
        </w:rPr>
        <w:t>98.91</w:t>
      </w:r>
      <w:r>
        <w:rPr>
          <w:rFonts w:hint="eastAsia"/>
          <w:color w:val="000000" w:themeColor="text1"/>
        </w:rPr>
        <w:t>%。</w:t>
      </w:r>
    </w:p>
    <w:p>
      <w:pPr>
        <w:bidi w:val="0"/>
        <w:ind w:firstLine="640" w:firstLineChars="200"/>
        <w:rPr>
          <w:rFonts w:hint="eastAsia"/>
        </w:rPr>
      </w:pPr>
      <w:r>
        <w:rPr>
          <w:rFonts w:hint="eastAsia"/>
        </w:rPr>
        <w:t>我县“三公”经费下降主要是各预算单位严格按照中央八项规定和厉行节约要求，从严编列预算，从紧安排开支，确保了只减不增。</w:t>
      </w:r>
    </w:p>
    <w:p>
      <w:pPr>
        <w:pStyle w:val="2"/>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tbl>
      <w:tblPr>
        <w:tblStyle w:val="10"/>
        <w:tblW w:w="96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4"/>
        <w:gridCol w:w="810"/>
        <w:gridCol w:w="780"/>
        <w:gridCol w:w="780"/>
        <w:gridCol w:w="780"/>
        <w:gridCol w:w="780"/>
        <w:gridCol w:w="907"/>
        <w:gridCol w:w="653"/>
        <w:gridCol w:w="780"/>
        <w:gridCol w:w="780"/>
        <w:gridCol w:w="78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jc w:val="center"/>
        </w:trPr>
        <w:tc>
          <w:tcPr>
            <w:tcW w:w="9624" w:type="dxa"/>
            <w:gridSpan w:val="12"/>
            <w:tcBorders>
              <w:top w:val="nil"/>
              <w:left w:val="nil"/>
              <w:bottom w:val="nil"/>
              <w:right w:val="nil"/>
            </w:tcBorders>
            <w:shd w:val="clear" w:color="auto" w:fill="auto"/>
            <w:noWrap/>
            <w:tcMar>
              <w:top w:w="0" w:type="dxa"/>
              <w:left w:w="108" w:type="dxa"/>
              <w:bottom w:w="0" w:type="dxa"/>
              <w:right w:w="108" w:type="dxa"/>
            </w:tcMar>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南县“三公"经费支出决算表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014" w:type="dxa"/>
            <w:tcBorders>
              <w:top w:val="nil"/>
              <w:left w:val="nil"/>
              <w:bottom w:val="nil"/>
              <w:right w:val="nil"/>
            </w:tcBorders>
            <w:shd w:val="clear" w:color="auto" w:fill="auto"/>
            <w:noWrap/>
            <w:tcMar>
              <w:top w:w="0" w:type="dxa"/>
              <w:left w:w="108" w:type="dxa"/>
              <w:bottom w:w="0" w:type="dxa"/>
              <w:right w:w="108" w:type="dxa"/>
            </w:tcMar>
            <w:vAlign w:val="bottom"/>
          </w:tcPr>
          <w:p>
            <w:pPr>
              <w:rPr>
                <w:rFonts w:hint="eastAsia" w:ascii="宋体" w:hAnsi="宋体" w:eastAsia="宋体" w:cs="宋体"/>
                <w:i w:val="0"/>
                <w:iCs w:val="0"/>
                <w:color w:val="000000"/>
                <w:sz w:val="20"/>
                <w:szCs w:val="20"/>
                <w:u w:val="none"/>
              </w:rPr>
            </w:pPr>
          </w:p>
        </w:tc>
        <w:tc>
          <w:tcPr>
            <w:tcW w:w="810" w:type="dxa"/>
            <w:tcBorders>
              <w:top w:val="nil"/>
              <w:left w:val="nil"/>
              <w:bottom w:val="nil"/>
              <w:right w:val="nil"/>
            </w:tcBorders>
            <w:shd w:val="clear" w:color="auto" w:fill="auto"/>
            <w:noWrap/>
            <w:tcMar>
              <w:top w:w="0" w:type="dxa"/>
              <w:left w:w="108" w:type="dxa"/>
              <w:bottom w:w="0" w:type="dxa"/>
              <w:right w:w="108" w:type="dxa"/>
            </w:tcMar>
            <w:vAlign w:val="bottom"/>
          </w:tcPr>
          <w:p>
            <w:pPr>
              <w:rPr>
                <w:rFonts w:hint="default" w:ascii="Arial" w:hAnsi="Arial" w:eastAsia="宋体" w:cs="Arial"/>
                <w:i w:val="0"/>
                <w:iCs w:val="0"/>
                <w:color w:val="000000"/>
                <w:sz w:val="20"/>
                <w:szCs w:val="20"/>
                <w:u w:val="none"/>
              </w:rPr>
            </w:pPr>
          </w:p>
        </w:tc>
        <w:tc>
          <w:tcPr>
            <w:tcW w:w="780" w:type="dxa"/>
            <w:tcBorders>
              <w:top w:val="nil"/>
              <w:left w:val="nil"/>
              <w:bottom w:val="nil"/>
              <w:right w:val="nil"/>
            </w:tcBorders>
            <w:shd w:val="clear" w:color="auto" w:fill="auto"/>
            <w:noWrap/>
            <w:tcMar>
              <w:top w:w="0" w:type="dxa"/>
              <w:left w:w="108" w:type="dxa"/>
              <w:bottom w:w="0" w:type="dxa"/>
              <w:right w:w="108" w:type="dxa"/>
            </w:tcMar>
            <w:vAlign w:val="bottom"/>
          </w:tcPr>
          <w:p>
            <w:pPr>
              <w:rPr>
                <w:rFonts w:hint="default" w:ascii="Arial" w:hAnsi="Arial" w:eastAsia="宋体" w:cs="Arial"/>
                <w:i w:val="0"/>
                <w:iCs w:val="0"/>
                <w:color w:val="000000"/>
                <w:sz w:val="20"/>
                <w:szCs w:val="20"/>
                <w:u w:val="none"/>
              </w:rPr>
            </w:pPr>
          </w:p>
        </w:tc>
        <w:tc>
          <w:tcPr>
            <w:tcW w:w="780" w:type="dxa"/>
            <w:tcBorders>
              <w:top w:val="nil"/>
              <w:left w:val="nil"/>
              <w:bottom w:val="nil"/>
              <w:right w:val="nil"/>
            </w:tcBorders>
            <w:shd w:val="clear" w:color="auto" w:fill="auto"/>
            <w:noWrap/>
            <w:tcMar>
              <w:top w:w="0" w:type="dxa"/>
              <w:left w:w="108" w:type="dxa"/>
              <w:bottom w:w="0" w:type="dxa"/>
              <w:right w:w="108" w:type="dxa"/>
            </w:tcMar>
            <w:vAlign w:val="bottom"/>
          </w:tcPr>
          <w:p>
            <w:pPr>
              <w:rPr>
                <w:rFonts w:hint="default" w:ascii="Arial" w:hAnsi="Arial" w:eastAsia="宋体" w:cs="Arial"/>
                <w:i w:val="0"/>
                <w:iCs w:val="0"/>
                <w:color w:val="000000"/>
                <w:sz w:val="20"/>
                <w:szCs w:val="20"/>
                <w:u w:val="none"/>
              </w:rPr>
            </w:pPr>
          </w:p>
        </w:tc>
        <w:tc>
          <w:tcPr>
            <w:tcW w:w="780" w:type="dxa"/>
            <w:tcBorders>
              <w:top w:val="nil"/>
              <w:left w:val="nil"/>
              <w:bottom w:val="nil"/>
              <w:right w:val="nil"/>
            </w:tcBorders>
            <w:shd w:val="clear" w:color="auto" w:fill="auto"/>
            <w:noWrap/>
            <w:tcMar>
              <w:top w:w="0" w:type="dxa"/>
              <w:left w:w="108" w:type="dxa"/>
              <w:bottom w:w="0" w:type="dxa"/>
              <w:right w:w="108" w:type="dxa"/>
            </w:tcMar>
            <w:vAlign w:val="bottom"/>
          </w:tcPr>
          <w:p>
            <w:pPr>
              <w:rPr>
                <w:rFonts w:hint="default" w:ascii="Arial" w:hAnsi="Arial" w:eastAsia="宋体" w:cs="Arial"/>
                <w:i w:val="0"/>
                <w:iCs w:val="0"/>
                <w:color w:val="000000"/>
                <w:sz w:val="20"/>
                <w:szCs w:val="20"/>
                <w:u w:val="none"/>
              </w:rPr>
            </w:pPr>
          </w:p>
        </w:tc>
        <w:tc>
          <w:tcPr>
            <w:tcW w:w="780" w:type="dxa"/>
            <w:tcBorders>
              <w:top w:val="nil"/>
              <w:left w:val="nil"/>
              <w:bottom w:val="nil"/>
              <w:right w:val="nil"/>
            </w:tcBorders>
            <w:shd w:val="clear" w:color="auto" w:fill="auto"/>
            <w:noWrap/>
            <w:tcMar>
              <w:top w:w="0" w:type="dxa"/>
              <w:left w:w="108" w:type="dxa"/>
              <w:bottom w:w="0" w:type="dxa"/>
              <w:right w:w="108" w:type="dxa"/>
            </w:tcMar>
            <w:vAlign w:val="bottom"/>
          </w:tcPr>
          <w:p>
            <w:pPr>
              <w:rPr>
                <w:rFonts w:hint="default" w:ascii="Arial" w:hAnsi="Arial" w:eastAsia="宋体" w:cs="Arial"/>
                <w:i w:val="0"/>
                <w:iCs w:val="0"/>
                <w:color w:val="000000"/>
                <w:sz w:val="20"/>
                <w:szCs w:val="20"/>
                <w:u w:val="none"/>
              </w:rPr>
            </w:pPr>
          </w:p>
        </w:tc>
        <w:tc>
          <w:tcPr>
            <w:tcW w:w="907" w:type="dxa"/>
            <w:tcBorders>
              <w:top w:val="nil"/>
              <w:left w:val="nil"/>
              <w:bottom w:val="nil"/>
              <w:right w:val="nil"/>
            </w:tcBorders>
            <w:shd w:val="clear" w:color="auto" w:fill="auto"/>
            <w:noWrap/>
            <w:tcMar>
              <w:top w:w="0" w:type="dxa"/>
              <w:left w:w="108" w:type="dxa"/>
              <w:bottom w:w="0" w:type="dxa"/>
              <w:right w:w="108" w:type="dxa"/>
            </w:tcMar>
            <w:vAlign w:val="bottom"/>
          </w:tcPr>
          <w:p>
            <w:pPr>
              <w:rPr>
                <w:rFonts w:hint="default" w:ascii="Arial" w:hAnsi="Arial" w:eastAsia="宋体" w:cs="Arial"/>
                <w:i w:val="0"/>
                <w:iCs w:val="0"/>
                <w:color w:val="000000"/>
                <w:sz w:val="20"/>
                <w:szCs w:val="20"/>
                <w:u w:val="none"/>
              </w:rPr>
            </w:pPr>
          </w:p>
        </w:tc>
        <w:tc>
          <w:tcPr>
            <w:tcW w:w="653" w:type="dxa"/>
            <w:tcBorders>
              <w:top w:val="nil"/>
              <w:left w:val="nil"/>
              <w:bottom w:val="nil"/>
              <w:right w:val="nil"/>
            </w:tcBorders>
            <w:shd w:val="clear" w:color="auto" w:fill="auto"/>
            <w:noWrap/>
            <w:tcMar>
              <w:top w:w="0" w:type="dxa"/>
              <w:left w:w="108" w:type="dxa"/>
              <w:bottom w:w="0" w:type="dxa"/>
              <w:right w:w="108" w:type="dxa"/>
            </w:tcMar>
            <w:vAlign w:val="bottom"/>
          </w:tcPr>
          <w:p>
            <w:pPr>
              <w:rPr>
                <w:rFonts w:hint="default" w:ascii="Arial" w:hAnsi="Arial" w:eastAsia="宋体" w:cs="Arial"/>
                <w:i w:val="0"/>
                <w:iCs w:val="0"/>
                <w:color w:val="000000"/>
                <w:sz w:val="20"/>
                <w:szCs w:val="20"/>
                <w:u w:val="none"/>
              </w:rPr>
            </w:pPr>
          </w:p>
        </w:tc>
        <w:tc>
          <w:tcPr>
            <w:tcW w:w="780" w:type="dxa"/>
            <w:tcBorders>
              <w:top w:val="nil"/>
              <w:left w:val="nil"/>
              <w:bottom w:val="nil"/>
              <w:right w:val="nil"/>
            </w:tcBorders>
            <w:shd w:val="clear" w:color="auto" w:fill="auto"/>
            <w:noWrap/>
            <w:tcMar>
              <w:top w:w="0" w:type="dxa"/>
              <w:left w:w="108" w:type="dxa"/>
              <w:bottom w:w="0" w:type="dxa"/>
              <w:right w:w="108" w:type="dxa"/>
            </w:tcMar>
            <w:vAlign w:val="bottom"/>
          </w:tcPr>
          <w:p>
            <w:pPr>
              <w:rPr>
                <w:rFonts w:hint="default" w:ascii="Arial" w:hAnsi="Arial" w:eastAsia="宋体" w:cs="Arial"/>
                <w:i w:val="0"/>
                <w:iCs w:val="0"/>
                <w:color w:val="000000"/>
                <w:sz w:val="20"/>
                <w:szCs w:val="20"/>
                <w:u w:val="none"/>
              </w:rPr>
            </w:pPr>
          </w:p>
        </w:tc>
        <w:tc>
          <w:tcPr>
            <w:tcW w:w="780" w:type="dxa"/>
            <w:tcBorders>
              <w:top w:val="nil"/>
              <w:left w:val="nil"/>
              <w:bottom w:val="nil"/>
              <w:right w:val="nil"/>
            </w:tcBorders>
            <w:shd w:val="clear" w:color="auto" w:fill="auto"/>
            <w:noWrap/>
            <w:tcMar>
              <w:top w:w="0" w:type="dxa"/>
              <w:left w:w="108" w:type="dxa"/>
              <w:bottom w:w="0" w:type="dxa"/>
              <w:right w:w="108" w:type="dxa"/>
            </w:tcMar>
            <w:vAlign w:val="bottom"/>
          </w:tcPr>
          <w:p>
            <w:pPr>
              <w:rPr>
                <w:rFonts w:hint="default" w:ascii="Arial" w:hAnsi="Arial" w:eastAsia="宋体" w:cs="Arial"/>
                <w:i w:val="0"/>
                <w:iCs w:val="0"/>
                <w:color w:val="000000"/>
                <w:sz w:val="20"/>
                <w:szCs w:val="20"/>
                <w:u w:val="none"/>
              </w:rPr>
            </w:pPr>
          </w:p>
        </w:tc>
        <w:tc>
          <w:tcPr>
            <w:tcW w:w="1560" w:type="dxa"/>
            <w:gridSpan w:val="2"/>
            <w:tcBorders>
              <w:top w:val="nil"/>
              <w:left w:val="nil"/>
              <w:bottom w:val="nil"/>
              <w:right w:val="nil"/>
            </w:tcBorders>
            <w:shd w:val="clear" w:color="auto" w:fill="auto"/>
            <w:noWrap/>
            <w:tcMar>
              <w:top w:w="0" w:type="dxa"/>
              <w:left w:w="108" w:type="dxa"/>
              <w:bottom w:w="0" w:type="dxa"/>
              <w:right w:w="108" w:type="dxa"/>
            </w:tcMar>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4944" w:type="dxa"/>
            <w:gridSpan w:val="6"/>
            <w:tcBorders>
              <w:top w:val="single" w:color="000000" w:sz="4" w:space="0"/>
              <w:left w:val="single" w:color="000000" w:sz="4" w:space="0"/>
              <w:bottom w:val="single" w:color="000000" w:sz="4" w:space="0"/>
              <w:right w:val="single" w:color="000000" w:sz="4" w:space="0"/>
            </w:tcBorders>
            <w:shd w:val="clear" w:color="FFFFFF" w:fill="C0C0C0"/>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4680" w:type="dxa"/>
            <w:gridSpan w:val="6"/>
            <w:tcBorders>
              <w:top w:val="single" w:color="000000" w:sz="4" w:space="0"/>
              <w:left w:val="nil"/>
              <w:bottom w:val="single" w:color="000000" w:sz="4" w:space="0"/>
              <w:right w:val="single" w:color="000000" w:sz="4" w:space="0"/>
            </w:tcBorders>
            <w:shd w:val="clear" w:color="FFFFFF" w:fill="C0C0C0"/>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1014" w:type="dxa"/>
            <w:vMerge w:val="restart"/>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10" w:type="dxa"/>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2340" w:type="dxa"/>
            <w:gridSpan w:val="3"/>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780" w:type="dxa"/>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907" w:type="dxa"/>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653" w:type="dxa"/>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2340" w:type="dxa"/>
            <w:gridSpan w:val="3"/>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780" w:type="dxa"/>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0" w:hRule="atLeast"/>
          <w:jc w:val="center"/>
        </w:trPr>
        <w:tc>
          <w:tcPr>
            <w:tcW w:w="1014" w:type="dxa"/>
            <w:vMerge w:val="continue"/>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0"/>
                <w:szCs w:val="20"/>
                <w:u w:val="none"/>
              </w:rPr>
            </w:pPr>
          </w:p>
        </w:tc>
        <w:tc>
          <w:tcPr>
            <w:tcW w:w="810" w:type="dxa"/>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0"/>
                <w:szCs w:val="20"/>
                <w:u w:val="none"/>
              </w:rPr>
            </w:pPr>
          </w:p>
        </w:tc>
        <w:tc>
          <w:tcPr>
            <w:tcW w:w="780" w:type="dxa"/>
            <w:tcBorders>
              <w:top w:val="nil"/>
              <w:left w:val="nil"/>
              <w:bottom w:val="single" w:color="000000" w:sz="4" w:space="0"/>
              <w:right w:val="single" w:color="000000" w:sz="4" w:space="0"/>
            </w:tcBorders>
            <w:shd w:val="clear" w:color="FFFFFF" w:fill="C0C0C0"/>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780" w:type="dxa"/>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780" w:type="dxa"/>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780" w:type="dxa"/>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0"/>
                <w:szCs w:val="20"/>
                <w:u w:val="none"/>
              </w:rPr>
            </w:pPr>
          </w:p>
        </w:tc>
        <w:tc>
          <w:tcPr>
            <w:tcW w:w="907" w:type="dxa"/>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0"/>
                <w:szCs w:val="20"/>
                <w:u w:val="none"/>
              </w:rPr>
            </w:pPr>
          </w:p>
        </w:tc>
        <w:tc>
          <w:tcPr>
            <w:tcW w:w="653" w:type="dxa"/>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0"/>
                <w:szCs w:val="20"/>
                <w:u w:val="none"/>
              </w:rPr>
            </w:pPr>
          </w:p>
        </w:tc>
        <w:tc>
          <w:tcPr>
            <w:tcW w:w="780" w:type="dxa"/>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780" w:type="dxa"/>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780" w:type="dxa"/>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780" w:type="dxa"/>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1014" w:type="dxa"/>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10" w:type="dxa"/>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780" w:type="dxa"/>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780" w:type="dxa"/>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780" w:type="dxa"/>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80" w:type="dxa"/>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907" w:type="dxa"/>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53" w:type="dxa"/>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780" w:type="dxa"/>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780" w:type="dxa"/>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80" w:type="dxa"/>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780" w:type="dxa"/>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014" w:type="dxa"/>
            <w:tcBorders>
              <w:top w:val="nil"/>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1,236.00 </w:t>
            </w:r>
          </w:p>
        </w:tc>
        <w:tc>
          <w:tcPr>
            <w:tcW w:w="810" w:type="dxa"/>
            <w:tcBorders>
              <w:top w:val="nil"/>
              <w:left w:val="nil"/>
              <w:bottom w:val="single" w:color="000000" w:sz="4" w:space="0"/>
              <w:right w:val="single" w:color="000000" w:sz="4" w:space="0"/>
            </w:tcBorders>
            <w:shd w:val="clear" w:color="auto" w:fill="auto"/>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18"/>
                <w:szCs w:val="18"/>
                <w:u w:val="none"/>
              </w:rPr>
            </w:pPr>
          </w:p>
        </w:tc>
        <w:tc>
          <w:tcPr>
            <w:tcW w:w="780" w:type="dxa"/>
            <w:tcBorders>
              <w:top w:val="nil"/>
              <w:left w:val="nil"/>
              <w:bottom w:val="single" w:color="000000" w:sz="4" w:space="0"/>
              <w:right w:val="single" w:color="000000" w:sz="4"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643.00 </w:t>
            </w:r>
          </w:p>
        </w:tc>
        <w:tc>
          <w:tcPr>
            <w:tcW w:w="780" w:type="dxa"/>
            <w:tcBorders>
              <w:top w:val="nil"/>
              <w:left w:val="nil"/>
              <w:bottom w:val="single" w:color="000000" w:sz="4" w:space="0"/>
              <w:right w:val="single" w:color="000000" w:sz="4" w:space="0"/>
            </w:tcBorders>
            <w:shd w:val="clear" w:color="auto" w:fill="auto"/>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18"/>
                <w:szCs w:val="18"/>
                <w:u w:val="none"/>
              </w:rPr>
            </w:pPr>
          </w:p>
        </w:tc>
        <w:tc>
          <w:tcPr>
            <w:tcW w:w="780" w:type="dxa"/>
            <w:tcBorders>
              <w:top w:val="nil"/>
              <w:left w:val="nil"/>
              <w:bottom w:val="single" w:color="000000" w:sz="4" w:space="0"/>
              <w:right w:val="single" w:color="000000" w:sz="4"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643.00 </w:t>
            </w:r>
          </w:p>
        </w:tc>
        <w:tc>
          <w:tcPr>
            <w:tcW w:w="780" w:type="dxa"/>
            <w:tcBorders>
              <w:top w:val="nil"/>
              <w:left w:val="nil"/>
              <w:bottom w:val="single" w:color="000000" w:sz="4" w:space="0"/>
              <w:right w:val="single" w:color="000000" w:sz="4"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593.00 </w:t>
            </w:r>
          </w:p>
        </w:tc>
        <w:tc>
          <w:tcPr>
            <w:tcW w:w="907" w:type="dxa"/>
            <w:tcBorders>
              <w:top w:val="nil"/>
              <w:left w:val="nil"/>
              <w:bottom w:val="single" w:color="000000" w:sz="4" w:space="0"/>
              <w:right w:val="single" w:color="000000" w:sz="4"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1067.00 </w:t>
            </w:r>
          </w:p>
        </w:tc>
        <w:tc>
          <w:tcPr>
            <w:tcW w:w="653" w:type="dxa"/>
            <w:tcBorders>
              <w:top w:val="nil"/>
              <w:left w:val="nil"/>
              <w:bottom w:val="single" w:color="000000" w:sz="4" w:space="0"/>
              <w:right w:val="single" w:color="000000" w:sz="4" w:space="0"/>
            </w:tcBorders>
            <w:shd w:val="clear" w:color="auto" w:fill="auto"/>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18"/>
                <w:szCs w:val="18"/>
                <w:u w:val="none"/>
              </w:rPr>
            </w:pPr>
          </w:p>
        </w:tc>
        <w:tc>
          <w:tcPr>
            <w:tcW w:w="780" w:type="dxa"/>
            <w:tcBorders>
              <w:top w:val="nil"/>
              <w:left w:val="nil"/>
              <w:bottom w:val="single" w:color="000000" w:sz="4" w:space="0"/>
              <w:right w:val="single" w:color="000000" w:sz="4"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636.00 </w:t>
            </w:r>
          </w:p>
        </w:tc>
        <w:tc>
          <w:tcPr>
            <w:tcW w:w="780" w:type="dxa"/>
            <w:tcBorders>
              <w:top w:val="nil"/>
              <w:left w:val="nil"/>
              <w:bottom w:val="single" w:color="000000" w:sz="4" w:space="0"/>
              <w:right w:val="single" w:color="000000" w:sz="4" w:space="0"/>
            </w:tcBorders>
            <w:shd w:val="clear" w:color="auto" w:fill="auto"/>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18"/>
                <w:szCs w:val="18"/>
                <w:u w:val="none"/>
              </w:rPr>
            </w:pPr>
          </w:p>
        </w:tc>
        <w:tc>
          <w:tcPr>
            <w:tcW w:w="780" w:type="dxa"/>
            <w:tcBorders>
              <w:top w:val="nil"/>
              <w:left w:val="nil"/>
              <w:bottom w:val="single" w:color="000000" w:sz="4" w:space="0"/>
              <w:right w:val="single" w:color="000000" w:sz="4"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636.00 </w:t>
            </w:r>
          </w:p>
        </w:tc>
        <w:tc>
          <w:tcPr>
            <w:tcW w:w="780" w:type="dxa"/>
            <w:tcBorders>
              <w:top w:val="nil"/>
              <w:left w:val="nil"/>
              <w:bottom w:val="single" w:color="000000" w:sz="4" w:space="0"/>
              <w:right w:val="single" w:color="000000" w:sz="4"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431.00 </w:t>
            </w:r>
          </w:p>
        </w:tc>
      </w:tr>
    </w:tbl>
    <w:p>
      <w:pPr>
        <w:pStyle w:val="8"/>
        <w:rPr>
          <w:rFonts w:hint="eastAsia"/>
        </w:rPr>
      </w:pPr>
    </w:p>
    <w:p>
      <w:pPr>
        <w:bidi w:val="0"/>
      </w:pPr>
    </w:p>
    <w:p>
      <w:pPr>
        <w:widowControl/>
        <w:shd w:val="clear" w:color="auto" w:fill="FFFFFF"/>
        <w:spacing w:line="480" w:lineRule="auto"/>
        <w:ind w:firstLine="600" w:firstLineChars="200"/>
        <w:jc w:val="left"/>
        <w:rPr>
          <w:rFonts w:ascii="宋体" w:hAnsi="宋体" w:eastAsia="宋体" w:cs="宋体"/>
          <w:sz w:val="30"/>
          <w:szCs w:val="30"/>
        </w:rPr>
      </w:pPr>
    </w:p>
    <w:p>
      <w:pPr>
        <w:ind w:firstLine="361" w:firstLineChars="100"/>
        <w:rPr>
          <w:b/>
          <w:sz w:val="36"/>
          <w:szCs w:val="36"/>
        </w:rPr>
      </w:pPr>
    </w:p>
    <w:p>
      <w:pPr>
        <w:ind w:firstLine="361" w:firstLineChars="100"/>
        <w:rPr>
          <w:b/>
          <w:sz w:val="36"/>
          <w:szCs w:val="36"/>
        </w:rPr>
      </w:pPr>
    </w:p>
    <w:p>
      <w:pPr>
        <w:ind w:firstLine="361" w:firstLineChars="100"/>
        <w:rPr>
          <w:b/>
          <w:sz w:val="36"/>
          <w:szCs w:val="36"/>
        </w:rPr>
      </w:pPr>
    </w:p>
    <w:p>
      <w:pPr>
        <w:ind w:firstLine="361" w:firstLineChars="100"/>
        <w:rPr>
          <w:b/>
          <w:sz w:val="36"/>
          <w:szCs w:val="36"/>
        </w:rPr>
      </w:pPr>
    </w:p>
    <w:p>
      <w:pPr>
        <w:pStyle w:val="6"/>
        <w:rPr>
          <w:rFonts w:hint="eastAsia" w:eastAsia="仿宋"/>
          <w:lang w:eastAsia="zh-CN"/>
        </w:rPr>
      </w:pPr>
    </w:p>
    <w:p>
      <w:pPr>
        <w:pStyle w:val="5"/>
        <w:rPr>
          <w:rFonts w:hint="eastAsia" w:eastAsia="仿宋"/>
          <w:lang w:eastAsia="zh-CN"/>
        </w:rPr>
      </w:pPr>
    </w:p>
    <w:p>
      <w:pPr>
        <w:rPr>
          <w:rFonts w:hint="eastAsia" w:eastAsia="仿宋"/>
          <w:lang w:eastAsia="zh-CN"/>
        </w:rPr>
      </w:pPr>
    </w:p>
    <w:p>
      <w:pPr>
        <w:pStyle w:val="8"/>
        <w:rPr>
          <w:rFonts w:hint="eastAsia"/>
          <w:lang w:eastAsia="zh-CN"/>
        </w:rPr>
      </w:pPr>
    </w:p>
    <w:p>
      <w:pPr>
        <w:pStyle w:val="5"/>
        <w:rPr>
          <w:rFonts w:hint="eastAsia"/>
          <w:lang w:eastAsia="zh-CN"/>
        </w:rPr>
      </w:pPr>
    </w:p>
    <w:p>
      <w:pPr>
        <w:rPr>
          <w:rFonts w:hint="eastAsia"/>
          <w:lang w:eastAsia="zh-CN"/>
        </w:rPr>
      </w:pPr>
    </w:p>
    <w:p>
      <w:pPr>
        <w:ind w:firstLine="361" w:firstLineChars="100"/>
        <w:rPr>
          <w:b/>
          <w:sz w:val="36"/>
          <w:szCs w:val="36"/>
        </w:rPr>
      </w:pPr>
    </w:p>
    <w:p>
      <w:pPr>
        <w:ind w:firstLine="210" w:firstLineChars="100"/>
        <w:rPr>
          <w:b/>
          <w:sz w:val="36"/>
          <w:szCs w:val="36"/>
        </w:rPr>
      </w:pPr>
      <w:r>
        <w:rPr>
          <w:sz w:val="21"/>
        </w:rPr>
        <w:pict>
          <v:shape id="_x0000_s2052" o:spid="_x0000_s2052" o:spt="202" type="#_x0000_t202" style="position:absolute;left:0pt;margin-left:-96.45pt;margin-top:16pt;height:124.4pt;width:596.95pt;z-index:251661312;mso-width-relative:page;mso-height-relative:page;" fillcolor="#9DC3E6" filled="t" stroked="t" coordsize="21600,21600">
            <v:path/>
            <v:fill type="gradientRadial" on="t" color2="fill lighten(147)" focus="100%" focussize="0f,0f" focusposition="0f,0f" method="linear sigma">
              <o:fill type="gradientCenter" v:ext="backwardCompatible"/>
            </v:fill>
            <v:stroke color="#FFC000"/>
            <v:imagedata o:title=""/>
            <o:lock v:ext="edit" aspectratio="f"/>
            <v:textbox>
              <w:txbxContent>
                <w:p>
                  <w:pPr>
                    <w:rPr>
                      <w:rFonts w:hint="eastAsia" w:ascii="黑体" w:hAnsi="黑体" w:eastAsia="黑体" w:cs="黑体"/>
                      <w:b/>
                      <w:sz w:val="44"/>
                      <w:szCs w:val="44"/>
                    </w:rPr>
                  </w:pPr>
                </w:p>
                <w:p>
                  <w:pPr>
                    <w:keepNext w:val="0"/>
                    <w:keepLines w:val="0"/>
                    <w:pageBreakBefore w:val="0"/>
                    <w:widowControl w:val="0"/>
                    <w:kinsoku/>
                    <w:wordWrap/>
                    <w:overflowPunct/>
                    <w:topLinePunct w:val="0"/>
                    <w:autoSpaceDE/>
                    <w:autoSpaceDN/>
                    <w:bidi w:val="0"/>
                    <w:adjustRightInd/>
                    <w:snapToGrid/>
                    <w:ind w:firstLine="1601" w:firstLineChars="400"/>
                    <w:jc w:val="left"/>
                    <w:textAlignment w:val="auto"/>
                    <w:rPr>
                      <w:rFonts w:hint="eastAsia" w:ascii="方正小标宋简体" w:hAnsi="方正小标宋简体" w:eastAsia="方正小标宋简体" w:cs="方正小标宋简体"/>
                      <w:b/>
                      <w:bCs/>
                      <w:i w:val="0"/>
                      <w:iCs w:val="0"/>
                      <w:caps w:val="0"/>
                      <w:color w:val="333333"/>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bCs/>
                      <w:i w:val="0"/>
                      <w:iCs w:val="0"/>
                      <w:caps w:val="0"/>
                      <w:color w:val="333333"/>
                      <w:spacing w:val="0"/>
                      <w:kern w:val="0"/>
                      <w:sz w:val="40"/>
                      <w:szCs w:val="40"/>
                      <w:shd w:val="clear" w:color="auto" w:fill="FFFFFF"/>
                      <w:lang w:val="en-US" w:eastAsia="zh-CN" w:bidi="ar"/>
                    </w:rPr>
                    <w:t>三、关于2022年南县政府债务情况说明</w:t>
                  </w:r>
                </w:p>
                <w:p>
                  <w:pPr>
                    <w:keepNext w:val="0"/>
                    <w:keepLines w:val="0"/>
                    <w:pageBreakBefore w:val="0"/>
                    <w:widowControl w:val="0"/>
                    <w:kinsoku/>
                    <w:wordWrap/>
                    <w:overflowPunct/>
                    <w:topLinePunct w:val="0"/>
                    <w:autoSpaceDE/>
                    <w:autoSpaceDN/>
                    <w:bidi w:val="0"/>
                    <w:adjustRightInd/>
                    <w:snapToGrid/>
                    <w:ind w:firstLine="960" w:firstLineChars="300"/>
                    <w:jc w:val="left"/>
                    <w:textAlignment w:val="auto"/>
                  </w:pPr>
                </w:p>
              </w:txbxContent>
            </v:textbox>
          </v:shape>
        </w:pict>
      </w:r>
    </w:p>
    <w:p>
      <w:pPr>
        <w:ind w:firstLine="361" w:firstLineChars="100"/>
        <w:rPr>
          <w:b/>
          <w:sz w:val="36"/>
          <w:szCs w:val="36"/>
        </w:rPr>
      </w:pPr>
    </w:p>
    <w:p>
      <w:pPr>
        <w:ind w:firstLine="361" w:firstLineChars="100"/>
        <w:rPr>
          <w:b/>
          <w:sz w:val="36"/>
          <w:szCs w:val="36"/>
        </w:rPr>
      </w:pPr>
    </w:p>
    <w:p>
      <w:pPr>
        <w:ind w:firstLine="361" w:firstLineChars="100"/>
        <w:rPr>
          <w:b/>
          <w:sz w:val="36"/>
          <w:szCs w:val="36"/>
        </w:rPr>
      </w:pPr>
    </w:p>
    <w:p>
      <w:pPr>
        <w:bidi w:val="0"/>
        <w:rPr>
          <w:rFonts w:hint="eastAsia"/>
        </w:rPr>
      </w:pPr>
    </w:p>
    <w:p>
      <w:pPr>
        <w:bidi w:val="0"/>
        <w:ind w:firstLine="640" w:firstLineChars="200"/>
        <w:rPr>
          <w:rFonts w:hint="eastAsia"/>
        </w:rPr>
      </w:pPr>
      <w:r>
        <w:rPr>
          <w:rFonts w:hint="eastAsia"/>
        </w:rPr>
        <w:t>202</w:t>
      </w:r>
      <w:r>
        <w:rPr>
          <w:rFonts w:hint="eastAsia"/>
          <w:lang w:val="en-US" w:eastAsia="zh-CN"/>
        </w:rPr>
        <w:t>2</w:t>
      </w:r>
      <w:r>
        <w:rPr>
          <w:rFonts w:hint="eastAsia"/>
        </w:rPr>
        <w:t>年，我县地方政府债务限额446751万元，即我县 </w:t>
      </w:r>
      <w:r>
        <w:rPr>
          <w:rFonts w:hint="eastAsia"/>
          <w:lang w:val="en-US" w:eastAsia="zh-CN"/>
        </w:rPr>
        <w:t>2021</w:t>
      </w:r>
      <w:r>
        <w:rPr>
          <w:rFonts w:hint="eastAsia"/>
        </w:rPr>
        <w:t>年政府债务限额</w:t>
      </w:r>
      <w:r>
        <w:rPr>
          <w:rFonts w:hint="eastAsia"/>
          <w:color w:val="auto"/>
          <w:lang w:val="en-US" w:eastAsia="zh-CN"/>
        </w:rPr>
        <w:t>375551</w:t>
      </w:r>
      <w:r>
        <w:rPr>
          <w:rFonts w:hint="eastAsia"/>
        </w:rPr>
        <w:t>万元，加上 202</w:t>
      </w:r>
      <w:r>
        <w:rPr>
          <w:rFonts w:hint="eastAsia"/>
          <w:lang w:val="en-US" w:eastAsia="zh-CN"/>
        </w:rPr>
        <w:t>2</w:t>
      </w:r>
      <w:r>
        <w:rPr>
          <w:rFonts w:hint="eastAsia"/>
        </w:rPr>
        <w:t> 年新增债务限额</w:t>
      </w:r>
      <w:r>
        <w:rPr>
          <w:rFonts w:hint="eastAsia"/>
          <w:color w:val="auto"/>
          <w:lang w:val="en-US" w:eastAsia="zh-CN"/>
        </w:rPr>
        <w:t>71200</w:t>
      </w:r>
      <w:r>
        <w:rPr>
          <w:rFonts w:hint="eastAsia"/>
        </w:rPr>
        <w:t>万元，则202</w:t>
      </w:r>
      <w:r>
        <w:rPr>
          <w:rFonts w:hint="eastAsia"/>
          <w:lang w:val="en-US" w:eastAsia="zh-CN"/>
        </w:rPr>
        <w:t>2</w:t>
      </w:r>
      <w:r>
        <w:rPr>
          <w:rFonts w:hint="eastAsia"/>
        </w:rPr>
        <w:t>年政府债务限额446751万元，其中一般债务限额</w:t>
      </w:r>
      <w:r>
        <w:rPr>
          <w:rFonts w:hint="eastAsia"/>
          <w:lang w:val="en-US" w:eastAsia="zh-CN"/>
        </w:rPr>
        <w:t>285420</w:t>
      </w:r>
      <w:r>
        <w:rPr>
          <w:rFonts w:hint="eastAsia"/>
        </w:rPr>
        <w:t>万元，专项债务限额</w:t>
      </w:r>
      <w:r>
        <w:rPr>
          <w:rFonts w:hint="eastAsia"/>
          <w:lang w:val="en-US" w:eastAsia="zh-CN"/>
        </w:rPr>
        <w:t>161331</w:t>
      </w:r>
      <w:r>
        <w:rPr>
          <w:rFonts w:hint="eastAsia"/>
        </w:rPr>
        <w:t>万元。</w:t>
      </w:r>
    </w:p>
    <w:p>
      <w:pPr>
        <w:bidi w:val="0"/>
        <w:ind w:firstLine="640" w:firstLineChars="200"/>
        <w:rPr>
          <w:rFonts w:hint="eastAsia"/>
        </w:rPr>
      </w:pPr>
      <w:r>
        <w:rPr>
          <w:rFonts w:hint="eastAsia"/>
        </w:rPr>
        <w:t>根据上述限额，202</w:t>
      </w:r>
      <w:r>
        <w:rPr>
          <w:rFonts w:hint="eastAsia"/>
          <w:lang w:val="en-US" w:eastAsia="zh-CN"/>
        </w:rPr>
        <w:t>2</w:t>
      </w:r>
      <w:r>
        <w:rPr>
          <w:rFonts w:hint="eastAsia"/>
        </w:rPr>
        <w:t> 年我县发行新增债券</w:t>
      </w:r>
      <w:r>
        <w:rPr>
          <w:rFonts w:hint="eastAsia"/>
          <w:lang w:val="en-US" w:eastAsia="zh-CN"/>
        </w:rPr>
        <w:t>71800</w:t>
      </w:r>
      <w:r>
        <w:rPr>
          <w:rFonts w:hint="eastAsia"/>
        </w:rPr>
        <w:t>万元，再融资债券 1</w:t>
      </w:r>
      <w:r>
        <w:rPr>
          <w:rFonts w:hint="eastAsia"/>
          <w:lang w:val="en-US" w:eastAsia="zh-CN"/>
        </w:rPr>
        <w:t>43</w:t>
      </w:r>
      <w:r>
        <w:rPr>
          <w:rFonts w:hint="eastAsia"/>
        </w:rPr>
        <w:t>7</w:t>
      </w:r>
      <w:r>
        <w:rPr>
          <w:rFonts w:hint="eastAsia"/>
          <w:lang w:val="en-US" w:eastAsia="zh-CN"/>
        </w:rPr>
        <w:t>1</w:t>
      </w:r>
      <w:r>
        <w:rPr>
          <w:rFonts w:hint="eastAsia"/>
        </w:rPr>
        <w:t>万元， 共计</w:t>
      </w:r>
      <w:r>
        <w:rPr>
          <w:rFonts w:hint="eastAsia"/>
          <w:lang w:val="en-US" w:eastAsia="zh-CN"/>
        </w:rPr>
        <w:t>86171</w:t>
      </w:r>
      <w:r>
        <w:rPr>
          <w:rFonts w:hint="eastAsia"/>
        </w:rPr>
        <w:t>万元。</w:t>
      </w:r>
    </w:p>
    <w:p>
      <w:pPr>
        <w:bidi w:val="0"/>
        <w:ind w:firstLine="640" w:firstLineChars="200"/>
        <w:rPr>
          <w:rFonts w:hint="eastAsia"/>
        </w:rPr>
      </w:pPr>
      <w:r>
        <w:rPr>
          <w:rFonts w:hint="eastAsia"/>
        </w:rPr>
        <w:t>202</w:t>
      </w:r>
      <w:r>
        <w:rPr>
          <w:rFonts w:hint="eastAsia"/>
          <w:lang w:val="en-US" w:eastAsia="zh-CN"/>
        </w:rPr>
        <w:t>2</w:t>
      </w:r>
      <w:r>
        <w:rPr>
          <w:rFonts w:hint="eastAsia"/>
        </w:rPr>
        <w:t>年债务还本支出1</w:t>
      </w:r>
      <w:r>
        <w:rPr>
          <w:rFonts w:hint="eastAsia"/>
          <w:lang w:val="en-US" w:eastAsia="zh-CN"/>
        </w:rPr>
        <w:t>4376</w:t>
      </w:r>
      <w:r>
        <w:rPr>
          <w:rFonts w:hint="eastAsia"/>
        </w:rPr>
        <w:t>万元，其中:一般债务还本支出</w:t>
      </w:r>
      <w:r>
        <w:rPr>
          <w:rFonts w:hint="eastAsia"/>
          <w:lang w:val="en-US" w:eastAsia="zh-CN"/>
        </w:rPr>
        <w:t>14375</w:t>
      </w:r>
      <w:r>
        <w:rPr>
          <w:rFonts w:hint="eastAsia"/>
        </w:rPr>
        <w:t>万元，专项债务还本0万元。</w:t>
      </w:r>
    </w:p>
    <w:p>
      <w:pPr>
        <w:bidi w:val="0"/>
        <w:ind w:firstLine="640" w:firstLineChars="200"/>
        <w:rPr>
          <w:rFonts w:hint="eastAsia"/>
        </w:rPr>
      </w:pPr>
      <w:r>
        <w:rPr>
          <w:rFonts w:hint="eastAsia"/>
        </w:rPr>
        <w:t>202</w:t>
      </w:r>
      <w:r>
        <w:rPr>
          <w:rFonts w:hint="eastAsia"/>
          <w:lang w:val="en-US" w:eastAsia="zh-CN"/>
        </w:rPr>
        <w:t>2</w:t>
      </w:r>
      <w:r>
        <w:rPr>
          <w:rFonts w:hint="eastAsia"/>
        </w:rPr>
        <w:t>年债务付息支出</w:t>
      </w:r>
      <w:r>
        <w:rPr>
          <w:rFonts w:hint="eastAsia"/>
          <w:lang w:val="en-US" w:eastAsia="zh-CN"/>
        </w:rPr>
        <w:t>13618</w:t>
      </w:r>
      <w:r>
        <w:rPr>
          <w:rFonts w:hint="eastAsia"/>
        </w:rPr>
        <w:t>万元，其中：一般债务付息支出</w:t>
      </w:r>
      <w:r>
        <w:rPr>
          <w:rFonts w:hint="eastAsia"/>
          <w:lang w:val="en-US" w:eastAsia="zh-CN"/>
        </w:rPr>
        <w:t>8806</w:t>
      </w:r>
      <w:r>
        <w:rPr>
          <w:rFonts w:hint="eastAsia"/>
        </w:rPr>
        <w:t>万元，专项债务付息支出</w:t>
      </w:r>
      <w:r>
        <w:rPr>
          <w:rFonts w:hint="eastAsia"/>
          <w:lang w:val="en-US" w:eastAsia="zh-CN"/>
        </w:rPr>
        <w:t>4812</w:t>
      </w:r>
      <w:r>
        <w:rPr>
          <w:rFonts w:hint="eastAsia"/>
        </w:rPr>
        <w:t>万元。</w:t>
      </w:r>
    </w:p>
    <w:p>
      <w:pPr>
        <w:bidi w:val="0"/>
        <w:ind w:firstLine="640" w:firstLineChars="200"/>
        <w:rPr>
          <w:rFonts w:hint="eastAsia" w:ascii="仿宋" w:hAnsi="仿宋" w:eastAsia="仿宋" w:cs="仿宋"/>
          <w:color w:val="000000" w:themeColor="text1"/>
          <w:kern w:val="0"/>
          <w:sz w:val="32"/>
          <w:szCs w:val="32"/>
        </w:rPr>
      </w:pPr>
      <w:r>
        <w:rPr>
          <w:rFonts w:hint="eastAsia"/>
        </w:rPr>
        <w:t>截至 202</w:t>
      </w:r>
      <w:r>
        <w:rPr>
          <w:rFonts w:hint="eastAsia"/>
          <w:lang w:val="en-US" w:eastAsia="zh-CN"/>
        </w:rPr>
        <w:t>2</w:t>
      </w:r>
      <w:r>
        <w:rPr>
          <w:rFonts w:hint="eastAsia"/>
        </w:rPr>
        <w:t xml:space="preserve">年底，我县地方政府债务余额 </w:t>
      </w:r>
      <w:r>
        <w:rPr>
          <w:rFonts w:hint="eastAsia"/>
          <w:lang w:val="en-US" w:eastAsia="zh-CN"/>
        </w:rPr>
        <w:t>446743</w:t>
      </w:r>
      <w:r>
        <w:rPr>
          <w:rFonts w:hint="eastAsia"/>
        </w:rPr>
        <w:t>万元，其中：一般债务余额</w:t>
      </w:r>
      <w:r>
        <w:rPr>
          <w:rFonts w:hint="eastAsia"/>
          <w:lang w:val="en-US" w:eastAsia="zh-CN"/>
        </w:rPr>
        <w:t>28412</w:t>
      </w:r>
      <w:r>
        <w:rPr>
          <w:rFonts w:hint="eastAsia"/>
        </w:rPr>
        <w:t>万元，专项债务余额</w:t>
      </w:r>
      <w:r>
        <w:rPr>
          <w:rFonts w:hint="eastAsia"/>
          <w:lang w:val="en-US" w:eastAsia="zh-CN"/>
        </w:rPr>
        <w:t>161331</w:t>
      </w:r>
      <w:r>
        <w:rPr>
          <w:rFonts w:hint="eastAsia"/>
        </w:rPr>
        <w:t>万元。</w:t>
      </w:r>
      <w:r>
        <w:rPr>
          <w:rFonts w:hint="eastAsia"/>
          <w:color w:val="auto"/>
        </w:rPr>
        <w:t>控制在中央核定的债务限额</w:t>
      </w:r>
      <w:r>
        <w:rPr>
          <w:rFonts w:hint="eastAsia"/>
        </w:rPr>
        <w:t>446751</w:t>
      </w:r>
      <w:r>
        <w:rPr>
          <w:rFonts w:hint="eastAsia"/>
          <w:color w:val="auto"/>
        </w:rPr>
        <w:t>万元以内。202</w:t>
      </w:r>
      <w:r>
        <w:rPr>
          <w:rFonts w:hint="eastAsia"/>
          <w:color w:val="auto"/>
          <w:lang w:val="en-US" w:eastAsia="zh-CN"/>
        </w:rPr>
        <w:t>2</w:t>
      </w:r>
      <w:r>
        <w:rPr>
          <w:rFonts w:hint="eastAsia"/>
          <w:color w:val="auto"/>
        </w:rPr>
        <w:t>年平均利率3.</w:t>
      </w:r>
      <w:r>
        <w:rPr>
          <w:rFonts w:hint="eastAsia"/>
          <w:color w:val="auto"/>
          <w:lang w:val="en-US" w:eastAsia="zh-CN"/>
        </w:rPr>
        <w:t>38</w:t>
      </w:r>
      <w:r>
        <w:rPr>
          <w:rFonts w:hint="eastAsia"/>
          <w:color w:val="auto"/>
        </w:rPr>
        <w:t>%。</w:t>
      </w:r>
      <w:r>
        <w:rPr>
          <w:rFonts w:hint="eastAsia"/>
          <w:lang w:val="en-US" w:eastAsia="zh-CN"/>
        </w:rPr>
        <w:t>新增</w:t>
      </w:r>
      <w:r>
        <w:rPr>
          <w:rFonts w:hint="eastAsia"/>
        </w:rPr>
        <w:t>债券从申报到发行再到使用，严格按照省厅下发的专项债券负面清单管理，依法依规用于公益性资本支出，按时按量拨付到项目单位，并对项目单位资金使用进行动态监管，确保债券资金不沉淀，不挪用。</w:t>
      </w:r>
    </w:p>
    <w:p>
      <w:pPr>
        <w:rPr>
          <w:rFonts w:hint="eastAsia"/>
        </w:rPr>
      </w:pPr>
    </w:p>
    <w:p>
      <w:pPr>
        <w:pStyle w:val="6"/>
        <w:rPr>
          <w:rFonts w:hint="eastAsia" w:eastAsia="仿宋"/>
          <w:lang w:eastAsia="zh-CN"/>
        </w:rPr>
      </w:pPr>
      <w:r>
        <w:rPr>
          <w:rFonts w:hint="eastAsia" w:eastAsia="仿宋"/>
          <w:lang w:eastAsia="zh-CN"/>
        </w:rPr>
        <w:drawing>
          <wp:inline distT="0" distB="0" distL="114300" distR="114300">
            <wp:extent cx="5080000" cy="3810000"/>
            <wp:effectExtent l="4445" t="4445" r="5715" b="1079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5"/>
        <w:rPr>
          <w:rFonts w:hint="eastAsia"/>
        </w:rPr>
      </w:pPr>
    </w:p>
    <w:p>
      <w:pPr>
        <w:rPr>
          <w:rFonts w:hint="eastAsia"/>
        </w:rPr>
      </w:pPr>
    </w:p>
    <w:p>
      <w:pPr>
        <w:pStyle w:val="6"/>
        <w:rPr>
          <w:rFonts w:hint="eastAsia"/>
        </w:rPr>
      </w:pPr>
    </w:p>
    <w:p>
      <w:pPr>
        <w:pStyle w:val="5"/>
        <w:rPr>
          <w:rFonts w:hint="eastAsia"/>
        </w:rPr>
      </w:pPr>
    </w:p>
    <w:p>
      <w:pPr>
        <w:rPr>
          <w:rFonts w:hint="eastAsia"/>
        </w:rPr>
      </w:pPr>
    </w:p>
    <w:p>
      <w:pPr>
        <w:pStyle w:val="6"/>
        <w:rPr>
          <w:rFonts w:hint="eastAsia"/>
        </w:rPr>
      </w:pPr>
    </w:p>
    <w:p>
      <w:pPr>
        <w:rPr>
          <w:rFonts w:hint="eastAsia"/>
        </w:rPr>
      </w:pPr>
    </w:p>
    <w:p>
      <w:pPr>
        <w:rPr>
          <w:rFonts w:hint="eastAsia"/>
        </w:rPr>
      </w:pPr>
    </w:p>
    <w:p>
      <w:pPr>
        <w:pStyle w:val="5"/>
      </w:pPr>
    </w:p>
    <w:p>
      <w:pPr>
        <w:pStyle w:val="8"/>
      </w:pPr>
    </w:p>
    <w:p/>
    <w:p>
      <w:pPr>
        <w:rPr>
          <w:b/>
          <w:sz w:val="30"/>
          <w:szCs w:val="30"/>
        </w:rPr>
      </w:pPr>
      <w:r>
        <w:rPr>
          <w:sz w:val="21"/>
        </w:rPr>
        <w:pict>
          <v:shape id="_x0000_s2053" o:spid="_x0000_s2053" o:spt="202" type="#_x0000_t202" style="position:absolute;left:0pt;margin-left:-92.9pt;margin-top:7.9pt;height:124.4pt;width:601.4pt;z-index:251662336;mso-width-relative:page;mso-height-relative:page;" fillcolor="#9DC3E6" filled="t" stroked="t" coordsize="21600,21600">
            <v:path/>
            <v:fill type="gradientRadial" on="t" color2="fill lighten(147)" focus="100%" focussize="0f,0f" focusposition="0f,0f" method="linear sigma">
              <o:fill type="gradientCenter" v:ext="backwardCompatible"/>
            </v:fill>
            <v:stroke color="#FFC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ind w:firstLine="900" w:firstLineChars="300"/>
                    <w:jc w:val="left"/>
                    <w:textAlignment w:val="auto"/>
                    <w:rPr>
                      <w:rFonts w:hint="eastAsia"/>
                      <w:sz w:val="30"/>
                      <w:szCs w:val="30"/>
                    </w:rPr>
                  </w:pPr>
                </w:p>
                <w:p>
                  <w:pPr>
                    <w:keepNext w:val="0"/>
                    <w:keepLines w:val="0"/>
                    <w:pageBreakBefore w:val="0"/>
                    <w:widowControl w:val="0"/>
                    <w:kinsoku/>
                    <w:wordWrap/>
                    <w:overflowPunct/>
                    <w:topLinePunct w:val="0"/>
                    <w:autoSpaceDE/>
                    <w:autoSpaceDN/>
                    <w:bidi w:val="0"/>
                    <w:adjustRightInd/>
                    <w:snapToGrid/>
                    <w:ind w:firstLine="1601" w:firstLineChars="400"/>
                    <w:jc w:val="left"/>
                    <w:textAlignment w:val="auto"/>
                    <w:rPr>
                      <w:rFonts w:hint="eastAsia" w:ascii="方正小标宋简体" w:hAnsi="方正小标宋简体" w:eastAsia="方正小标宋简体" w:cs="方正小标宋简体"/>
                      <w:b/>
                      <w:bCs/>
                      <w:i w:val="0"/>
                      <w:iCs w:val="0"/>
                      <w:caps w:val="0"/>
                      <w:color w:val="333333"/>
                      <w:spacing w:val="0"/>
                      <w:kern w:val="0"/>
                      <w:sz w:val="40"/>
                      <w:szCs w:val="40"/>
                      <w:shd w:val="clear" w:color="auto" w:fill="FFFFFF"/>
                      <w:lang w:val="en-US" w:eastAsia="zh-CN" w:bidi="ar"/>
                    </w:rPr>
                  </w:pPr>
                  <w:r>
                    <w:rPr>
                      <w:rFonts w:hint="eastAsia" w:ascii="方正小标宋简体" w:hAnsi="方正小标宋简体" w:eastAsia="方正小标宋简体" w:cs="方正小标宋简体"/>
                      <w:b/>
                      <w:bCs/>
                      <w:i w:val="0"/>
                      <w:iCs w:val="0"/>
                      <w:caps w:val="0"/>
                      <w:color w:val="333333"/>
                      <w:spacing w:val="0"/>
                      <w:kern w:val="0"/>
                      <w:sz w:val="40"/>
                      <w:szCs w:val="40"/>
                      <w:shd w:val="clear" w:color="auto" w:fill="FFFFFF"/>
                      <w:lang w:val="en-US" w:eastAsia="zh-CN" w:bidi="ar"/>
                    </w:rPr>
                    <w:t>四、关于2022年度南县预算绩效管理工作情况说明</w:t>
                  </w:r>
                </w:p>
                <w:p>
                  <w:pPr>
                    <w:keepNext w:val="0"/>
                    <w:keepLines w:val="0"/>
                    <w:pageBreakBefore w:val="0"/>
                    <w:widowControl w:val="0"/>
                    <w:kinsoku/>
                    <w:wordWrap/>
                    <w:overflowPunct/>
                    <w:topLinePunct w:val="0"/>
                    <w:autoSpaceDE/>
                    <w:autoSpaceDN/>
                    <w:bidi w:val="0"/>
                    <w:adjustRightInd/>
                    <w:snapToGrid/>
                    <w:ind w:firstLine="960" w:firstLineChars="300"/>
                    <w:jc w:val="left"/>
                    <w:textAlignment w:val="auto"/>
                  </w:pPr>
                </w:p>
              </w:txbxContent>
            </v:textbox>
          </v:shape>
        </w:pict>
      </w:r>
    </w:p>
    <w:p>
      <w:pPr>
        <w:rPr>
          <w:b/>
          <w:sz w:val="30"/>
          <w:szCs w:val="30"/>
        </w:rPr>
      </w:pPr>
    </w:p>
    <w:p>
      <w:pPr>
        <w:rPr>
          <w:b/>
          <w:sz w:val="30"/>
          <w:szCs w:val="30"/>
        </w:rPr>
      </w:pPr>
    </w:p>
    <w:p>
      <w:pPr>
        <w:rPr>
          <w:b/>
          <w:sz w:val="30"/>
          <w:szCs w:val="30"/>
        </w:rPr>
      </w:pPr>
    </w:p>
    <w:p>
      <w:pPr>
        <w:spacing w:line="600" w:lineRule="exact"/>
        <w:rPr>
          <w:rFonts w:ascii="仿宋_GB2312" w:hAnsi="仿宋_GB2312" w:eastAsia="仿宋_GB2312" w:cs="仿宋_GB2312"/>
        </w:rPr>
      </w:pPr>
    </w:p>
    <w:p>
      <w:pPr>
        <w:widowControl/>
        <w:shd w:val="clear" w:color="auto" w:fill="FFFFFF"/>
        <w:spacing w:line="480" w:lineRule="auto"/>
        <w:ind w:firstLine="640" w:firstLineChars="200"/>
        <w:jc w:val="left"/>
        <w:rPr>
          <w:rFonts w:hint="eastAsia" w:ascii="仿宋" w:hAnsi="仿宋" w:eastAsia="仿宋" w:cs="仿宋"/>
          <w:color w:val="000000" w:themeColor="text1"/>
          <w:kern w:val="0"/>
          <w:sz w:val="32"/>
          <w:szCs w:val="32"/>
          <w:lang w:val="en-US" w:eastAsia="zh-CN"/>
        </w:rPr>
      </w:pPr>
      <w:r>
        <w:rPr>
          <w:rFonts w:hint="eastAsia" w:ascii="仿宋" w:hAnsi="仿宋" w:eastAsia="仿宋" w:cs="仿宋"/>
          <w:color w:val="000000" w:themeColor="text1"/>
          <w:kern w:val="0"/>
          <w:sz w:val="32"/>
          <w:szCs w:val="32"/>
          <w:lang w:val="en-US" w:eastAsia="zh-CN"/>
        </w:rPr>
        <w:t>（一）扶贫项目资金绩效工作圆满完成</w:t>
      </w:r>
    </w:p>
    <w:p>
      <w:pPr>
        <w:widowControl/>
        <w:shd w:val="clear" w:color="auto" w:fill="FFFFFF"/>
        <w:spacing w:line="480" w:lineRule="auto"/>
        <w:ind w:firstLine="640" w:firstLineChars="200"/>
        <w:jc w:val="left"/>
        <w:rPr>
          <w:rFonts w:hint="eastAsia" w:ascii="仿宋" w:hAnsi="仿宋" w:eastAsia="仿宋" w:cs="仿宋"/>
          <w:color w:val="000000" w:themeColor="text1"/>
          <w:kern w:val="0"/>
          <w:sz w:val="32"/>
          <w:szCs w:val="32"/>
          <w:lang w:val="en-US" w:eastAsia="zh-CN"/>
        </w:rPr>
      </w:pPr>
      <w:r>
        <w:rPr>
          <w:rFonts w:hint="eastAsia" w:ascii="仿宋" w:hAnsi="仿宋" w:eastAsia="仿宋" w:cs="仿宋"/>
          <w:color w:val="000000" w:themeColor="text1"/>
          <w:kern w:val="0"/>
          <w:sz w:val="32"/>
          <w:szCs w:val="32"/>
          <w:lang w:val="en-US" w:eastAsia="zh-CN"/>
        </w:rPr>
        <w:t>按照财政部及省财政厅的要求，我们对进入扶贫资金监控系统的2021年度16个扶贫项目，资金共计1752万元进行了项目绩效自评与审核工作，保证扶贫项目资金绩效工作的圆满完成。</w:t>
      </w:r>
    </w:p>
    <w:p>
      <w:pPr>
        <w:widowControl/>
        <w:shd w:val="clear" w:color="auto" w:fill="FFFFFF"/>
        <w:spacing w:line="480" w:lineRule="auto"/>
        <w:ind w:firstLine="640" w:firstLineChars="200"/>
        <w:jc w:val="left"/>
        <w:rPr>
          <w:rFonts w:hint="eastAsia" w:ascii="仿宋" w:hAnsi="仿宋" w:eastAsia="仿宋" w:cs="仿宋"/>
          <w:color w:val="000000" w:themeColor="text1"/>
          <w:kern w:val="0"/>
          <w:sz w:val="32"/>
          <w:szCs w:val="32"/>
          <w:lang w:val="en-US" w:eastAsia="zh-CN"/>
        </w:rPr>
      </w:pPr>
      <w:r>
        <w:rPr>
          <w:rFonts w:hint="eastAsia" w:ascii="仿宋" w:hAnsi="仿宋" w:eastAsia="仿宋" w:cs="仿宋"/>
          <w:color w:val="000000" w:themeColor="text1"/>
          <w:kern w:val="0"/>
          <w:sz w:val="32"/>
          <w:szCs w:val="32"/>
          <w:lang w:val="en-US" w:eastAsia="zh-CN"/>
        </w:rPr>
        <w:t>（二）绩效目标申报工作实现全覆盖</w:t>
      </w:r>
    </w:p>
    <w:p>
      <w:pPr>
        <w:widowControl/>
        <w:shd w:val="clear" w:color="auto" w:fill="FFFFFF"/>
        <w:spacing w:line="480" w:lineRule="auto"/>
        <w:ind w:firstLine="640" w:firstLineChars="200"/>
        <w:jc w:val="left"/>
        <w:rPr>
          <w:rFonts w:hint="eastAsia" w:ascii="仿宋" w:hAnsi="仿宋" w:eastAsia="仿宋" w:cs="仿宋"/>
          <w:color w:val="000000" w:themeColor="text1"/>
          <w:kern w:val="0"/>
          <w:sz w:val="32"/>
          <w:szCs w:val="32"/>
          <w:lang w:val="en-US" w:eastAsia="zh-CN"/>
        </w:rPr>
      </w:pPr>
      <w:r>
        <w:rPr>
          <w:rFonts w:hint="eastAsia" w:ascii="仿宋" w:hAnsi="仿宋" w:eastAsia="仿宋" w:cs="仿宋"/>
          <w:color w:val="000000" w:themeColor="text1"/>
          <w:kern w:val="0"/>
          <w:sz w:val="32"/>
          <w:szCs w:val="32"/>
          <w:lang w:val="en-US" w:eastAsia="zh-CN"/>
        </w:rPr>
        <w:t>以覆盖率达到100%为目标，开展了2022年度部门整体支出与项目支出绩效目标的申报与审核工作。本年度，在预算管理一体化系统的支撑下，组织各预算单位按照南财绩函〔2021〕42号《关于做好2022年度预算绩效目标申报工作的通知》文件要求，完善本单位年度预算项目绩效目标与绩效指标内容。县财政局负责对项目绩效目标及整体支出绩效目标内容进行批复，全年批复的项目支出涉及公安、交通、司法、生态、发改、国土、教育、文化、旅游、卫生、计生、农业、科技等 93个部门及12个乡镇，确保预算绩效管理范围全覆盖，实现了预算单位绩效目标申报与部门预算同步管理。</w:t>
      </w:r>
    </w:p>
    <w:p>
      <w:pPr>
        <w:widowControl/>
        <w:shd w:val="clear" w:color="auto" w:fill="FFFFFF"/>
        <w:spacing w:line="480" w:lineRule="auto"/>
        <w:ind w:firstLine="640" w:firstLineChars="200"/>
        <w:jc w:val="left"/>
        <w:rPr>
          <w:rFonts w:hint="eastAsia" w:ascii="仿宋" w:hAnsi="仿宋" w:eastAsia="仿宋" w:cs="仿宋"/>
          <w:color w:val="000000" w:themeColor="text1"/>
          <w:kern w:val="0"/>
          <w:sz w:val="32"/>
          <w:szCs w:val="32"/>
          <w:lang w:val="en-US" w:eastAsia="zh-CN"/>
        </w:rPr>
      </w:pPr>
      <w:r>
        <w:rPr>
          <w:rFonts w:hint="eastAsia" w:ascii="仿宋" w:hAnsi="仿宋" w:eastAsia="仿宋" w:cs="仿宋"/>
          <w:color w:val="000000" w:themeColor="text1"/>
          <w:kern w:val="0"/>
          <w:sz w:val="32"/>
          <w:szCs w:val="32"/>
          <w:lang w:val="en-US" w:eastAsia="zh-CN"/>
        </w:rPr>
        <w:t>（三）预算资金自评工作实现常态化</w:t>
      </w:r>
    </w:p>
    <w:p>
      <w:pPr>
        <w:widowControl/>
        <w:shd w:val="clear" w:color="auto" w:fill="FFFFFF"/>
        <w:spacing w:line="480" w:lineRule="auto"/>
        <w:ind w:firstLine="640" w:firstLineChars="200"/>
        <w:jc w:val="left"/>
        <w:rPr>
          <w:rFonts w:hint="eastAsia" w:ascii="仿宋" w:hAnsi="仿宋" w:eastAsia="仿宋" w:cs="仿宋"/>
          <w:color w:val="000000" w:themeColor="text1"/>
          <w:kern w:val="0"/>
          <w:sz w:val="32"/>
          <w:szCs w:val="32"/>
          <w:lang w:val="en-US" w:eastAsia="zh-CN"/>
        </w:rPr>
      </w:pPr>
      <w:r>
        <w:rPr>
          <w:rFonts w:hint="eastAsia" w:ascii="仿宋" w:hAnsi="仿宋" w:eastAsia="仿宋" w:cs="仿宋"/>
          <w:color w:val="000000" w:themeColor="text1"/>
          <w:kern w:val="0"/>
          <w:sz w:val="32"/>
          <w:szCs w:val="32"/>
          <w:lang w:val="en-US" w:eastAsia="zh-CN"/>
        </w:rPr>
        <w:t>完成了2021年度预算资金绩效自评工作。2022年2月下发了《南县财政局关于做好2021年度预算绩效自评工作的通知》，要求各预算单位对本部门2021年度整体支出及项目支出进行绩效自评，并提交绩效自评报告，进一步推进全面实施预算绩效管理工作。</w:t>
      </w:r>
    </w:p>
    <w:p>
      <w:pPr>
        <w:widowControl/>
        <w:shd w:val="clear" w:color="auto" w:fill="FFFFFF"/>
        <w:spacing w:line="480" w:lineRule="auto"/>
        <w:ind w:firstLine="640" w:firstLineChars="200"/>
        <w:jc w:val="left"/>
        <w:rPr>
          <w:rFonts w:hint="eastAsia" w:ascii="仿宋" w:hAnsi="仿宋" w:eastAsia="仿宋" w:cs="仿宋"/>
          <w:color w:val="000000" w:themeColor="text1"/>
          <w:kern w:val="0"/>
          <w:sz w:val="32"/>
          <w:szCs w:val="32"/>
          <w:lang w:val="en-US" w:eastAsia="zh-CN"/>
        </w:rPr>
      </w:pPr>
      <w:r>
        <w:rPr>
          <w:rFonts w:hint="eastAsia" w:ascii="仿宋" w:hAnsi="仿宋" w:eastAsia="仿宋" w:cs="仿宋"/>
          <w:color w:val="000000" w:themeColor="text1"/>
          <w:kern w:val="0"/>
          <w:sz w:val="32"/>
          <w:szCs w:val="32"/>
          <w:lang w:val="en-US" w:eastAsia="zh-CN"/>
        </w:rPr>
        <w:t>（四）重点绩效评价工作稳步推进</w:t>
      </w:r>
    </w:p>
    <w:p>
      <w:pPr>
        <w:widowControl/>
        <w:shd w:val="clear" w:color="auto" w:fill="FFFFFF"/>
        <w:spacing w:line="480" w:lineRule="auto"/>
        <w:ind w:firstLine="640" w:firstLineChars="200"/>
        <w:jc w:val="left"/>
        <w:rPr>
          <w:rFonts w:hint="eastAsia" w:ascii="仿宋" w:hAnsi="仿宋" w:eastAsia="仿宋" w:cs="仿宋"/>
          <w:color w:val="000000" w:themeColor="text1"/>
          <w:kern w:val="0"/>
          <w:sz w:val="32"/>
          <w:szCs w:val="32"/>
          <w:lang w:val="en-US" w:eastAsia="zh-CN"/>
        </w:rPr>
      </w:pPr>
      <w:r>
        <w:rPr>
          <w:rFonts w:hint="eastAsia" w:ascii="仿宋" w:hAnsi="仿宋" w:eastAsia="仿宋" w:cs="仿宋"/>
          <w:color w:val="000000" w:themeColor="text1"/>
          <w:kern w:val="0"/>
          <w:sz w:val="32"/>
          <w:szCs w:val="32"/>
          <w:lang w:val="en-US" w:eastAsia="zh-CN"/>
        </w:rPr>
        <w:t>2022年度，采取“项目单位自评、中介机构现场评价、财政部门复核”的方式，选取了“农村清洁工程服务外包”、“农村中小学危房改造”、“散居五保户供养经费”等重点民生项目进行重点绩效评价，并对南县看守所、南县乡村振兴局、南县残疾人联合会等重点单位的2021年度全部项目资金进行了财政绩效评价，涉及财政资金6135.64万元，涵盖预算单位或部门9个，延伸检查乡镇所站20次。评价过程公平公正，对项目的决策、实施、产出、效益等方面进行综合评分，平均得分为86.94分，最高得分93.8分，最低得分81分。</w:t>
      </w:r>
    </w:p>
    <w:p>
      <w:pPr>
        <w:widowControl/>
        <w:shd w:val="clear" w:color="auto" w:fill="FFFFFF"/>
        <w:spacing w:line="480" w:lineRule="auto"/>
        <w:ind w:firstLine="640" w:firstLineChars="200"/>
        <w:jc w:val="left"/>
        <w:rPr>
          <w:rFonts w:hint="eastAsia" w:ascii="仿宋" w:hAnsi="仿宋" w:eastAsia="仿宋" w:cs="仿宋"/>
          <w:color w:val="000000" w:themeColor="text1"/>
          <w:kern w:val="0"/>
          <w:sz w:val="32"/>
          <w:szCs w:val="32"/>
          <w:lang w:val="en-US" w:eastAsia="zh-CN"/>
        </w:rPr>
      </w:pPr>
      <w:r>
        <w:rPr>
          <w:rFonts w:hint="eastAsia" w:ascii="仿宋" w:hAnsi="仿宋" w:eastAsia="仿宋" w:cs="仿宋"/>
          <w:color w:val="000000" w:themeColor="text1"/>
          <w:kern w:val="0"/>
          <w:sz w:val="32"/>
          <w:szCs w:val="32"/>
          <w:lang w:val="en-US" w:eastAsia="zh-CN"/>
        </w:rPr>
        <w:t>（五）整体支出绩效评价常抓不懈</w:t>
      </w:r>
    </w:p>
    <w:p>
      <w:pPr>
        <w:widowControl/>
        <w:shd w:val="clear" w:color="auto" w:fill="FFFFFF"/>
        <w:spacing w:line="480" w:lineRule="auto"/>
        <w:ind w:firstLine="640" w:firstLineChars="200"/>
        <w:jc w:val="left"/>
        <w:rPr>
          <w:rFonts w:hint="eastAsia" w:ascii="仿宋" w:hAnsi="仿宋" w:eastAsia="仿宋" w:cs="仿宋"/>
          <w:color w:val="000000" w:themeColor="text1"/>
          <w:kern w:val="0"/>
          <w:sz w:val="32"/>
          <w:szCs w:val="32"/>
          <w:lang w:val="en-US" w:eastAsia="zh-CN"/>
        </w:rPr>
      </w:pPr>
      <w:r>
        <w:rPr>
          <w:rFonts w:hint="eastAsia" w:ascii="仿宋" w:hAnsi="仿宋" w:eastAsia="仿宋" w:cs="仿宋"/>
          <w:color w:val="000000" w:themeColor="text1"/>
          <w:kern w:val="0"/>
          <w:sz w:val="32"/>
          <w:szCs w:val="32"/>
          <w:lang w:val="en-US" w:eastAsia="zh-CN"/>
        </w:rPr>
        <w:t>本年度，我县聘请第三方中介机构对南县行政审批服务局进行部门整体绩效评价，评价范围涵盖其2021年度基本支出和项目支出在内的所有财政资金，并要求其针对评价结果进行问题整改。</w:t>
      </w:r>
    </w:p>
    <w:p>
      <w:pPr>
        <w:widowControl/>
        <w:shd w:val="clear" w:color="auto" w:fill="FFFFFF"/>
        <w:spacing w:line="480" w:lineRule="auto"/>
        <w:ind w:firstLine="640" w:firstLineChars="200"/>
        <w:jc w:val="left"/>
        <w:rPr>
          <w:rFonts w:hint="eastAsia" w:ascii="仿宋" w:hAnsi="仿宋" w:eastAsia="仿宋" w:cs="仿宋"/>
          <w:color w:val="000000" w:themeColor="text1"/>
          <w:kern w:val="0"/>
          <w:sz w:val="32"/>
          <w:szCs w:val="32"/>
          <w:lang w:val="en-US" w:eastAsia="zh-CN"/>
        </w:rPr>
      </w:pPr>
      <w:r>
        <w:rPr>
          <w:rFonts w:hint="eastAsia" w:ascii="仿宋" w:hAnsi="仿宋" w:eastAsia="仿宋" w:cs="仿宋"/>
          <w:color w:val="000000" w:themeColor="text1"/>
          <w:kern w:val="0"/>
          <w:sz w:val="32"/>
          <w:szCs w:val="32"/>
          <w:lang w:val="en-US" w:eastAsia="zh-CN"/>
        </w:rPr>
        <w:t>（六）绩效评价工作公更加透明化</w:t>
      </w:r>
    </w:p>
    <w:p>
      <w:pPr>
        <w:widowControl/>
        <w:shd w:val="clear" w:color="auto" w:fill="FFFFFF"/>
        <w:spacing w:line="480" w:lineRule="auto"/>
        <w:ind w:firstLine="640" w:firstLineChars="200"/>
        <w:jc w:val="left"/>
        <w:rPr>
          <w:rFonts w:hint="eastAsia" w:ascii="仿宋" w:hAnsi="仿宋" w:eastAsia="仿宋" w:cs="仿宋"/>
          <w:color w:val="000000" w:themeColor="text1"/>
          <w:kern w:val="0"/>
          <w:sz w:val="32"/>
          <w:szCs w:val="32"/>
          <w:lang w:val="en-US" w:eastAsia="zh-CN"/>
        </w:rPr>
      </w:pPr>
      <w:r>
        <w:rPr>
          <w:rFonts w:hint="eastAsia" w:ascii="仿宋" w:hAnsi="仿宋" w:eastAsia="仿宋" w:cs="仿宋"/>
          <w:color w:val="000000" w:themeColor="text1"/>
          <w:kern w:val="0"/>
          <w:sz w:val="32"/>
          <w:szCs w:val="32"/>
          <w:lang w:val="en-US" w:eastAsia="zh-CN"/>
        </w:rPr>
        <w:t>为提升工作透明度，发挥社会的监督作用，防治腐败，我县本年度加强了绩效评价工作的公示公开，包括在预算公开时，同步公开单位整体支出绩效目标与项目支出绩效目标；在决算公开时，同步公开单位整体支出绩效自评与项目支出绩效自评；在重点评价结束后，主动公开绩效评价结果，推动政府由“暗箱操作”转变为“阳光行政”，助力提高政府公信力，塑造良好的政府形象。</w:t>
      </w:r>
    </w:p>
    <w:p>
      <w:pPr>
        <w:widowControl/>
        <w:shd w:val="clear" w:color="auto" w:fill="FFFFFF"/>
        <w:spacing w:line="480" w:lineRule="auto"/>
        <w:ind w:firstLine="640" w:firstLineChars="200"/>
        <w:jc w:val="left"/>
        <w:rPr>
          <w:rFonts w:hint="eastAsia" w:ascii="仿宋" w:hAnsi="仿宋" w:eastAsia="仿宋" w:cs="仿宋"/>
          <w:color w:val="000000" w:themeColor="text1"/>
          <w:kern w:val="0"/>
          <w:sz w:val="32"/>
          <w:szCs w:val="32"/>
          <w:lang w:val="en-US" w:eastAsia="zh-CN"/>
        </w:rPr>
      </w:pPr>
      <w:r>
        <w:rPr>
          <w:rFonts w:hint="eastAsia" w:ascii="仿宋" w:hAnsi="仿宋" w:eastAsia="仿宋" w:cs="仿宋"/>
          <w:color w:val="000000" w:themeColor="text1"/>
          <w:kern w:val="0"/>
          <w:sz w:val="32"/>
          <w:szCs w:val="32"/>
          <w:lang w:val="en-US" w:eastAsia="zh-CN"/>
        </w:rPr>
        <w:t>（七）预算绩效评价结果应用加强</w:t>
      </w:r>
    </w:p>
    <w:p>
      <w:pPr>
        <w:widowControl/>
        <w:shd w:val="clear" w:color="auto" w:fill="FFFFFF"/>
        <w:spacing w:line="480" w:lineRule="auto"/>
        <w:ind w:firstLine="640" w:firstLineChars="200"/>
        <w:jc w:val="left"/>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lang w:val="en-US" w:eastAsia="zh-CN"/>
        </w:rPr>
        <w:t>2022年，提请县绩考办，印发了《南县预算绩效管理工作考核办法》的通知，将预算绩效管理工作纳入部门（单位）年度县级政府绩效考核中，考核内容包括：绩效目标管理、绩效跟踪监控管理、绩效评价管理、评价结果整改报告反馈、绩效信息公开和其他。针对绩效管理工作考核分数进行排名，排名前30的单位为优秀，排名31-75的单位为良好，排名76-95的单位为合格，排名96-105的单位为不合格，考核结果将影响其年度县级政府绩效考核分数，另外对考核结果为不合格的单位，将适当调整其下一年度经费预算。</w:t>
      </w:r>
      <w:r>
        <w:rPr>
          <w:rFonts w:hint="eastAsia" w:ascii="仿宋" w:hAnsi="仿宋" w:eastAsia="仿宋" w:cs="仿宋"/>
          <w:color w:val="000000" w:themeColor="text1"/>
          <w:kern w:val="0"/>
          <w:sz w:val="32"/>
          <w:szCs w:val="32"/>
        </w:rPr>
        <w:t xml:space="preserve"> </w:t>
      </w:r>
    </w:p>
    <w:sectPr>
      <w:headerReference r:id="rId3" w:type="default"/>
      <w:footerReference r:id="rId4" w:type="default"/>
      <w:pgSz w:w="11850" w:h="16783"/>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dotted" w:color="auto"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7D4E"/>
    <w:multiLevelType w:val="singleLevel"/>
    <w:tmpl w:val="033E7D4E"/>
    <w:lvl w:ilvl="0" w:tentative="0">
      <w:start w:val="1"/>
      <w:numFmt w:val="decimal"/>
      <w:suff w:val="nothing"/>
      <w:lvlText w:val="（%1）"/>
      <w:lvlJc w:val="left"/>
    </w:lvl>
  </w:abstractNum>
  <w:abstractNum w:abstractNumId="1">
    <w:nsid w:val="230B582E"/>
    <w:multiLevelType w:val="singleLevel"/>
    <w:tmpl w:val="230B582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M2YzE0YjJmOGE2ZWExNTNhZDc4OTRhYjEzMDk1OGYifQ=="/>
  </w:docVars>
  <w:rsids>
    <w:rsidRoot w:val="731F1D87"/>
    <w:rsid w:val="002B32B4"/>
    <w:rsid w:val="003E7C2D"/>
    <w:rsid w:val="005877F5"/>
    <w:rsid w:val="006A7BB7"/>
    <w:rsid w:val="00740D17"/>
    <w:rsid w:val="007E436B"/>
    <w:rsid w:val="008A2853"/>
    <w:rsid w:val="00B00F4F"/>
    <w:rsid w:val="00F26B55"/>
    <w:rsid w:val="02FE6915"/>
    <w:rsid w:val="04C46A2F"/>
    <w:rsid w:val="05914349"/>
    <w:rsid w:val="062D4B09"/>
    <w:rsid w:val="0888072F"/>
    <w:rsid w:val="0C7402CC"/>
    <w:rsid w:val="0C8C682A"/>
    <w:rsid w:val="0DD85BC2"/>
    <w:rsid w:val="10C73459"/>
    <w:rsid w:val="1113634D"/>
    <w:rsid w:val="141454D8"/>
    <w:rsid w:val="149C0630"/>
    <w:rsid w:val="157F04ED"/>
    <w:rsid w:val="15E77FCB"/>
    <w:rsid w:val="171C150C"/>
    <w:rsid w:val="172F175A"/>
    <w:rsid w:val="18865FBE"/>
    <w:rsid w:val="1C020117"/>
    <w:rsid w:val="1C3324C3"/>
    <w:rsid w:val="1D176ECA"/>
    <w:rsid w:val="1D7D64CD"/>
    <w:rsid w:val="1E5A013E"/>
    <w:rsid w:val="2024256D"/>
    <w:rsid w:val="20F24F11"/>
    <w:rsid w:val="22324DBA"/>
    <w:rsid w:val="22F11CAA"/>
    <w:rsid w:val="239E4685"/>
    <w:rsid w:val="23A13C03"/>
    <w:rsid w:val="25AC4CEB"/>
    <w:rsid w:val="25B0796E"/>
    <w:rsid w:val="26AC4B80"/>
    <w:rsid w:val="28DC02B9"/>
    <w:rsid w:val="2A4F241A"/>
    <w:rsid w:val="2C0A47CF"/>
    <w:rsid w:val="2C3916B6"/>
    <w:rsid w:val="2E187120"/>
    <w:rsid w:val="2F2F5238"/>
    <w:rsid w:val="2F43204B"/>
    <w:rsid w:val="314D322A"/>
    <w:rsid w:val="319B2F2C"/>
    <w:rsid w:val="31A35EBA"/>
    <w:rsid w:val="31E43988"/>
    <w:rsid w:val="32550EFA"/>
    <w:rsid w:val="32B12C73"/>
    <w:rsid w:val="335F4DC3"/>
    <w:rsid w:val="33A04C43"/>
    <w:rsid w:val="33AC66C5"/>
    <w:rsid w:val="33F055C6"/>
    <w:rsid w:val="346B1773"/>
    <w:rsid w:val="34793538"/>
    <w:rsid w:val="37390EDC"/>
    <w:rsid w:val="37636201"/>
    <w:rsid w:val="38E94889"/>
    <w:rsid w:val="3A696F0D"/>
    <w:rsid w:val="3AA67748"/>
    <w:rsid w:val="3C166A9A"/>
    <w:rsid w:val="3D657ADC"/>
    <w:rsid w:val="3DC71406"/>
    <w:rsid w:val="3F272188"/>
    <w:rsid w:val="40375CDF"/>
    <w:rsid w:val="42CA782A"/>
    <w:rsid w:val="437F331A"/>
    <w:rsid w:val="43AB7AD9"/>
    <w:rsid w:val="44C67FA7"/>
    <w:rsid w:val="452832A9"/>
    <w:rsid w:val="45857AEE"/>
    <w:rsid w:val="48DE4996"/>
    <w:rsid w:val="491C07F8"/>
    <w:rsid w:val="4AE40163"/>
    <w:rsid w:val="4BD05960"/>
    <w:rsid w:val="4D0C6327"/>
    <w:rsid w:val="4D7A2C7B"/>
    <w:rsid w:val="4DAE2DDC"/>
    <w:rsid w:val="4DB23E36"/>
    <w:rsid w:val="4F5D7AAB"/>
    <w:rsid w:val="50254ABB"/>
    <w:rsid w:val="50B97663"/>
    <w:rsid w:val="50D32298"/>
    <w:rsid w:val="5275758C"/>
    <w:rsid w:val="52F008B7"/>
    <w:rsid w:val="53CE5257"/>
    <w:rsid w:val="54186687"/>
    <w:rsid w:val="54620362"/>
    <w:rsid w:val="56E122AF"/>
    <w:rsid w:val="572802EF"/>
    <w:rsid w:val="574F4F4E"/>
    <w:rsid w:val="57C77502"/>
    <w:rsid w:val="581C2A0F"/>
    <w:rsid w:val="58CC2FCD"/>
    <w:rsid w:val="59230ACB"/>
    <w:rsid w:val="599C0E6D"/>
    <w:rsid w:val="59E77376"/>
    <w:rsid w:val="5B3E2EAE"/>
    <w:rsid w:val="5BB328C6"/>
    <w:rsid w:val="5C216890"/>
    <w:rsid w:val="5CD62661"/>
    <w:rsid w:val="5DD621CE"/>
    <w:rsid w:val="5F1D1BC2"/>
    <w:rsid w:val="5F2D1B2C"/>
    <w:rsid w:val="5F6A37EC"/>
    <w:rsid w:val="608B2E0E"/>
    <w:rsid w:val="611D1779"/>
    <w:rsid w:val="61537B9D"/>
    <w:rsid w:val="62E750E4"/>
    <w:rsid w:val="64FD1FFD"/>
    <w:rsid w:val="65EE2909"/>
    <w:rsid w:val="66324C52"/>
    <w:rsid w:val="665B3234"/>
    <w:rsid w:val="668D59CF"/>
    <w:rsid w:val="67AD0940"/>
    <w:rsid w:val="68346681"/>
    <w:rsid w:val="68433C5A"/>
    <w:rsid w:val="68AA2899"/>
    <w:rsid w:val="69D75673"/>
    <w:rsid w:val="6C8C3CA0"/>
    <w:rsid w:val="6D0475DF"/>
    <w:rsid w:val="6D2407A1"/>
    <w:rsid w:val="6D3E3815"/>
    <w:rsid w:val="6D6A7A6C"/>
    <w:rsid w:val="6DD1766D"/>
    <w:rsid w:val="702C24BB"/>
    <w:rsid w:val="719621B0"/>
    <w:rsid w:val="71DB3050"/>
    <w:rsid w:val="72D50D77"/>
    <w:rsid w:val="731F1D87"/>
    <w:rsid w:val="7339739F"/>
    <w:rsid w:val="74FA5D9A"/>
    <w:rsid w:val="77EB7040"/>
    <w:rsid w:val="782B77FD"/>
    <w:rsid w:val="797F6FDC"/>
    <w:rsid w:val="79CC4690"/>
    <w:rsid w:val="7A9B4E04"/>
    <w:rsid w:val="7AE44B13"/>
    <w:rsid w:val="7C5657E4"/>
    <w:rsid w:val="7D112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auto"/>
      <w:jc w:val="both"/>
    </w:pPr>
    <w:rPr>
      <w:rFonts w:ascii="仿宋" w:hAnsi="仿宋" w:eastAsia="仿宋" w:cstheme="minorBidi"/>
      <w:kern w:val="2"/>
      <w:sz w:val="32"/>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qFormat/>
    <w:uiPriority w:val="1"/>
    <w:pPr>
      <w:autoSpaceDE w:val="0"/>
      <w:autoSpaceDN w:val="0"/>
      <w:ind w:left="131"/>
      <w:jc w:val="left"/>
    </w:pPr>
    <w:rPr>
      <w:rFonts w:ascii="方正仿宋_GBK" w:hAnsi="方正仿宋_GBK" w:eastAsia="方正仿宋_GBK" w:cs="方正仿宋_GBK"/>
      <w:kern w:val="0"/>
      <w:sz w:val="30"/>
      <w:szCs w:val="30"/>
      <w:lang w:val="zh-CN" w:bidi="zh-CN"/>
    </w:rPr>
  </w:style>
  <w:style w:type="paragraph" w:styleId="5">
    <w:name w:val="index 5"/>
    <w:basedOn w:val="1"/>
    <w:next w:val="1"/>
    <w:qFormat/>
    <w:uiPriority w:val="0"/>
    <w:pPr>
      <w:ind w:left="1680"/>
    </w:pPr>
    <w:rPr>
      <w:szCs w:val="24"/>
    </w:rPr>
  </w:style>
  <w:style w:type="paragraph" w:styleId="6">
    <w:name w:val="footer"/>
    <w:basedOn w:val="1"/>
    <w:next w:val="5"/>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2">
    <w:name w:val="页眉 Char"/>
    <w:basedOn w:val="11"/>
    <w:link w:val="7"/>
    <w:qFormat/>
    <w:uiPriority w:val="0"/>
    <w:rPr>
      <w:kern w:val="2"/>
      <w:sz w:val="18"/>
      <w:szCs w:val="18"/>
    </w:rPr>
  </w:style>
  <w:style w:type="character" w:customStyle="1" w:styleId="13">
    <w:name w:val="页脚 Char"/>
    <w:basedOn w:val="11"/>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800">
                <a:latin typeface="楷体" panose="02010609060101010101" charset="-122"/>
                <a:ea typeface="楷体" panose="02010609060101010101" charset="-122"/>
              </a:rPr>
              <a:t>一般公共预算转移支付总体情况（单位：万元）</a:t>
            </a:r>
            <a:endParaRPr sz="1800">
              <a:latin typeface="楷体" panose="02010609060101010101" charset="-122"/>
              <a:ea typeface="楷体" panose="02010609060101010101" charset="-122"/>
            </a:endParaRPr>
          </a:p>
        </c:rich>
      </c:tx>
      <c:layout>
        <c:manualLayout>
          <c:xMode val="edge"/>
          <c:yMode val="edge"/>
          <c:x val="0.1451875"/>
          <c:y val="0.0283333333333333"/>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Pt>
            <c:idx val="1"/>
            <c:invertIfNegative val="0"/>
            <c:bubble3D val="0"/>
            <c:spPr>
              <a:solidFill>
                <a:schemeClr val="accent2"/>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2021年</c:v>
                </c:pt>
              </c:strCache>
            </c:strRef>
          </c:cat>
          <c:val>
            <c:numRef>
              <c:f>Sheet1!$B$2:$B$3</c:f>
              <c:numCache>
                <c:formatCode>General</c:formatCode>
                <c:ptCount val="2"/>
                <c:pt idx="0">
                  <c:v>367964</c:v>
                </c:pt>
                <c:pt idx="1">
                  <c:v>331745</c:v>
                </c:pt>
              </c:numCache>
            </c:numRef>
          </c:val>
        </c:ser>
        <c:dLbls>
          <c:showLegendKey val="0"/>
          <c:showVal val="1"/>
          <c:showCatName val="0"/>
          <c:showSerName val="0"/>
          <c:showPercent val="0"/>
          <c:showBubbleSize val="0"/>
        </c:dLbls>
        <c:gapWidth val="219"/>
        <c:overlap val="-27"/>
        <c:axId val="846683248"/>
        <c:axId val="518808610"/>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2022年</c:v>
                      </c:pt>
                      <c:pt idx="1">
                        <c:v>2021年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2022年</c:v>
                      </c:pt>
                      <c:pt idx="1">
                        <c:v>2021年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84668324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8808610"/>
        <c:crosses val="autoZero"/>
        <c:auto val="1"/>
        <c:lblAlgn val="ctr"/>
        <c:lblOffset val="100"/>
        <c:noMultiLvlLbl val="0"/>
      </c:catAx>
      <c:valAx>
        <c:axId val="51880861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6683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800">
                <a:latin typeface="楷体" panose="02010609060101010101" charset="-122"/>
                <a:ea typeface="楷体" panose="02010609060101010101" charset="-122"/>
              </a:rPr>
              <a:t>一般性转移支付情况（单位：万元）</a:t>
            </a:r>
            <a:endParaRPr sz="1800">
              <a:latin typeface="楷体" panose="02010609060101010101" charset="-122"/>
              <a:ea typeface="楷体" panose="02010609060101010101" charset="-122"/>
            </a:endParaRPr>
          </a:p>
        </c:rich>
      </c:tx>
      <c:layout/>
      <c:overlay val="0"/>
      <c:spPr>
        <a:noFill/>
        <a:ln>
          <a:noFill/>
        </a:ln>
        <a:effectLst/>
      </c:spPr>
    </c:title>
    <c:autoTitleDeleted val="0"/>
    <c:plotArea>
      <c:layout>
        <c:manualLayout>
          <c:layoutTarget val="inner"/>
          <c:xMode val="edge"/>
          <c:yMode val="edge"/>
          <c:x val="0.113370237797941"/>
          <c:y val="0.0957045968349661"/>
          <c:w val="0.864161047753822"/>
          <c:h val="0.455337854810349"/>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Sheet1!$A$2:$A$25</c:f>
              <c:strCache>
                <c:ptCount val="24"/>
                <c:pt idx="0">
                  <c:v>均衡性转移支付收入</c:v>
                </c:pt>
                <c:pt idx="1">
                  <c:v>县级基本财力保障机制奖补资金收入</c:v>
                </c:pt>
                <c:pt idx="2">
                  <c:v>结算补助收入</c:v>
                </c:pt>
                <c:pt idx="3">
                  <c:v>企业事业单位划转补助收入</c:v>
                </c:pt>
                <c:pt idx="4">
                  <c:v>产粮(油)大县奖励资金收入</c:v>
                </c:pt>
                <c:pt idx="5">
                  <c:v>重点生态功能区转移支付收入</c:v>
                </c:pt>
                <c:pt idx="6">
                  <c:v>固定数额补助收入</c:v>
                </c:pt>
                <c:pt idx="7">
                  <c:v>革命老区转移支付收入</c:v>
                </c:pt>
                <c:pt idx="8">
                  <c:v>贫困地区转移支付收入（欠发达地区转移支付收入）</c:v>
                </c:pt>
                <c:pt idx="9">
                  <c:v>公共安全共同财政事权转移支付收入</c:v>
                </c:pt>
                <c:pt idx="10">
                  <c:v>教育共同财政事权转移支付收入</c:v>
                </c:pt>
                <c:pt idx="11">
                  <c:v>文化旅游体育与传媒共同财政事权转移支付收入</c:v>
                </c:pt>
                <c:pt idx="12">
                  <c:v>社会保障和就业共同财政事权转移支付收入</c:v>
                </c:pt>
                <c:pt idx="13">
                  <c:v>医疗卫生共同财政事权转移支付收入</c:v>
                </c:pt>
                <c:pt idx="14">
                  <c:v>节能环保共同财政事权转移支付收入</c:v>
                </c:pt>
                <c:pt idx="15">
                  <c:v>农林水共同财政事权转移支付收入</c:v>
                </c:pt>
                <c:pt idx="16">
                  <c:v>交通运输共同财政事权转移支付收入</c:v>
                </c:pt>
                <c:pt idx="17">
                  <c:v>住房保障共同财政事权转移支付收入</c:v>
                </c:pt>
                <c:pt idx="18">
                  <c:v>粮油物资储备共同财政事权转移支付收入</c:v>
                </c:pt>
                <c:pt idx="19">
                  <c:v>灾害防治及应急管理共同财政事权转移支付收入</c:v>
                </c:pt>
                <c:pt idx="20">
                  <c:v>增值税留抵退税转移支付收入</c:v>
                </c:pt>
                <c:pt idx="21">
                  <c:v>其他退税减税降费转移支付收入</c:v>
                </c:pt>
                <c:pt idx="22">
                  <c:v>补充县区财力转移支付收入</c:v>
                </c:pt>
                <c:pt idx="23">
                  <c:v>其他一般性转移支付收入</c:v>
                </c:pt>
              </c:strCache>
            </c:strRef>
          </c:cat>
          <c:val>
            <c:numRef>
              <c:f>Sheet1!$B$2:$B$25</c:f>
              <c:numCache>
                <c:formatCode>#,##0</c:formatCode>
                <c:ptCount val="24"/>
                <c:pt idx="0">
                  <c:v>81344</c:v>
                </c:pt>
                <c:pt idx="1">
                  <c:v>27056</c:v>
                </c:pt>
                <c:pt idx="2">
                  <c:v>3891</c:v>
                </c:pt>
                <c:pt idx="3" c:formatCode="General">
                  <c:v>89</c:v>
                </c:pt>
                <c:pt idx="4">
                  <c:v>4733</c:v>
                </c:pt>
                <c:pt idx="5">
                  <c:v>3497</c:v>
                </c:pt>
                <c:pt idx="6">
                  <c:v>21239</c:v>
                </c:pt>
                <c:pt idx="7">
                  <c:v>2056</c:v>
                </c:pt>
                <c:pt idx="8">
                  <c:v>5005</c:v>
                </c:pt>
                <c:pt idx="9">
                  <c:v>1060</c:v>
                </c:pt>
                <c:pt idx="10">
                  <c:v>16377</c:v>
                </c:pt>
                <c:pt idx="11" c:formatCode="General">
                  <c:v>575</c:v>
                </c:pt>
                <c:pt idx="12">
                  <c:v>29446</c:v>
                </c:pt>
                <c:pt idx="13">
                  <c:v>43032</c:v>
                </c:pt>
                <c:pt idx="14">
                  <c:v>0</c:v>
                </c:pt>
                <c:pt idx="15">
                  <c:v>40024</c:v>
                </c:pt>
                <c:pt idx="16">
                  <c:v>3456</c:v>
                </c:pt>
                <c:pt idx="17">
                  <c:v>3503</c:v>
                </c:pt>
                <c:pt idx="18">
                  <c:v>246</c:v>
                </c:pt>
                <c:pt idx="19" c:formatCode="General">
                  <c:v>339</c:v>
                </c:pt>
                <c:pt idx="20">
                  <c:v>2160</c:v>
                </c:pt>
                <c:pt idx="21">
                  <c:v>1372</c:v>
                </c:pt>
                <c:pt idx="22" c:formatCode="General">
                  <c:v>15407</c:v>
                </c:pt>
                <c:pt idx="23">
                  <c:v>2899</c:v>
                </c:pt>
              </c:numCache>
            </c:numRef>
          </c:val>
        </c:ser>
        <c:ser>
          <c:idx val="1"/>
          <c:order val="1"/>
          <c:tx>
            <c:strRef>
              <c:f>Sheet1!$C$1</c:f>
              <c:strCache>
                <c:ptCount val="1"/>
                <c:pt idx="0">
                  <c:v>2021年</c:v>
                </c:pt>
              </c:strCache>
            </c:strRef>
          </c:tx>
          <c:spPr>
            <a:solidFill>
              <a:schemeClr val="accent2"/>
            </a:solidFill>
            <a:ln>
              <a:noFill/>
            </a:ln>
            <a:effectLst/>
          </c:spPr>
          <c:invertIfNegative val="0"/>
          <c:dLbls>
            <c:delete val="1"/>
          </c:dLbls>
          <c:cat>
            <c:strRef>
              <c:f>Sheet1!$A$2:$A$25</c:f>
              <c:strCache>
                <c:ptCount val="24"/>
                <c:pt idx="0">
                  <c:v>均衡性转移支付收入</c:v>
                </c:pt>
                <c:pt idx="1">
                  <c:v>县级基本财力保障机制奖补资金收入</c:v>
                </c:pt>
                <c:pt idx="2">
                  <c:v>结算补助收入</c:v>
                </c:pt>
                <c:pt idx="3">
                  <c:v>企业事业单位划转补助收入</c:v>
                </c:pt>
                <c:pt idx="4">
                  <c:v>产粮(油)大县奖励资金收入</c:v>
                </c:pt>
                <c:pt idx="5">
                  <c:v>重点生态功能区转移支付收入</c:v>
                </c:pt>
                <c:pt idx="6">
                  <c:v>固定数额补助收入</c:v>
                </c:pt>
                <c:pt idx="7">
                  <c:v>革命老区转移支付收入</c:v>
                </c:pt>
                <c:pt idx="8">
                  <c:v>贫困地区转移支付收入（欠发达地区转移支付收入）</c:v>
                </c:pt>
                <c:pt idx="9">
                  <c:v>公共安全共同财政事权转移支付收入</c:v>
                </c:pt>
                <c:pt idx="10">
                  <c:v>教育共同财政事权转移支付收入</c:v>
                </c:pt>
                <c:pt idx="11">
                  <c:v>文化旅游体育与传媒共同财政事权转移支付收入</c:v>
                </c:pt>
                <c:pt idx="12">
                  <c:v>社会保障和就业共同财政事权转移支付收入</c:v>
                </c:pt>
                <c:pt idx="13">
                  <c:v>医疗卫生共同财政事权转移支付收入</c:v>
                </c:pt>
                <c:pt idx="14">
                  <c:v>节能环保共同财政事权转移支付收入</c:v>
                </c:pt>
                <c:pt idx="15">
                  <c:v>农林水共同财政事权转移支付收入</c:v>
                </c:pt>
                <c:pt idx="16">
                  <c:v>交通运输共同财政事权转移支付收入</c:v>
                </c:pt>
                <c:pt idx="17">
                  <c:v>住房保障共同财政事权转移支付收入</c:v>
                </c:pt>
                <c:pt idx="18">
                  <c:v>粮油物资储备共同财政事权转移支付收入</c:v>
                </c:pt>
                <c:pt idx="19">
                  <c:v>灾害防治及应急管理共同财政事权转移支付收入</c:v>
                </c:pt>
                <c:pt idx="20">
                  <c:v>增值税留抵退税转移支付收入</c:v>
                </c:pt>
                <c:pt idx="21">
                  <c:v>其他退税减税降费转移支付收入</c:v>
                </c:pt>
                <c:pt idx="22">
                  <c:v>补充县区财力转移支付收入</c:v>
                </c:pt>
                <c:pt idx="23">
                  <c:v>其他一般性转移支付收入</c:v>
                </c:pt>
              </c:strCache>
            </c:strRef>
          </c:cat>
          <c:val>
            <c:numRef>
              <c:f>Sheet1!$C$2:$C$25</c:f>
              <c:numCache>
                <c:formatCode>#,##0</c:formatCode>
                <c:ptCount val="24"/>
                <c:pt idx="0">
                  <c:v>69797</c:v>
                </c:pt>
                <c:pt idx="1">
                  <c:v>25995</c:v>
                </c:pt>
                <c:pt idx="2">
                  <c:v>3292</c:v>
                </c:pt>
                <c:pt idx="3" c:formatCode="General">
                  <c:v>89</c:v>
                </c:pt>
                <c:pt idx="4">
                  <c:v>4306</c:v>
                </c:pt>
                <c:pt idx="5">
                  <c:v>3446</c:v>
                </c:pt>
                <c:pt idx="6">
                  <c:v>21713</c:v>
                </c:pt>
                <c:pt idx="7">
                  <c:v>1772</c:v>
                </c:pt>
                <c:pt idx="8">
                  <c:v>4072</c:v>
                </c:pt>
                <c:pt idx="9" c:formatCode="General">
                  <c:v>969</c:v>
                </c:pt>
                <c:pt idx="10">
                  <c:v>14120</c:v>
                </c:pt>
                <c:pt idx="11" c:formatCode="General">
                  <c:v>545</c:v>
                </c:pt>
                <c:pt idx="12">
                  <c:v>29449</c:v>
                </c:pt>
                <c:pt idx="13">
                  <c:v>39660</c:v>
                </c:pt>
                <c:pt idx="14">
                  <c:v>1048</c:v>
                </c:pt>
                <c:pt idx="15">
                  <c:v>32629</c:v>
                </c:pt>
                <c:pt idx="16">
                  <c:v>2437</c:v>
                </c:pt>
                <c:pt idx="17">
                  <c:v>4710</c:v>
                </c:pt>
                <c:pt idx="18">
                  <c:v>251</c:v>
                </c:pt>
                <c:pt idx="19" c:formatCode="General">
                  <c:v>115</c:v>
                </c:pt>
                <c:pt idx="20" c:formatCode="General">
                  <c:v>0</c:v>
                </c:pt>
                <c:pt idx="21" c:formatCode="General">
                  <c:v>0</c:v>
                </c:pt>
                <c:pt idx="22" c:formatCode="General">
                  <c:v>0</c:v>
                </c:pt>
                <c:pt idx="23">
                  <c:v>4005</c:v>
                </c:pt>
              </c:numCache>
            </c:numRef>
          </c:val>
        </c:ser>
        <c:dLbls>
          <c:showLegendKey val="0"/>
          <c:showVal val="1"/>
          <c:showCatName val="0"/>
          <c:showSerName val="0"/>
          <c:showPercent val="0"/>
          <c:showBubbleSize val="0"/>
        </c:dLbls>
        <c:gapWidth val="219"/>
        <c:overlap val="-27"/>
        <c:axId val="159211627"/>
        <c:axId val="139959189"/>
      </c:barChart>
      <c:catAx>
        <c:axId val="15921162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9959189"/>
        <c:crosses val="autoZero"/>
        <c:auto val="1"/>
        <c:lblAlgn val="ctr"/>
        <c:lblOffset val="100"/>
        <c:noMultiLvlLbl val="0"/>
      </c:catAx>
      <c:valAx>
        <c:axId val="13995918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921162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t" anchorCtr="0"/>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800">
                <a:latin typeface="楷体" panose="02010609060101010101" charset="-122"/>
                <a:ea typeface="楷体" panose="02010609060101010101" charset="-122"/>
              </a:rPr>
              <a:t>专项转移支付情况（单位：万元）</a:t>
            </a:r>
            <a:endParaRPr sz="1800">
              <a:latin typeface="楷体" panose="02010609060101010101" charset="-122"/>
              <a:ea typeface="楷体" panose="02010609060101010101" charset="-122"/>
            </a:endParaRPr>
          </a:p>
        </c:rich>
      </c:tx>
      <c:layout>
        <c:manualLayout>
          <c:xMode val="edge"/>
          <c:yMode val="edge"/>
          <c:x val="0.230432060112711"/>
          <c:y val="0.0216216216216216"/>
        </c:manualLayout>
      </c:layout>
      <c:overlay val="0"/>
      <c:spPr>
        <a:noFill/>
        <a:ln>
          <a:noFill/>
        </a:ln>
        <a:effectLst/>
      </c:spPr>
    </c:title>
    <c:autoTitleDeleted val="0"/>
    <c:plotArea>
      <c:layout>
        <c:manualLayout>
          <c:layoutTarget val="inner"/>
          <c:xMode val="edge"/>
          <c:yMode val="edge"/>
          <c:x val="0.0887936247986342"/>
          <c:y val="0.122048364153627"/>
          <c:w val="0.889916456603996"/>
          <c:h val="0.586685633001422"/>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Sheet1!$A$2:$A$21</c:f>
              <c:strCache>
                <c:ptCount val="20"/>
                <c:pt idx="0">
                  <c:v>一般公共服务</c:v>
                </c:pt>
                <c:pt idx="1">
                  <c:v>外交</c:v>
                </c:pt>
                <c:pt idx="2">
                  <c:v>国防</c:v>
                </c:pt>
                <c:pt idx="3">
                  <c:v>公共安全</c:v>
                </c:pt>
                <c:pt idx="4">
                  <c:v>教育</c:v>
                </c:pt>
                <c:pt idx="5">
                  <c:v>科学技术</c:v>
                </c:pt>
                <c:pt idx="6">
                  <c:v>文化旅游体育与传媒</c:v>
                </c:pt>
                <c:pt idx="7">
                  <c:v>社会保障和就业</c:v>
                </c:pt>
                <c:pt idx="8">
                  <c:v>卫生健康</c:v>
                </c:pt>
                <c:pt idx="9">
                  <c:v>节能环保</c:v>
                </c:pt>
                <c:pt idx="10">
                  <c:v>城乡社区</c:v>
                </c:pt>
                <c:pt idx="11">
                  <c:v>农林水</c:v>
                </c:pt>
                <c:pt idx="12">
                  <c:v>交通运输</c:v>
                </c:pt>
                <c:pt idx="13">
                  <c:v>资源勘探信息等</c:v>
                </c:pt>
                <c:pt idx="14">
                  <c:v>商业服务业等</c:v>
                </c:pt>
                <c:pt idx="15">
                  <c:v>金融</c:v>
                </c:pt>
                <c:pt idx="16">
                  <c:v>自然资源海洋气象等</c:v>
                </c:pt>
                <c:pt idx="17">
                  <c:v>住房保障</c:v>
                </c:pt>
                <c:pt idx="18">
                  <c:v>粮油物资储备</c:v>
                </c:pt>
                <c:pt idx="19">
                  <c:v>灾害防治及应急管理</c:v>
                </c:pt>
              </c:strCache>
            </c:strRef>
          </c:cat>
          <c:val>
            <c:numRef>
              <c:f>Sheet1!$B$2:$B$21</c:f>
              <c:numCache>
                <c:formatCode>#,##0</c:formatCode>
                <c:ptCount val="20"/>
                <c:pt idx="0">
                  <c:v>1037</c:v>
                </c:pt>
                <c:pt idx="1" c:formatCode="General">
                  <c:v>0</c:v>
                </c:pt>
                <c:pt idx="2" c:formatCode="General">
                  <c:v>100</c:v>
                </c:pt>
                <c:pt idx="3" c:formatCode="General">
                  <c:v>79</c:v>
                </c:pt>
                <c:pt idx="4" c:formatCode="General">
                  <c:v>443</c:v>
                </c:pt>
                <c:pt idx="5" c:formatCode="General">
                  <c:v>354</c:v>
                </c:pt>
                <c:pt idx="6" c:formatCode="General">
                  <c:v>314</c:v>
                </c:pt>
                <c:pt idx="7">
                  <c:v>1367</c:v>
                </c:pt>
                <c:pt idx="8">
                  <c:v>1516</c:v>
                </c:pt>
                <c:pt idx="9">
                  <c:v>5637</c:v>
                </c:pt>
                <c:pt idx="10">
                  <c:v>1383</c:v>
                </c:pt>
                <c:pt idx="11">
                  <c:v>32199</c:v>
                </c:pt>
                <c:pt idx="12">
                  <c:v>4891</c:v>
                </c:pt>
                <c:pt idx="13">
                  <c:v>1196</c:v>
                </c:pt>
                <c:pt idx="14">
                  <c:v>1322</c:v>
                </c:pt>
                <c:pt idx="15" c:formatCode="General">
                  <c:v>74</c:v>
                </c:pt>
                <c:pt idx="16">
                  <c:v>1969</c:v>
                </c:pt>
                <c:pt idx="17">
                  <c:v>4023</c:v>
                </c:pt>
                <c:pt idx="18" c:formatCode="General">
                  <c:v>971</c:v>
                </c:pt>
                <c:pt idx="19" c:formatCode="General">
                  <c:v>283</c:v>
                </c:pt>
              </c:numCache>
            </c:numRef>
          </c:val>
        </c:ser>
        <c:ser>
          <c:idx val="1"/>
          <c:order val="1"/>
          <c:tx>
            <c:strRef>
              <c:f>Sheet1!$C$1</c:f>
              <c:strCache>
                <c:ptCount val="1"/>
                <c:pt idx="0">
                  <c:v>2021年</c:v>
                </c:pt>
              </c:strCache>
            </c:strRef>
          </c:tx>
          <c:spPr>
            <a:solidFill>
              <a:schemeClr val="accent2"/>
            </a:solidFill>
            <a:ln>
              <a:noFill/>
            </a:ln>
            <a:effectLst/>
          </c:spPr>
          <c:invertIfNegative val="0"/>
          <c:dLbls>
            <c:delete val="1"/>
          </c:dLbls>
          <c:cat>
            <c:strRef>
              <c:f>Sheet1!$A$2:$A$21</c:f>
              <c:strCache>
                <c:ptCount val="20"/>
                <c:pt idx="0">
                  <c:v>一般公共服务</c:v>
                </c:pt>
                <c:pt idx="1">
                  <c:v>外交</c:v>
                </c:pt>
                <c:pt idx="2">
                  <c:v>国防</c:v>
                </c:pt>
                <c:pt idx="3">
                  <c:v>公共安全</c:v>
                </c:pt>
                <c:pt idx="4">
                  <c:v>教育</c:v>
                </c:pt>
                <c:pt idx="5">
                  <c:v>科学技术</c:v>
                </c:pt>
                <c:pt idx="6">
                  <c:v>文化旅游体育与传媒</c:v>
                </c:pt>
                <c:pt idx="7">
                  <c:v>社会保障和就业</c:v>
                </c:pt>
                <c:pt idx="8">
                  <c:v>卫生健康</c:v>
                </c:pt>
                <c:pt idx="9">
                  <c:v>节能环保</c:v>
                </c:pt>
                <c:pt idx="10">
                  <c:v>城乡社区</c:v>
                </c:pt>
                <c:pt idx="11">
                  <c:v>农林水</c:v>
                </c:pt>
                <c:pt idx="12">
                  <c:v>交通运输</c:v>
                </c:pt>
                <c:pt idx="13">
                  <c:v>资源勘探信息等</c:v>
                </c:pt>
                <c:pt idx="14">
                  <c:v>商业服务业等</c:v>
                </c:pt>
                <c:pt idx="15">
                  <c:v>金融</c:v>
                </c:pt>
                <c:pt idx="16">
                  <c:v>自然资源海洋气象等</c:v>
                </c:pt>
                <c:pt idx="17">
                  <c:v>住房保障</c:v>
                </c:pt>
                <c:pt idx="18">
                  <c:v>粮油物资储备</c:v>
                </c:pt>
                <c:pt idx="19">
                  <c:v>灾害防治及应急管理</c:v>
                </c:pt>
              </c:strCache>
            </c:strRef>
          </c:cat>
          <c:val>
            <c:numRef>
              <c:f>Sheet1!$C$2:$C$21</c:f>
              <c:numCache>
                <c:formatCode>#,##0</c:formatCode>
                <c:ptCount val="20"/>
                <c:pt idx="0">
                  <c:v>3799</c:v>
                </c:pt>
                <c:pt idx="1" c:formatCode="General">
                  <c:v>0</c:v>
                </c:pt>
                <c:pt idx="2" c:formatCode="General">
                  <c:v>111</c:v>
                </c:pt>
                <c:pt idx="3" c:formatCode="General">
                  <c:v>135</c:v>
                </c:pt>
                <c:pt idx="4" c:formatCode="General">
                  <c:v>446</c:v>
                </c:pt>
                <c:pt idx="5" c:formatCode="General">
                  <c:v>687</c:v>
                </c:pt>
                <c:pt idx="6" c:formatCode="General">
                  <c:v>376</c:v>
                </c:pt>
                <c:pt idx="7" c:formatCode="General">
                  <c:v>926</c:v>
                </c:pt>
                <c:pt idx="8">
                  <c:v>1125</c:v>
                </c:pt>
                <c:pt idx="9">
                  <c:v>10890</c:v>
                </c:pt>
                <c:pt idx="10">
                  <c:v>1213</c:v>
                </c:pt>
                <c:pt idx="11">
                  <c:v>29609</c:v>
                </c:pt>
                <c:pt idx="12">
                  <c:v>10855</c:v>
                </c:pt>
                <c:pt idx="13">
                  <c:v>1152</c:v>
                </c:pt>
                <c:pt idx="14" c:formatCode="General">
                  <c:v>267</c:v>
                </c:pt>
                <c:pt idx="15" c:formatCode="General">
                  <c:v>90</c:v>
                </c:pt>
                <c:pt idx="16">
                  <c:v>1891</c:v>
                </c:pt>
                <c:pt idx="17">
                  <c:v>3386</c:v>
                </c:pt>
                <c:pt idx="18" c:formatCode="General">
                  <c:v>194</c:v>
                </c:pt>
                <c:pt idx="19" c:formatCode="General">
                  <c:v>173</c:v>
                </c:pt>
              </c:numCache>
            </c:numRef>
          </c:val>
        </c:ser>
        <c:dLbls>
          <c:showLegendKey val="0"/>
          <c:showVal val="1"/>
          <c:showCatName val="0"/>
          <c:showSerName val="0"/>
          <c:showPercent val="0"/>
          <c:showBubbleSize val="0"/>
        </c:dLbls>
        <c:gapWidth val="219"/>
        <c:overlap val="-27"/>
        <c:axId val="585089879"/>
        <c:axId val="961659356"/>
      </c:barChart>
      <c:catAx>
        <c:axId val="58508987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1659356"/>
        <c:crosses val="autoZero"/>
        <c:auto val="1"/>
        <c:lblAlgn val="ctr"/>
        <c:lblOffset val="100"/>
        <c:noMultiLvlLbl val="0"/>
      </c:catAx>
      <c:valAx>
        <c:axId val="9616593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508987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800">
                <a:latin typeface="楷体" panose="02010609060101010101" charset="-122"/>
                <a:ea typeface="楷体" panose="02010609060101010101" charset="-122"/>
              </a:rPr>
              <a:t>政府性基金转移支付情况（单位：万元）</a:t>
            </a:r>
            <a:endParaRPr sz="1800">
              <a:latin typeface="楷体" panose="02010609060101010101" charset="-122"/>
              <a:ea typeface="楷体" panose="02010609060101010101" charset="-122"/>
            </a:endParaRPr>
          </a:p>
        </c:rich>
      </c:tx>
      <c:layout>
        <c:manualLayout>
          <c:xMode val="edge"/>
          <c:yMode val="edge"/>
          <c:x val="0.1655"/>
          <c:y val="0.0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国家电影事业发展专项资金相关收入</c:v>
                </c:pt>
                <c:pt idx="1">
                  <c:v>大中型水库移民后期扶持基金收入</c:v>
                </c:pt>
                <c:pt idx="2">
                  <c:v>城市基础设施配套费相关收入</c:v>
                </c:pt>
                <c:pt idx="3">
                  <c:v>国家重大水利工程建设基金相关收入</c:v>
                </c:pt>
                <c:pt idx="4">
                  <c:v>彩票发行机构和彩票销售机构的业务费用</c:v>
                </c:pt>
                <c:pt idx="5">
                  <c:v>彩票公益金收入</c:v>
                </c:pt>
              </c:strCache>
            </c:strRef>
          </c:cat>
          <c:val>
            <c:numRef>
              <c:f>Sheet1!$B$2:$B$7</c:f>
              <c:numCache>
                <c:formatCode>General</c:formatCode>
                <c:ptCount val="6"/>
                <c:pt idx="0">
                  <c:v>44</c:v>
                </c:pt>
                <c:pt idx="1">
                  <c:v>111</c:v>
                </c:pt>
                <c:pt idx="2">
                  <c:v>0</c:v>
                </c:pt>
                <c:pt idx="3">
                  <c:v>8083</c:v>
                </c:pt>
                <c:pt idx="4">
                  <c:v>28</c:v>
                </c:pt>
                <c:pt idx="5">
                  <c:v>966</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国家电影事业发展专项资金相关收入</c:v>
                </c:pt>
                <c:pt idx="1">
                  <c:v>大中型水库移民后期扶持基金收入</c:v>
                </c:pt>
                <c:pt idx="2">
                  <c:v>城市基础设施配套费相关收入</c:v>
                </c:pt>
                <c:pt idx="3">
                  <c:v>国家重大水利工程建设基金相关收入</c:v>
                </c:pt>
                <c:pt idx="4">
                  <c:v>彩票发行机构和彩票销售机构的业务费用</c:v>
                </c:pt>
                <c:pt idx="5">
                  <c:v>彩票公益金收入</c:v>
                </c:pt>
              </c:strCache>
            </c:strRef>
          </c:cat>
          <c:val>
            <c:numRef>
              <c:f>Sheet1!$C$2:$C$7</c:f>
              <c:numCache>
                <c:formatCode>General</c:formatCode>
                <c:ptCount val="6"/>
                <c:pt idx="0">
                  <c:v>50</c:v>
                </c:pt>
                <c:pt idx="1">
                  <c:v>132</c:v>
                </c:pt>
                <c:pt idx="2">
                  <c:v>13</c:v>
                </c:pt>
                <c:pt idx="3">
                  <c:v>3680</c:v>
                </c:pt>
                <c:pt idx="4">
                  <c:v>28</c:v>
                </c:pt>
                <c:pt idx="5">
                  <c:v>1406</c:v>
                </c:pt>
              </c:numCache>
            </c:numRef>
          </c:val>
        </c:ser>
        <c:dLbls>
          <c:showLegendKey val="0"/>
          <c:showVal val="1"/>
          <c:showCatName val="0"/>
          <c:showSerName val="0"/>
          <c:showPercent val="0"/>
          <c:showBubbleSize val="0"/>
        </c:dLbls>
        <c:gapWidth val="219"/>
        <c:overlap val="-27"/>
        <c:axId val="546231958"/>
        <c:axId val="749593963"/>
      </c:barChart>
      <c:catAx>
        <c:axId val="54623195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9593963"/>
        <c:crosses val="autoZero"/>
        <c:auto val="1"/>
        <c:lblAlgn val="ctr"/>
        <c:lblOffset val="100"/>
        <c:noMultiLvlLbl val="0"/>
      </c:catAx>
      <c:valAx>
        <c:axId val="7495939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623195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atin typeface="华文楷体" panose="02010600040101010101" charset="-122"/>
                <a:ea typeface="华文楷体" panose="02010600040101010101" charset="-122"/>
              </a:rPr>
              <a:t>地方政府债务余额情况</a:t>
            </a:r>
            <a:endParaRPr>
              <a:latin typeface="华文楷体" panose="02010600040101010101" charset="-122"/>
              <a:ea typeface="华文楷体" panose="02010600040101010101" charset="-122"/>
            </a:endParaRPr>
          </a:p>
        </c:rich>
      </c:tx>
      <c:layout>
        <c:manualLayout>
          <c:xMode val="edge"/>
          <c:yMode val="edge"/>
          <c:x val="0.3165"/>
          <c:y val="0.0261666666666667"/>
        </c:manualLayout>
      </c:layout>
      <c:overlay val="0"/>
      <c:spPr>
        <a:noFill/>
        <a:ln>
          <a:noFill/>
        </a:ln>
        <a:effectLst/>
      </c:spPr>
    </c:title>
    <c:autoTitleDeleted val="0"/>
    <c:plotArea>
      <c:layout/>
      <c:pieChart>
        <c:varyColors val="1"/>
        <c:ser>
          <c:idx val="0"/>
          <c:order val="0"/>
          <c:tx>
            <c:strRef>
              <c:f>Sheet1!$B$1</c:f>
              <c:strCache>
                <c:ptCount val="1"/>
                <c:pt idx="0">
                  <c:v>余额占比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一般债务余额</c:v>
                </c:pt>
                <c:pt idx="1">
                  <c:v>专项债务余额</c:v>
                </c:pt>
              </c:strCache>
            </c:strRef>
          </c:cat>
          <c:val>
            <c:numRef>
              <c:f>Sheet1!$B$2:$B$3</c:f>
              <c:numCache>
                <c:formatCode>0.00%</c:formatCode>
                <c:ptCount val="2"/>
                <c:pt idx="0">
                  <c:v>0.6389</c:v>
                </c:pt>
                <c:pt idx="1">
                  <c:v>0.3611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3254</Words>
  <Characters>4019</Characters>
  <Lines>23</Lines>
  <Paragraphs>6</Paragraphs>
  <TotalTime>4</TotalTime>
  <ScaleCrop>false</ScaleCrop>
  <LinksUpToDate>false</LinksUpToDate>
  <CharactersWithSpaces>4059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2022-03-31T07:49:00Z</dcterms:created>
  <dc:creator>Administrator</dc:creator>
  <cp:lastModifiedBy>Administrator</cp:lastModifiedBy>
  <dcterms:modified xsi:type="dcterms:W3CDTF">2023-09-14T00:39:57Z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A33DD80417E24864B70CB21C84327B12_12</vt:lpwstr>
  </property>
</Properties>
</file>