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p>
    <w:p>
      <w:pPr>
        <w:shd w:val="clear" w:color="auto" w:fill="FFFFFF"/>
        <w:spacing w:line="480" w:lineRule="exact"/>
        <w:jc w:val="center"/>
        <w:outlineLvl w:val="0"/>
        <w:rPr>
          <w:rFonts w:ascii="仿宋" w:hAnsi="仿宋" w:eastAsia="仿宋" w:cs="宋体"/>
          <w:b/>
          <w:bCs/>
          <w:color w:val="333333"/>
          <w:kern w:val="36"/>
          <w:sz w:val="36"/>
          <w:szCs w:val="36"/>
        </w:rPr>
      </w:pP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2022年南县公路建设养护中心</w:t>
      </w: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干线公路养护经费</w:t>
      </w: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绩效评价报告</w:t>
      </w:r>
    </w:p>
    <w:p>
      <w:pPr>
        <w:shd w:val="clear" w:color="auto" w:fill="FFFFFF"/>
        <w:spacing w:line="900" w:lineRule="atLeast"/>
        <w:jc w:val="center"/>
        <w:outlineLvl w:val="0"/>
        <w:rPr>
          <w:rFonts w:ascii="仿宋" w:hAnsi="仿宋" w:eastAsia="仿宋" w:cs="宋体"/>
          <w:b/>
          <w:bCs/>
          <w:color w:val="333333"/>
          <w:kern w:val="36"/>
          <w:sz w:val="36"/>
          <w:szCs w:val="36"/>
        </w:rPr>
      </w:pPr>
      <w:r>
        <w:rPr>
          <w:rFonts w:hint="eastAsia" w:ascii="仿宋" w:hAnsi="仿宋" w:eastAsia="仿宋" w:cs="宋体"/>
          <w:b/>
          <w:bCs/>
          <w:color w:val="333333"/>
          <w:kern w:val="36"/>
          <w:sz w:val="36"/>
          <w:szCs w:val="36"/>
        </w:rPr>
        <w:t xml:space="preserve"> </w:t>
      </w:r>
      <w:r>
        <w:rPr>
          <w:rFonts w:hint="eastAsia" w:ascii="仿宋" w:hAnsi="仿宋" w:eastAsia="仿宋" w:cs="宋体"/>
          <w:b/>
          <w:bCs/>
          <w:color w:val="333333"/>
          <w:kern w:val="36"/>
          <w:sz w:val="28"/>
          <w:szCs w:val="28"/>
        </w:rPr>
        <w:t>湘财苑绩评字[2023]1-012号</w:t>
      </w: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52"/>
          <w:szCs w:val="52"/>
        </w:rPr>
      </w:pPr>
    </w:p>
    <w:p>
      <w:pPr>
        <w:tabs>
          <w:tab w:val="left" w:pos="1260"/>
          <w:tab w:val="left" w:pos="6090"/>
        </w:tabs>
        <w:spacing w:line="740" w:lineRule="exact"/>
        <w:jc w:val="center"/>
        <w:rPr>
          <w:rFonts w:ascii="仿宋" w:hAnsi="仿宋" w:eastAsia="仿宋"/>
          <w:b/>
          <w:spacing w:val="24"/>
          <w:sz w:val="32"/>
          <w:szCs w:val="32"/>
        </w:rPr>
      </w:pPr>
      <w:r>
        <w:rPr>
          <w:rFonts w:hint="eastAsia" w:ascii="仿宋" w:hAnsi="仿宋" w:eastAsia="仿宋"/>
          <w:b/>
          <w:spacing w:val="24"/>
          <w:sz w:val="36"/>
          <w:szCs w:val="36"/>
        </w:rPr>
        <w:t>湖南新财苑会计师事务所有限公司</w:t>
      </w:r>
    </w:p>
    <w:p>
      <w:pPr>
        <w:tabs>
          <w:tab w:val="left" w:pos="1260"/>
          <w:tab w:val="left" w:pos="6090"/>
        </w:tabs>
        <w:spacing w:line="740" w:lineRule="exact"/>
        <w:jc w:val="distribute"/>
        <w:rPr>
          <w:rFonts w:ascii="宋体" w:hAnsi="宋体"/>
          <w:b/>
          <w:spacing w:val="24"/>
          <w:sz w:val="48"/>
          <w:szCs w:val="48"/>
        </w:rPr>
      </w:pPr>
    </w:p>
    <w:p>
      <w:pPr>
        <w:tabs>
          <w:tab w:val="left" w:pos="1260"/>
          <w:tab w:val="left" w:pos="6090"/>
        </w:tabs>
        <w:spacing w:line="740" w:lineRule="exact"/>
        <w:jc w:val="distribute"/>
        <w:rPr>
          <w:rFonts w:ascii="宋体" w:hAnsi="宋体"/>
          <w:b/>
          <w:spacing w:val="24"/>
          <w:sz w:val="48"/>
          <w:szCs w:val="48"/>
        </w:rPr>
      </w:pPr>
      <w:r>
        <w:rPr>
          <w:rFonts w:hint="eastAsia" w:ascii="宋体" w:hAnsi="宋体"/>
          <w:b/>
          <w:spacing w:val="24"/>
          <w:sz w:val="48"/>
          <w:szCs w:val="48"/>
        </w:rPr>
        <w:t>湖南新财苑会计师事务所有限公司</w:t>
      </w:r>
    </w:p>
    <w:p>
      <w:pPr>
        <w:jc w:val="distribute"/>
        <w:rPr>
          <w:rFonts w:ascii="宋体" w:hAnsi="宋体"/>
          <w:spacing w:val="40"/>
          <w:sz w:val="28"/>
          <w:szCs w:val="28"/>
        </w:rPr>
      </w:pPr>
      <w:r>
        <w:rPr>
          <w:rFonts w:hint="eastAsia" w:ascii="宋体" w:hAnsi="宋体"/>
          <w:spacing w:val="9"/>
          <w:w w:val="83"/>
          <w:kern w:val="0"/>
          <w:sz w:val="28"/>
          <w:szCs w:val="28"/>
        </w:rPr>
        <w:t>HUNAN   XINCAIYUAN   PUBLIC   ACCOUNTANTS   CO.   LTD</w:t>
      </w:r>
      <w:r>
        <w:rPr>
          <w:rFonts w:hint="eastAsia" w:ascii="宋体" w:hAnsi="宋体"/>
          <w:spacing w:val="-11"/>
          <w:w w:val="83"/>
          <w:kern w:val="0"/>
          <w:sz w:val="28"/>
          <w:szCs w:val="28"/>
        </w:rPr>
        <w:t>.</w:t>
      </w:r>
    </w:p>
    <w:p>
      <w:pPr>
        <w:jc w:val="distribute"/>
        <w:rPr>
          <w:rFonts w:ascii="宋体" w:hAnsi="宋体"/>
          <w:szCs w:val="21"/>
          <w:u w:val="single"/>
        </w:rPr>
      </w:pPr>
      <w:r>
        <w:rPr>
          <w:rFonts w:hint="eastAsia" w:ascii="宋体" w:hAnsi="宋体"/>
          <w:szCs w:val="21"/>
          <w:u w:val="single"/>
        </w:rPr>
        <w:t>地址:长沙市芙蓉区马王堆街道紫微路号华泰大厦20层 邮编410011 电话：0731-84885348</w:t>
      </w:r>
    </w:p>
    <w:p>
      <w:pPr>
        <w:shd w:val="clear" w:color="auto" w:fill="FFFFFF"/>
        <w:spacing w:line="360" w:lineRule="auto"/>
        <w:jc w:val="center"/>
        <w:outlineLvl w:val="0"/>
        <w:rPr>
          <w:rFonts w:ascii="仿宋" w:hAnsi="仿宋" w:eastAsia="仿宋"/>
          <w:b/>
          <w:sz w:val="10"/>
          <w:szCs w:val="10"/>
        </w:rPr>
      </w:pPr>
    </w:p>
    <w:p>
      <w:pPr>
        <w:shd w:val="clear" w:color="auto" w:fill="FFFFFF"/>
        <w:spacing w:line="360" w:lineRule="auto"/>
        <w:jc w:val="center"/>
        <w:outlineLvl w:val="0"/>
        <w:rPr>
          <w:rFonts w:ascii="仿宋" w:hAnsi="仿宋" w:eastAsia="仿宋" w:cs="仿宋"/>
          <w:spacing w:val="24"/>
          <w:sz w:val="28"/>
          <w:szCs w:val="28"/>
        </w:rPr>
      </w:pPr>
      <w:r>
        <w:rPr>
          <w:rFonts w:hint="eastAsia" w:ascii="仿宋" w:hAnsi="仿宋" w:eastAsia="仿宋"/>
          <w:b/>
          <w:sz w:val="32"/>
          <w:szCs w:val="32"/>
        </w:rPr>
        <w:t xml:space="preserve"> 2022年南县公路建设养护中心                        </w:t>
      </w:r>
      <w:r>
        <w:rPr>
          <w:rFonts w:hint="eastAsia" w:ascii="仿宋" w:hAnsi="仿宋" w:eastAsia="仿宋" w:cs="宋体"/>
          <w:b/>
          <w:bCs/>
          <w:color w:val="333333"/>
          <w:kern w:val="36"/>
          <w:sz w:val="32"/>
          <w:szCs w:val="32"/>
        </w:rPr>
        <w:t>干线公路养护经费</w:t>
      </w:r>
      <w:r>
        <w:rPr>
          <w:rFonts w:hint="eastAsia" w:ascii="仿宋" w:hAnsi="仿宋" w:eastAsia="仿宋"/>
          <w:b/>
          <w:sz w:val="32"/>
          <w:szCs w:val="32"/>
        </w:rPr>
        <w:t>绩效评价报告</w:t>
      </w:r>
    </w:p>
    <w:p>
      <w:pPr>
        <w:spacing w:line="360" w:lineRule="auto"/>
        <w:ind w:firstLine="2624" w:firstLineChars="800"/>
        <w:rPr>
          <w:rFonts w:ascii="仿宋" w:hAnsi="仿宋" w:eastAsia="仿宋" w:cs="仿宋"/>
          <w:spacing w:val="24"/>
          <w:sz w:val="28"/>
          <w:szCs w:val="28"/>
        </w:rPr>
      </w:pPr>
      <w:r>
        <w:rPr>
          <w:rFonts w:hint="eastAsia" w:ascii="仿宋" w:hAnsi="仿宋" w:eastAsia="仿宋" w:cs="仿宋"/>
          <w:spacing w:val="24"/>
          <w:sz w:val="28"/>
          <w:szCs w:val="28"/>
        </w:rPr>
        <w:t>湘财苑绩评字[2023]1-012号</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为进一步规范财政资金管理，强化财政资金支出绩效理念，切实提高财政资金使用效益，根据《中共中央国务院关于全面实施预算绩效管理的意见》（中发〔2018〕34号）、《中共湖南省委办公厅 湖南省人民政府办公厅关于全面实施绩效管理的实施意见》（湘办发〔2019〕10号）、《湖南省财政厅关于印发</w:t>
      </w:r>
      <w:r>
        <w:rPr>
          <w:rFonts w:hint="eastAsia" w:ascii="仿宋" w:hAnsi="仿宋" w:eastAsia="仿宋" w:cs="仿宋"/>
          <w:sz w:val="28"/>
          <w:szCs w:val="28"/>
          <w:lang w:eastAsia="zh-CN"/>
        </w:rPr>
        <w:t>〈</w:t>
      </w:r>
      <w:r>
        <w:rPr>
          <w:rFonts w:hint="eastAsia" w:ascii="仿宋" w:hAnsi="仿宋" w:eastAsia="仿宋" w:cs="仿宋"/>
          <w:sz w:val="28"/>
          <w:szCs w:val="28"/>
        </w:rPr>
        <w:t>湖南省预算支出绩效评价管理办法</w:t>
      </w:r>
      <w:r>
        <w:rPr>
          <w:rFonts w:hint="eastAsia" w:ascii="仿宋" w:hAnsi="仿宋" w:eastAsia="仿宋" w:cs="仿宋"/>
          <w:sz w:val="28"/>
          <w:szCs w:val="28"/>
          <w:lang w:eastAsia="zh-CN"/>
        </w:rPr>
        <w:t>〉</w:t>
      </w:r>
      <w:r>
        <w:rPr>
          <w:rFonts w:hint="eastAsia" w:ascii="仿宋" w:hAnsi="仿宋" w:eastAsia="仿宋" w:cs="仿宋"/>
          <w:sz w:val="28"/>
          <w:szCs w:val="28"/>
        </w:rPr>
        <w:t>的通知》（湘财绩〔2020〕7号）及《南县财政局关于对2022年度部分专项资金开展重点绩效评价工作的通知》（南财绩函〔2023〕29号）等文件要求，受南县财政局的委托，我所成立专项资金绩效评价工作组，于2023年7月至8月对2022年南县公路建设养护中心干线公路养护经费项目（以下简称项目资金）开展了绩效评价。现将有关情况报告如下：</w:t>
      </w:r>
    </w:p>
    <w:p>
      <w:pPr>
        <w:pStyle w:val="14"/>
        <w:spacing w:line="360" w:lineRule="auto"/>
        <w:ind w:firstLine="703" w:firstLineChars="250"/>
        <w:rPr>
          <w:rFonts w:ascii="仿宋" w:hAnsi="仿宋" w:eastAsia="仿宋" w:cs="仿宋"/>
          <w:b/>
          <w:sz w:val="28"/>
          <w:szCs w:val="28"/>
        </w:rPr>
      </w:pPr>
      <w:r>
        <w:rPr>
          <w:rFonts w:hint="eastAsia" w:ascii="仿宋" w:hAnsi="仿宋" w:eastAsia="仿宋" w:cs="仿宋"/>
          <w:b/>
          <w:sz w:val="28"/>
          <w:szCs w:val="28"/>
        </w:rPr>
        <w:t>一、基本情况</w:t>
      </w:r>
    </w:p>
    <w:p>
      <w:pPr>
        <w:pStyle w:val="8"/>
        <w:shd w:val="clear" w:color="auto" w:fill="FFFFFF"/>
        <w:spacing w:before="0" w:beforeAutospacing="0" w:after="0" w:afterAutospacing="0" w:line="360" w:lineRule="auto"/>
        <w:ind w:firstLine="482"/>
        <w:rPr>
          <w:rFonts w:ascii="仿宋" w:hAnsi="仿宋" w:eastAsia="仿宋" w:cs="仿宋"/>
          <w:sz w:val="28"/>
          <w:szCs w:val="28"/>
        </w:rPr>
      </w:pPr>
      <w:r>
        <w:rPr>
          <w:rFonts w:hint="eastAsia" w:ascii="仿宋" w:hAnsi="仿宋" w:eastAsia="仿宋" w:cs="仿宋"/>
          <w:sz w:val="28"/>
          <w:szCs w:val="28"/>
        </w:rPr>
        <w:t>（一）项目单位基本情况</w:t>
      </w:r>
    </w:p>
    <w:p>
      <w:pPr>
        <w:pStyle w:val="8"/>
        <w:shd w:val="clear" w:color="auto" w:fill="FFFFFF"/>
        <w:spacing w:before="0" w:beforeAutospacing="0" w:after="0" w:afterAutospacing="0" w:line="360" w:lineRule="auto"/>
        <w:ind w:firstLine="482"/>
        <w:rPr>
          <w:rFonts w:ascii="仿宋" w:hAnsi="仿宋" w:eastAsia="仿宋" w:cs="仿宋"/>
          <w:sz w:val="28"/>
          <w:szCs w:val="28"/>
        </w:rPr>
      </w:pPr>
      <w:r>
        <w:rPr>
          <w:rFonts w:hint="eastAsia" w:ascii="仿宋" w:hAnsi="仿宋" w:eastAsia="仿宋" w:cs="仿宋"/>
          <w:sz w:val="28"/>
          <w:szCs w:val="28"/>
        </w:rPr>
        <w:t>南县公路建设养护中心为县交通运输局所属正科级公益一类事业单位。主要职责是贯彻执行上级有关公路交通管理的</w:t>
      </w:r>
      <w:r>
        <w:rPr>
          <w:rFonts w:hint="eastAsia" w:ascii="仿宋" w:hAnsi="仿宋" w:eastAsia="仿宋" w:cs="仿宋"/>
          <w:sz w:val="28"/>
          <w:szCs w:val="28"/>
          <w:lang w:eastAsia="zh-CN"/>
        </w:rPr>
        <w:t>法律法规</w:t>
      </w:r>
      <w:r>
        <w:rPr>
          <w:rFonts w:hint="eastAsia" w:ascii="仿宋" w:hAnsi="仿宋" w:eastAsia="仿宋" w:cs="仿宋"/>
          <w:sz w:val="28"/>
          <w:szCs w:val="28"/>
        </w:rPr>
        <w:t>、政策，参与编制全县公路发展战略、规划和管理办法并组织实施；参与编制全县公路建设、养护计划；具体组织实施国省干线公路及县道的日常养护、危桥改造、安保工程、水毁处置、应急抢险</w:t>
      </w:r>
      <w:r>
        <w:rPr>
          <w:rFonts w:hint="eastAsia" w:ascii="仿宋" w:hAnsi="仿宋" w:eastAsia="仿宋" w:cs="仿宋"/>
          <w:sz w:val="28"/>
          <w:szCs w:val="28"/>
          <w:lang w:eastAsia="zh-CN"/>
        </w:rPr>
        <w:t>物资储备</w:t>
      </w:r>
      <w:r>
        <w:rPr>
          <w:rFonts w:hint="eastAsia" w:ascii="仿宋" w:hAnsi="仿宋" w:eastAsia="仿宋" w:cs="仿宋"/>
          <w:sz w:val="28"/>
          <w:szCs w:val="28"/>
        </w:rPr>
        <w:t>等工作；负责县交通运输局委托的计划内农村公路建设养护工作，指导乡镇对乡、村级公路的管理和养护、应急抢险等职责。内设办公室、财务审计股、法制安全股、公路应急股、公路建设股、公路养护股等14个机构。现有人员125人，其中在职人员93人，退休人员32人。</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（二）项目基本情况</w:t>
      </w:r>
    </w:p>
    <w:p>
      <w:pPr>
        <w:pStyle w:val="8"/>
        <w:shd w:val="clear" w:color="auto" w:fill="FFFFFF"/>
        <w:spacing w:before="0" w:beforeAutospacing="0" w:after="0" w:afterAutospacing="0" w:line="360" w:lineRule="auto"/>
        <w:ind w:firstLine="482"/>
        <w:rPr>
          <w:rFonts w:ascii="仿宋" w:hAnsi="仿宋" w:eastAsia="仿宋" w:cs="仿宋"/>
          <w:sz w:val="28"/>
          <w:szCs w:val="28"/>
        </w:rPr>
      </w:pPr>
      <w:r>
        <w:rPr>
          <w:rFonts w:hint="eastAsia" w:ascii="仿宋" w:hAnsi="仿宋" w:eastAsia="仿宋" w:cs="仿宋"/>
          <w:sz w:val="28"/>
          <w:szCs w:val="28"/>
        </w:rPr>
        <w:t xml:space="preserve"> 为提升管养能力，建立公路管养和完善长效机制，提供畅、洁、美、绿的农村公路环境，更好的提供路面行驶条件，确保公路无重大因路面技术状况而致使交通中断瘫痪的情况。根据国务院办公厅《国务院办公厅关于深化农村公路管理养护体制改革意见》国办发</w:t>
      </w:r>
      <w:r>
        <w:rPr>
          <w:rFonts w:hint="eastAsia" w:ascii="仿宋" w:hAnsi="仿宋" w:eastAsia="仿宋" w:cs="仿宋"/>
          <w:sz w:val="28"/>
          <w:szCs w:val="28"/>
          <w:lang w:eastAsia="zh-CN"/>
        </w:rPr>
        <w:t>〔</w:t>
      </w:r>
      <w:r>
        <w:rPr>
          <w:rFonts w:hint="eastAsia" w:ascii="仿宋" w:hAnsi="仿宋" w:eastAsia="仿宋" w:cs="仿宋"/>
          <w:sz w:val="28"/>
          <w:szCs w:val="28"/>
        </w:rPr>
        <w:t>2019</w:t>
      </w:r>
      <w:r>
        <w:rPr>
          <w:rFonts w:hint="eastAsia" w:ascii="仿宋" w:hAnsi="仿宋" w:eastAsia="仿宋" w:cs="仿宋"/>
          <w:sz w:val="28"/>
          <w:szCs w:val="28"/>
          <w:lang w:eastAsia="zh-CN"/>
        </w:rPr>
        <w:t>〕</w:t>
      </w:r>
      <w:r>
        <w:rPr>
          <w:rFonts w:hint="eastAsia" w:ascii="仿宋" w:hAnsi="仿宋" w:eastAsia="仿宋" w:cs="仿宋"/>
          <w:sz w:val="28"/>
          <w:szCs w:val="28"/>
        </w:rPr>
        <w:t>45号文及湖南省人民政府办公厅关于印发《湖南省深化农村公路管理养护体制改革实施方案》的文件要求，专项资金主要用于本辖区内管养的211公里干线公路的日常养护和管理，主要用于G234、G353、S217、S218、S313、S307等六条国省道的路面小修挖补坑槽、预防性养护、日常养护及抗冻保畅等。该项目于2022年1月1日开工建设，2022年12月31日完工。</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（三）项目绩效目标完成情况</w:t>
      </w:r>
    </w:p>
    <w:p>
      <w:pPr>
        <w:pStyle w:val="2"/>
        <w:ind w:firstLine="560" w:firstLineChars="200"/>
        <w:rPr>
          <w:rFonts w:ascii="仿宋" w:hAnsi="仿宋" w:eastAsia="仿宋" w:cs="仿宋"/>
          <w:sz w:val="28"/>
          <w:szCs w:val="28"/>
        </w:rPr>
      </w:pPr>
      <w:r>
        <w:rPr>
          <w:rFonts w:hint="eastAsia" w:ascii="仿宋" w:hAnsi="仿宋" w:eastAsia="仿宋" w:cs="仿宋"/>
          <w:sz w:val="28"/>
          <w:szCs w:val="28"/>
        </w:rPr>
        <w:t>干线公路养护项目实施后，全县农村公路的养护管理得到了加强，小修工程得到及时实施，公路病害及时得到修复。到2022年底，全年日常养护211公里，优良路率达94.23%。通过项目的实施，减少安全隐患，极大</w:t>
      </w:r>
      <w:r>
        <w:rPr>
          <w:rFonts w:hint="eastAsia" w:ascii="仿宋" w:hAnsi="仿宋" w:eastAsia="仿宋" w:cs="仿宋"/>
          <w:sz w:val="28"/>
          <w:szCs w:val="28"/>
          <w:lang w:eastAsia="zh-CN"/>
        </w:rPr>
        <w:t>地</w:t>
      </w:r>
      <w:r>
        <w:rPr>
          <w:rFonts w:hint="eastAsia" w:ascii="仿宋" w:hAnsi="仿宋" w:eastAsia="仿宋" w:cs="仿宋"/>
          <w:sz w:val="28"/>
          <w:szCs w:val="28"/>
        </w:rPr>
        <w:t>降低了事故发生率，确保人民生命财产安全，提供畅、洁、美、绿的农村公路环境，2022年度全年目标完成。</w:t>
      </w:r>
    </w:p>
    <w:p>
      <w:pPr>
        <w:pStyle w:val="2"/>
        <w:spacing w:line="360" w:lineRule="auto"/>
        <w:ind w:firstLine="843" w:firstLineChars="300"/>
        <w:rPr>
          <w:rFonts w:ascii="仿宋" w:hAnsi="仿宋" w:eastAsia="仿宋" w:cs="仿宋"/>
          <w:sz w:val="28"/>
          <w:szCs w:val="28"/>
        </w:rPr>
      </w:pPr>
      <w:r>
        <w:rPr>
          <w:rFonts w:hint="eastAsia" w:ascii="仿宋" w:hAnsi="仿宋" w:eastAsia="仿宋" w:cs="仿宋"/>
          <w:b/>
          <w:bCs/>
          <w:sz w:val="28"/>
          <w:szCs w:val="28"/>
        </w:rPr>
        <w:t>二、项目资金管理情况</w:t>
      </w:r>
    </w:p>
    <w:p>
      <w:pPr>
        <w:pStyle w:val="2"/>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（一)项目资金到位情况。</w:t>
      </w:r>
      <w:r>
        <w:rPr>
          <w:rFonts w:hint="eastAsia" w:ascii="仿宋" w:hAnsi="仿宋" w:eastAsia="仿宋" w:cs="仿宋"/>
          <w:kern w:val="0"/>
          <w:sz w:val="28"/>
          <w:szCs w:val="28"/>
        </w:rPr>
        <w:t>2022年度“</w:t>
      </w:r>
      <w:r>
        <w:rPr>
          <w:rFonts w:hint="eastAsia" w:ascii="仿宋" w:hAnsi="仿宋" w:eastAsia="仿宋" w:cs="仿宋"/>
          <w:sz w:val="28"/>
          <w:szCs w:val="28"/>
        </w:rPr>
        <w:t>干线公路养护经费</w:t>
      </w:r>
      <w:r>
        <w:rPr>
          <w:rFonts w:hint="eastAsia" w:ascii="仿宋" w:hAnsi="仿宋" w:eastAsia="仿宋" w:cs="仿宋"/>
          <w:kern w:val="0"/>
          <w:sz w:val="28"/>
          <w:szCs w:val="28"/>
        </w:rPr>
        <w:t>”项目</w:t>
      </w:r>
      <w:r>
        <w:rPr>
          <w:rFonts w:hint="eastAsia" w:ascii="仿宋" w:hAnsi="仿宋" w:eastAsia="仿宋" w:cs="仿宋"/>
          <w:sz w:val="28"/>
          <w:szCs w:val="28"/>
        </w:rPr>
        <w:t>县级财政预算安排项目资金200万元，县财政实际拨款资金200万元，资金到位率100%。</w:t>
      </w:r>
    </w:p>
    <w:p>
      <w:pPr>
        <w:pStyle w:val="7"/>
        <w:ind w:firstLine="560" w:firstLineChars="200"/>
      </w:pPr>
      <w:r>
        <w:rPr>
          <w:rFonts w:hint="eastAsia" w:ascii="仿宋" w:hAnsi="仿宋" w:eastAsia="仿宋" w:cs="仿宋"/>
          <w:sz w:val="28"/>
          <w:szCs w:val="28"/>
        </w:rPr>
        <w:t>（二）项目资金使用情况。截止现场评价日2023年7月12日，2</w:t>
      </w:r>
      <w:r>
        <w:rPr>
          <w:rFonts w:hint="eastAsia" w:ascii="仿宋" w:hAnsi="仿宋" w:eastAsia="仿宋" w:cs="仿宋"/>
          <w:kern w:val="0"/>
          <w:sz w:val="28"/>
          <w:szCs w:val="28"/>
        </w:rPr>
        <w:t>022年度“</w:t>
      </w:r>
      <w:r>
        <w:rPr>
          <w:rFonts w:hint="eastAsia" w:ascii="仿宋" w:hAnsi="仿宋" w:eastAsia="仿宋" w:cs="仿宋"/>
          <w:sz w:val="28"/>
          <w:szCs w:val="28"/>
        </w:rPr>
        <w:t>农村公路养护经费</w:t>
      </w:r>
      <w:r>
        <w:rPr>
          <w:rFonts w:hint="eastAsia" w:ascii="仿宋" w:hAnsi="仿宋" w:eastAsia="仿宋" w:cs="仿宋"/>
          <w:kern w:val="0"/>
          <w:sz w:val="28"/>
          <w:szCs w:val="28"/>
        </w:rPr>
        <w:t>”</w:t>
      </w:r>
      <w:r>
        <w:rPr>
          <w:rFonts w:hint="eastAsia" w:ascii="仿宋" w:hAnsi="仿宋" w:eastAsia="仿宋" w:cs="仿宋"/>
          <w:sz w:val="28"/>
          <w:szCs w:val="28"/>
        </w:rPr>
        <w:t>项目实际使用200.0364万元，无结余，预算执行率100.02%。资金明细情况如下：</w:t>
      </w:r>
    </w:p>
    <w:tbl>
      <w:tblPr>
        <w:tblStyle w:val="10"/>
        <w:tblpPr w:leftFromText="180" w:rightFromText="180" w:vertAnchor="text" w:horzAnchor="page" w:tblpX="1861" w:tblpY="326"/>
        <w:tblOverlap w:val="never"/>
        <w:tblW w:w="8290" w:type="dxa"/>
        <w:tblInd w:w="0" w:type="dxa"/>
        <w:tblLayout w:type="fixed"/>
        <w:tblCellMar>
          <w:top w:w="0" w:type="dxa"/>
          <w:left w:w="108" w:type="dxa"/>
          <w:bottom w:w="0" w:type="dxa"/>
          <w:right w:w="108" w:type="dxa"/>
        </w:tblCellMar>
      </w:tblPr>
      <w:tblGrid>
        <w:gridCol w:w="729"/>
        <w:gridCol w:w="1134"/>
        <w:gridCol w:w="2194"/>
        <w:gridCol w:w="1479"/>
        <w:gridCol w:w="1330"/>
        <w:gridCol w:w="1424"/>
      </w:tblGrid>
      <w:tr>
        <w:tblPrEx>
          <w:tblCellMar>
            <w:top w:w="0" w:type="dxa"/>
            <w:left w:w="108" w:type="dxa"/>
            <w:bottom w:w="0" w:type="dxa"/>
            <w:right w:w="108" w:type="dxa"/>
          </w:tblCellMar>
        </w:tblPrEx>
        <w:trPr>
          <w:trHeight w:val="949"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年初预算（万元）</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本年开支项目</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本年支出金额（万元）</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占支出资金比例</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预算执行率%</w:t>
            </w: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1</w:t>
            </w:r>
          </w:p>
        </w:tc>
        <w:tc>
          <w:tcPr>
            <w:tcW w:w="1134" w:type="dxa"/>
            <w:vMerge w:val="restart"/>
            <w:tcBorders>
              <w:top w:val="single" w:color="000000" w:sz="4" w:space="0"/>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仿宋" w:hAnsi="仿宋" w:eastAsia="仿宋" w:cs="仿宋"/>
                <w:color w:val="000000"/>
                <w:szCs w:val="21"/>
              </w:rPr>
            </w:pPr>
            <w:r>
              <w:rPr>
                <w:rFonts w:hint="eastAsia" w:ascii="宋体" w:hAnsi="宋体" w:eastAsia="宋体" w:cs="宋体"/>
                <w:color w:val="000000"/>
                <w:sz w:val="18"/>
                <w:szCs w:val="18"/>
              </w:rPr>
              <w:t>抗冻保畅</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9.9795</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4.99%</w:t>
            </w:r>
          </w:p>
        </w:tc>
        <w:tc>
          <w:tcPr>
            <w:tcW w:w="1424" w:type="dxa"/>
            <w:vMerge w:val="restart"/>
            <w:tcBorders>
              <w:top w:val="single" w:color="000000" w:sz="4" w:space="0"/>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100.02%</w:t>
            </w: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113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仿宋" w:hAnsi="仿宋" w:eastAsia="仿宋" w:cs="仿宋"/>
                <w:color w:val="000000"/>
                <w:szCs w:val="21"/>
              </w:rPr>
            </w:pPr>
            <w:r>
              <w:rPr>
                <w:rFonts w:hint="eastAsia" w:ascii="宋体" w:hAnsi="宋体" w:eastAsia="宋体" w:cs="宋体"/>
                <w:color w:val="000000"/>
                <w:sz w:val="18"/>
                <w:szCs w:val="18"/>
              </w:rPr>
              <w:t>养护费</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69.6111</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34.80%</w:t>
            </w:r>
          </w:p>
        </w:tc>
        <w:tc>
          <w:tcPr>
            <w:tcW w:w="142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13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仿宋" w:hAnsi="仿宋" w:eastAsia="仿宋" w:cs="仿宋"/>
                <w:color w:val="000000"/>
                <w:szCs w:val="21"/>
              </w:rPr>
            </w:pPr>
            <w:r>
              <w:rPr>
                <w:rFonts w:hint="eastAsia" w:ascii="宋体" w:hAnsi="宋体" w:eastAsia="宋体" w:cs="宋体"/>
                <w:color w:val="000000"/>
                <w:sz w:val="18"/>
                <w:szCs w:val="18"/>
              </w:rPr>
              <w:t>维修、修补费</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41.4864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20.74%</w:t>
            </w:r>
          </w:p>
        </w:tc>
        <w:tc>
          <w:tcPr>
            <w:tcW w:w="142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113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仿宋" w:hAnsi="仿宋" w:eastAsia="仿宋" w:cs="仿宋"/>
                <w:color w:val="000000"/>
                <w:szCs w:val="21"/>
              </w:rPr>
            </w:pPr>
            <w:r>
              <w:rPr>
                <w:rFonts w:hint="eastAsia" w:ascii="宋体" w:hAnsi="宋体" w:eastAsia="宋体" w:cs="宋体"/>
                <w:color w:val="000000"/>
                <w:kern w:val="0"/>
                <w:sz w:val="18"/>
                <w:szCs w:val="18"/>
              </w:rPr>
              <w:t>五小工程</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7.9334</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3.97%</w:t>
            </w:r>
          </w:p>
        </w:tc>
        <w:tc>
          <w:tcPr>
            <w:tcW w:w="142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13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仿宋" w:hAnsi="仿宋" w:eastAsia="仿宋" w:cs="仿宋"/>
                <w:color w:val="000000"/>
                <w:szCs w:val="21"/>
              </w:rPr>
            </w:pPr>
            <w:r>
              <w:rPr>
                <w:rFonts w:hint="eastAsia" w:ascii="宋体" w:hAnsi="宋体" w:eastAsia="宋体" w:cs="宋体"/>
                <w:color w:val="000000"/>
                <w:sz w:val="18"/>
                <w:szCs w:val="18"/>
              </w:rPr>
              <w:t>除草、冷补料费</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34.873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17.43%</w:t>
            </w:r>
          </w:p>
        </w:tc>
        <w:tc>
          <w:tcPr>
            <w:tcW w:w="1424" w:type="dxa"/>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3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134" w:type="dxa"/>
            <w:vMerge w:val="continue"/>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textAlignment w:val="center"/>
              <w:rPr>
                <w:rFonts w:ascii="宋体" w:hAnsi="宋体" w:eastAsia="宋体" w:cs="宋体"/>
                <w:color w:val="000000"/>
                <w:kern w:val="0"/>
                <w:sz w:val="18"/>
                <w:szCs w:val="18"/>
              </w:rPr>
            </w:pPr>
            <w:r>
              <w:rPr>
                <w:rFonts w:hint="eastAsia" w:ascii="宋体" w:hAnsi="宋体" w:eastAsia="宋体" w:cs="宋体"/>
                <w:color w:val="000000"/>
                <w:sz w:val="18"/>
                <w:szCs w:val="18"/>
              </w:rPr>
              <w:t>G234坑槽补挖费</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36.153</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18.07</w:t>
            </w:r>
          </w:p>
        </w:tc>
        <w:tc>
          <w:tcPr>
            <w:tcW w:w="1424" w:type="dxa"/>
            <w:tcBorders>
              <w:left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646"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200</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仿宋" w:hAnsi="仿宋" w:eastAsia="仿宋" w:cs="仿宋"/>
                <w:color w:val="000000"/>
                <w:szCs w:val="21"/>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ascii="仿宋" w:hAnsi="仿宋" w:eastAsia="仿宋" w:cs="仿宋"/>
                <w:color w:val="000000"/>
                <w:szCs w:val="21"/>
              </w:rPr>
              <w:fldChar w:fldCharType="begin"/>
            </w:r>
            <w:r>
              <w:rPr>
                <w:rFonts w:ascii="仿宋" w:hAnsi="仿宋" w:eastAsia="仿宋" w:cs="仿宋"/>
                <w:color w:val="000000"/>
                <w:szCs w:val="21"/>
              </w:rPr>
              <w:instrText xml:space="preserve"> =SUM(ABOVE) \* MERGEFORMAT </w:instrText>
            </w:r>
            <w:r>
              <w:rPr>
                <w:rFonts w:ascii="仿宋" w:hAnsi="仿宋" w:eastAsia="仿宋" w:cs="仿宋"/>
                <w:color w:val="000000"/>
                <w:szCs w:val="21"/>
              </w:rPr>
              <w:fldChar w:fldCharType="separate"/>
            </w:r>
            <w:r>
              <w:rPr>
                <w:rFonts w:ascii="仿宋" w:hAnsi="仿宋" w:eastAsia="仿宋" w:cs="仿宋"/>
                <w:color w:val="000000"/>
                <w:szCs w:val="21"/>
              </w:rPr>
              <w:t>200.0364</w:t>
            </w:r>
            <w:r>
              <w:rPr>
                <w:rFonts w:ascii="仿宋" w:hAnsi="仿宋" w:eastAsia="仿宋" w:cs="仿宋"/>
                <w:color w:val="000000"/>
                <w:szCs w:val="21"/>
              </w:rPr>
              <w:fldChar w:fldCharType="end"/>
            </w:r>
            <w:r>
              <w:rPr>
                <w:rFonts w:ascii="仿宋" w:hAnsi="仿宋" w:eastAsia="仿宋" w:cs="仿宋"/>
                <w:color w:val="000000"/>
                <w:szCs w:val="21"/>
              </w:rPr>
              <w:fldChar w:fldCharType="begin"/>
            </w:r>
            <w:r>
              <w:rPr>
                <w:rFonts w:ascii="仿宋" w:hAnsi="仿宋" w:eastAsia="仿宋" w:cs="仿宋"/>
                <w:color w:val="000000"/>
                <w:szCs w:val="21"/>
              </w:rPr>
              <w:instrText xml:space="preserve"> =SUM(ABOVE) \* MERGEFORMAT </w:instrText>
            </w:r>
            <w:r>
              <w:rPr>
                <w:rFonts w:ascii="仿宋" w:hAnsi="仿宋" w:eastAsia="仿宋" w:cs="仿宋"/>
                <w:color w:val="000000"/>
                <w:szCs w:val="21"/>
              </w:rPr>
              <w:fldChar w:fldCharType="end"/>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ascii="仿宋" w:hAnsi="仿宋" w:eastAsia="仿宋" w:cs="仿宋"/>
                <w:color w:val="000000"/>
                <w:szCs w:val="21"/>
              </w:rPr>
              <w:fldChar w:fldCharType="begin"/>
            </w:r>
            <w:r>
              <w:rPr>
                <w:rFonts w:ascii="仿宋" w:hAnsi="仿宋" w:eastAsia="仿宋" w:cs="仿宋"/>
                <w:color w:val="000000"/>
                <w:szCs w:val="21"/>
              </w:rPr>
              <w:instrText xml:space="preserve"> =SUM(ABOVE) \* MERGEFORMAT </w:instrText>
            </w:r>
            <w:r>
              <w:rPr>
                <w:rFonts w:ascii="仿宋" w:hAnsi="仿宋" w:eastAsia="仿宋" w:cs="仿宋"/>
                <w:color w:val="000000"/>
                <w:szCs w:val="21"/>
              </w:rPr>
              <w:fldChar w:fldCharType="separate"/>
            </w:r>
            <w:r>
              <w:rPr>
                <w:rFonts w:ascii="仿宋" w:hAnsi="仿宋" w:eastAsia="仿宋" w:cs="仿宋"/>
                <w:color w:val="000000"/>
                <w:szCs w:val="21"/>
              </w:rPr>
              <w:t>18.88933</w:t>
            </w:r>
            <w:r>
              <w:rPr>
                <w:rFonts w:ascii="仿宋" w:hAnsi="仿宋" w:eastAsia="仿宋" w:cs="仿宋"/>
                <w:color w:val="000000"/>
                <w:szCs w:val="21"/>
              </w:rPr>
              <w:fldChar w:fldCharType="end"/>
            </w:r>
          </w:p>
        </w:tc>
        <w:tc>
          <w:tcPr>
            <w:tcW w:w="1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仿宋" w:hAnsi="仿宋" w:eastAsia="仿宋" w:cs="仿宋"/>
                <w:color w:val="000000"/>
                <w:szCs w:val="21"/>
              </w:rPr>
            </w:pPr>
            <w:r>
              <w:rPr>
                <w:rFonts w:hint="eastAsia" w:ascii="仿宋" w:hAnsi="仿宋" w:eastAsia="仿宋" w:cs="仿宋"/>
                <w:color w:val="000000"/>
                <w:szCs w:val="21"/>
              </w:rPr>
              <w:t>100.02%</w:t>
            </w:r>
          </w:p>
        </w:tc>
      </w:tr>
    </w:tbl>
    <w:p>
      <w:pPr>
        <w:ind w:firstLine="420" w:firstLineChars="150"/>
        <w:rPr>
          <w:rFonts w:ascii="仿宋" w:hAnsi="仿宋" w:eastAsia="仿宋" w:cs="仿宋"/>
          <w:b/>
          <w:bCs/>
          <w:sz w:val="28"/>
          <w:szCs w:val="28"/>
        </w:rPr>
      </w:pPr>
      <w:r>
        <w:rPr>
          <w:rFonts w:hint="eastAsia" w:ascii="仿宋" w:hAnsi="仿宋" w:eastAsia="仿宋" w:cs="仿宋"/>
          <w:sz w:val="28"/>
          <w:szCs w:val="28"/>
        </w:rPr>
        <w:t>（三）项目资金管理情况。项目资金由南县财政局审批后，下达指标支付令，计入财政预算支付系统。南县公路建设养护中心根据资金需要，在预算支付系统内向南县财政局申报计划，注明资金的使用用途和金额，经南县财政局审批同意后，再由南县财政局国库集中支付，费用报销程序基本合规，相关手续较完善。</w:t>
      </w:r>
    </w:p>
    <w:p>
      <w:pPr>
        <w:pStyle w:val="2"/>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三、项目组织实施情况</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（一）制度建设情况</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南县公路建设养护中心制定了《养护专项资金使用管理制度》和《南县公路建设养护中心专项资金管理分配、财务监控制度》，明确了相关的工作准则、工程款结算及支付规定、资金的拨付和对资金的审计监督等措施，但未对专项资金的申报、收支管理、资产管理、票据管理等作出具体有效的管理规定。</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（二）项目实施情况</w:t>
      </w:r>
    </w:p>
    <w:p>
      <w:pPr>
        <w:pStyle w:val="8"/>
        <w:shd w:val="clear" w:color="auto" w:fill="FFFFFF"/>
        <w:spacing w:before="0" w:beforeAutospacing="0" w:after="0" w:afterAutospacing="0" w:line="360" w:lineRule="auto"/>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sz w:val="28"/>
          <w:szCs w:val="28"/>
        </w:rPr>
        <w:t>项目单位根据</w:t>
      </w:r>
      <w:r>
        <w:rPr>
          <w:rFonts w:hint="eastAsia" w:ascii="仿宋" w:hAnsi="仿宋" w:eastAsia="仿宋" w:cs="仿宋"/>
          <w:sz w:val="28"/>
          <w:szCs w:val="28"/>
        </w:rPr>
        <w:t>《养护专项资金使用管理制度》和《南县公路建设养护中心专项资金管理分配、财务监控制度》加强对项目和资金的管理，未成立相关的</w:t>
      </w:r>
      <w:r>
        <w:rPr>
          <w:rFonts w:hint="eastAsia" w:ascii="仿宋" w:hAnsi="仿宋" w:eastAsia="仿宋" w:cs="仿宋"/>
          <w:color w:val="000000"/>
          <w:sz w:val="28"/>
          <w:szCs w:val="28"/>
        </w:rPr>
        <w:t>管理领导小组。具体实施情况如下：</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、加大力度实施预防性养护。重点加强清灌缝、板底注浆作业，根据管养干线公路养护特点结合检查情况制定预防性养护实施方案，针对干线公路具体出现的问题进行养护管理。</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、加强月度检查和巡查力度。根据公路小修保养及养护工程质量管理办法，中心党组指派副主任曹再明带队、以公路养护股和四个公路养护站每月对全县干线公路进行一次例行性检查</w:t>
      </w:r>
      <w:r>
        <w:rPr>
          <w:rFonts w:hint="eastAsia" w:ascii="仿宋" w:hAnsi="仿宋" w:eastAsia="仿宋" w:cs="仿宋"/>
          <w:sz w:val="28"/>
          <w:szCs w:val="28"/>
          <w:lang w:eastAsia="zh-CN"/>
        </w:rPr>
        <w:t>，加大</w:t>
      </w:r>
      <w:r>
        <w:rPr>
          <w:rFonts w:hint="eastAsia" w:ascii="仿宋" w:hAnsi="仿宋" w:eastAsia="仿宋" w:cs="仿宋"/>
          <w:sz w:val="28"/>
          <w:szCs w:val="28"/>
        </w:rPr>
        <w:t>平时巡稽查力度，落实“十无目标”、养护质量、计划完成情况等。</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3、确定施工单位，组织项目建设。根据检查和巡查的结果，制定公路养护方案，通过测量下达计划清单，按照有关规定确定施工单位，</w:t>
      </w:r>
      <w:r>
        <w:rPr>
          <w:rFonts w:hint="eastAsia" w:ascii="仿宋" w:hAnsi="仿宋" w:eastAsia="仿宋" w:cs="仿宋"/>
          <w:sz w:val="28"/>
          <w:szCs w:val="28"/>
          <w:lang w:eastAsia="zh-CN"/>
        </w:rPr>
        <w:t>签订施工合同</w:t>
      </w:r>
      <w:r>
        <w:rPr>
          <w:rFonts w:hint="eastAsia" w:ascii="仿宋" w:hAnsi="仿宋" w:eastAsia="仿宋" w:cs="仿宋"/>
          <w:sz w:val="28"/>
          <w:szCs w:val="28"/>
        </w:rPr>
        <w:t>，组织项目建设。</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工程款结算及支付。各项目施工完工后，组织相关股室站进行工程验收，验收合格后，严格按照签订的合同进行结算，采用确定的工程量及单位计算出应支付的工程款，由经办人填写报销单并签名，项目办有关人员核实，财务人员审核票据的合规合法性，项目负责人审批同意后，办理工程款的支付。工程款支付一律转账，不得以现金支付。</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4、实施“保留金”制度。所有工程均实行预留工程“保留金”制度，工程建成完工后，预留工程保留金一般控制在5%，待工程竣工验收并保修期满后支付。</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5、实行检测制度。根据干线公路路况检测要求，委托第三方检测机构对辖区内的干线公路进行路况检测。</w:t>
      </w:r>
    </w:p>
    <w:p>
      <w:pPr>
        <w:pStyle w:val="8"/>
        <w:shd w:val="clear" w:color="auto" w:fill="FFFFFF"/>
        <w:spacing w:before="0" w:beforeAutospacing="0" w:after="0" w:afterAutospacing="0"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四、绩效评价工作情况</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（一）绩效评价目的</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通过绩效评价全面分析该项目资金使用、管理和项目实施情况，进一步规范南县公路建设养护中心2022年度“干线公路养护经费”专项资金的使用，强化财政资金支出绩效理念，切实提高财政资金使用效益。</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（二）绩效评价工作过程。</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根据南县财政局《关于对2022年度部分专项资金开展重点绩效评价工作的通知》(南财函</w:t>
      </w:r>
      <w:r>
        <w:rPr>
          <w:rFonts w:hint="eastAsia" w:ascii="仿宋" w:hAnsi="仿宋" w:eastAsia="仿宋" w:cs="仿宋"/>
          <w:sz w:val="28"/>
          <w:szCs w:val="28"/>
          <w:lang w:eastAsia="zh-CN"/>
        </w:rPr>
        <w:t>〔</w:t>
      </w:r>
      <w:r>
        <w:rPr>
          <w:rFonts w:hint="eastAsia" w:ascii="仿宋" w:hAnsi="仿宋" w:eastAsia="仿宋" w:cs="仿宋"/>
          <w:sz w:val="28"/>
          <w:szCs w:val="28"/>
        </w:rPr>
        <w:t>2023</w:t>
      </w:r>
      <w:r>
        <w:rPr>
          <w:rFonts w:hint="eastAsia" w:ascii="仿宋" w:hAnsi="仿宋" w:eastAsia="仿宋" w:cs="仿宋"/>
          <w:sz w:val="28"/>
          <w:szCs w:val="28"/>
          <w:lang w:eastAsia="zh-CN"/>
        </w:rPr>
        <w:t>〕</w:t>
      </w:r>
      <w:r>
        <w:rPr>
          <w:rFonts w:hint="eastAsia" w:ascii="仿宋" w:hAnsi="仿宋" w:eastAsia="仿宋" w:cs="仿宋"/>
          <w:sz w:val="28"/>
          <w:szCs w:val="28"/>
        </w:rPr>
        <w:t>29号</w:t>
      </w:r>
      <w:r>
        <w:rPr>
          <w:rFonts w:hint="eastAsia" w:ascii="仿宋" w:hAnsi="仿宋" w:eastAsia="仿宋" w:cs="仿宋"/>
          <w:sz w:val="28"/>
          <w:szCs w:val="28"/>
          <w:lang w:eastAsia="zh-CN"/>
        </w:rPr>
        <w:t>）</w:t>
      </w:r>
      <w:r>
        <w:rPr>
          <w:rFonts w:hint="eastAsia" w:ascii="仿宋" w:hAnsi="仿宋" w:eastAsia="仿宋" w:cs="仿宋"/>
          <w:sz w:val="28"/>
          <w:szCs w:val="28"/>
        </w:rPr>
        <w:t>文件要求，我所按下列步骤开展了绩效评价工作：</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1.前期准备。我所抽调专人成立了绩效评价工作组，明确了工作职责，制定了现场评价方案，设计了相关表格，联系了相关部门和单位，确定了实施时间。</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pPr>
        <w:pStyle w:val="14"/>
        <w:ind w:firstLine="422" w:firstLineChars="150"/>
        <w:rPr>
          <w:rFonts w:ascii="仿宋" w:hAnsi="仿宋" w:eastAsia="仿宋"/>
          <w:b/>
          <w:sz w:val="28"/>
          <w:szCs w:val="28"/>
        </w:rPr>
      </w:pPr>
      <w:r>
        <w:rPr>
          <w:rFonts w:hint="eastAsia" w:ascii="仿宋" w:hAnsi="仿宋" w:eastAsia="仿宋"/>
          <w:b/>
          <w:sz w:val="28"/>
          <w:szCs w:val="28"/>
        </w:rPr>
        <w:t>五、绩效评价结果和绩效分析</w:t>
      </w:r>
    </w:p>
    <w:p>
      <w:pPr>
        <w:pStyle w:val="14"/>
        <w:ind w:firstLine="560" w:firstLineChars="200"/>
        <w:rPr>
          <w:rFonts w:ascii="仿宋" w:hAnsi="仿宋" w:eastAsia="仿宋" w:cs="仿宋"/>
          <w:sz w:val="28"/>
          <w:szCs w:val="28"/>
        </w:rPr>
      </w:pPr>
      <w:r>
        <w:rPr>
          <w:rFonts w:hint="eastAsia" w:ascii="仿宋" w:hAnsi="仿宋" w:eastAsia="仿宋" w:cs="仿宋"/>
          <w:kern w:val="0"/>
          <w:sz w:val="28"/>
          <w:szCs w:val="28"/>
        </w:rPr>
        <w:t>根据该项目资金绩效评价指标体系和绩效检查情况，该项目整体绩效分值100分，实得83分，被评为“良好”</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(详见：</w:t>
      </w:r>
      <w:r>
        <w:rPr>
          <w:rFonts w:hint="eastAsia" w:ascii="仿宋" w:hAnsi="仿宋" w:eastAsia="仿宋" w:cs="仿宋"/>
          <w:sz w:val="28"/>
          <w:szCs w:val="28"/>
        </w:rPr>
        <w:t>南县公路建设养护中心</w:t>
      </w:r>
      <w:r>
        <w:rPr>
          <w:rFonts w:hint="eastAsia" w:ascii="仿宋" w:hAnsi="仿宋" w:eastAsia="仿宋" w:cs="仿宋"/>
          <w:kern w:val="0"/>
          <w:sz w:val="28"/>
          <w:szCs w:val="28"/>
        </w:rPr>
        <w:t>2022年度“</w:t>
      </w:r>
      <w:r>
        <w:rPr>
          <w:rFonts w:hint="eastAsia" w:ascii="仿宋" w:hAnsi="仿宋" w:eastAsia="仿宋" w:cs="仿宋"/>
          <w:sz w:val="28"/>
          <w:szCs w:val="28"/>
        </w:rPr>
        <w:t>干线公路养护经费</w:t>
      </w:r>
      <w:r>
        <w:rPr>
          <w:rFonts w:hint="eastAsia" w:ascii="仿宋" w:hAnsi="仿宋" w:eastAsia="仿宋" w:cs="仿宋"/>
          <w:kern w:val="0"/>
          <w:sz w:val="28"/>
          <w:szCs w:val="28"/>
        </w:rPr>
        <w:t>”项目专项资金绩效评价指标评分</w:t>
      </w:r>
      <w:r>
        <w:rPr>
          <w:rFonts w:hint="eastAsia" w:ascii="仿宋" w:hAnsi="仿宋" w:eastAsia="仿宋" w:cs="仿宋"/>
          <w:sz w:val="28"/>
          <w:szCs w:val="28"/>
        </w:rPr>
        <w:t>表</w:t>
      </w:r>
      <w:r>
        <w:rPr>
          <w:rFonts w:hint="eastAsia" w:ascii="仿宋" w:hAnsi="仿宋" w:eastAsia="仿宋" w:cs="仿宋"/>
          <w:sz w:val="28"/>
          <w:szCs w:val="28"/>
          <w:lang w:eastAsia="zh-CN"/>
        </w:rPr>
        <w:t>）</w:t>
      </w:r>
      <w:r>
        <w:rPr>
          <w:rFonts w:hint="eastAsia" w:ascii="仿宋" w:hAnsi="仿宋" w:eastAsia="仿宋" w:cs="仿宋"/>
          <w:sz w:val="28"/>
          <w:szCs w:val="28"/>
        </w:rPr>
        <w:t>。主要绩效表现在以下几个方面：</w:t>
      </w:r>
    </w:p>
    <w:p>
      <w:pPr>
        <w:pStyle w:val="14"/>
        <w:ind w:firstLine="560" w:firstLineChars="200"/>
        <w:rPr>
          <w:rFonts w:ascii="仿宋" w:hAnsi="仿宋" w:eastAsia="仿宋" w:cs="仿宋"/>
          <w:sz w:val="28"/>
          <w:szCs w:val="28"/>
        </w:rPr>
      </w:pPr>
      <w:r>
        <w:rPr>
          <w:rFonts w:hint="eastAsia" w:ascii="仿宋" w:hAnsi="仿宋" w:eastAsia="仿宋" w:cs="仿宋"/>
          <w:sz w:val="28"/>
          <w:szCs w:val="28"/>
        </w:rPr>
        <w:t>（一）加强公路养护，确保干线公路安全畅通</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加大力度实施预防性养护，加强清灌缝、板底注浆作业。根据管养干线公路养护特点结合检查情况制定预防性养护实施方案，针对干线公路具体出现的问题进行养护管理，确保公路安全畅通。</w:t>
      </w:r>
    </w:p>
    <w:p>
      <w:pPr>
        <w:pStyle w:val="14"/>
        <w:ind w:firstLine="560" w:firstLineChars="200"/>
        <w:rPr>
          <w:rFonts w:ascii="仿宋" w:hAnsi="仿宋" w:eastAsia="仿宋" w:cs="仿宋"/>
          <w:kern w:val="0"/>
          <w:sz w:val="28"/>
          <w:szCs w:val="28"/>
        </w:rPr>
      </w:pPr>
      <w:r>
        <w:rPr>
          <w:rFonts w:hint="eastAsia" w:ascii="仿宋" w:hAnsi="仿宋" w:eastAsia="仿宋" w:cs="仿宋"/>
          <w:kern w:val="0"/>
          <w:sz w:val="28"/>
          <w:szCs w:val="28"/>
        </w:rPr>
        <w:t>（二）升级改造干线公路，改善了居民出行环境</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加强了干线公路小修保养及养护工程，极大的改善了当地居民生产生活环境，解决了当地居民安全出行和农产品物资运输问题。2022</w:t>
      </w:r>
      <w:r>
        <w:rPr>
          <w:rFonts w:hint="eastAsia" w:ascii="仿宋" w:hAnsi="仿宋" w:eastAsia="仿宋" w:cs="仿宋"/>
          <w:sz w:val="28"/>
          <w:szCs w:val="28"/>
          <w:lang w:eastAsia="zh-CN"/>
        </w:rPr>
        <w:t>年</w:t>
      </w:r>
      <w:r>
        <w:rPr>
          <w:rFonts w:hint="eastAsia" w:ascii="仿宋" w:hAnsi="仿宋" w:eastAsia="仿宋" w:cs="仿宋"/>
          <w:sz w:val="28"/>
          <w:szCs w:val="28"/>
        </w:rPr>
        <w:t>全年日常保养211公里。</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（三）减少安全隐患，降低了事故发生率</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科学部署人力，加强巡稽查力度，根据公路小修保养及养护工程质量管理办法，每月对干线公路进行一次例行性检查</w:t>
      </w:r>
      <w:r>
        <w:rPr>
          <w:rFonts w:ascii="仿宋" w:hAnsi="仿宋" w:eastAsia="仿宋" w:cs="仿宋"/>
          <w:sz w:val="28"/>
          <w:szCs w:val="28"/>
        </w:rPr>
        <w:t>,</w:t>
      </w:r>
      <w:r>
        <w:rPr>
          <w:rFonts w:hint="eastAsia" w:ascii="仿宋" w:hAnsi="仿宋" w:eastAsia="仿宋" w:cs="仿宋"/>
          <w:sz w:val="28"/>
          <w:szCs w:val="28"/>
        </w:rPr>
        <w:t>稽查职工出勤出工、安全作业、劳动管理，落实“十无目标”、养护质量、计划完成情况等，确保安全无事故发生。</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（四）提升管养能力，促进全县经济发展</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干线公路养护项目实施后，县域内干线公路的养护管理得到加强，日常养护逐步规范，小修工程得到及时实施，建立了公路管养和完善长效机制，不断巩固和扩大公路养护的成果，确保了社会生产、国民生活和商品流通便捷、安全、畅通、舒适的公路交通环境，为全县社会经济发展提供了良好的公路交通环境和经济服务联通纽带。</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（五）提升管养能力，带动乡村振兴建设</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的实施，提升管养能力，建立公路管养和完善长效机制，不断巩固和扩大公路养护的成果，确保公路无重大因路面技术状况而致使交通中断瘫痪的情况，更好的提供路面行驶条件，提供畅、洁、美、绿的农村公路环境，带动乡村振兴建设。</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（六）制定检测制度，确保了路况优良化</w:t>
      </w:r>
    </w:p>
    <w:p>
      <w:pPr>
        <w:pStyle w:val="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项目实施后，根据干线公路路况检测要求，委托第三方检测机构对辖区内的干线公路进行路况检测，从2022年度南县干线公路路况评定数据分析报告可知，优良路率达94.23%。</w:t>
      </w:r>
    </w:p>
    <w:p>
      <w:pPr>
        <w:pStyle w:val="14"/>
        <w:ind w:firstLine="560" w:firstLineChars="200"/>
        <w:rPr>
          <w:rFonts w:ascii="仿宋" w:hAnsi="仿宋" w:eastAsia="仿宋" w:cs="仿宋"/>
          <w:kern w:val="0"/>
          <w:sz w:val="28"/>
          <w:szCs w:val="28"/>
        </w:rPr>
      </w:pPr>
      <w:r>
        <w:rPr>
          <w:rFonts w:hint="eastAsia" w:ascii="仿宋" w:hAnsi="仿宋" w:eastAsia="仿宋" w:cs="仿宋"/>
          <w:kern w:val="0"/>
          <w:sz w:val="28"/>
          <w:szCs w:val="28"/>
        </w:rPr>
        <w:t>（七）群众满意度高，项目可持续推进</w:t>
      </w:r>
    </w:p>
    <w:p>
      <w:pPr>
        <w:pStyle w:val="14"/>
        <w:ind w:firstLine="560" w:firstLineChars="200"/>
        <w:rPr>
          <w:rFonts w:ascii="仿宋" w:hAnsi="仿宋" w:eastAsia="仿宋" w:cs="仿宋"/>
          <w:kern w:val="0"/>
          <w:sz w:val="28"/>
          <w:szCs w:val="28"/>
        </w:rPr>
      </w:pPr>
      <w:r>
        <w:rPr>
          <w:rFonts w:hint="eastAsia" w:ascii="仿宋" w:hAnsi="仿宋" w:eastAsia="仿宋" w:cs="仿宋"/>
          <w:kern w:val="0"/>
          <w:sz w:val="28"/>
          <w:szCs w:val="28"/>
        </w:rPr>
        <w:t>我们通过到现场发放调查问卷22份，居民满意度达到了100%。项目的实施，减少了安全隐患，极大的降低了事故发生率</w:t>
      </w:r>
      <w:r>
        <w:rPr>
          <w:rFonts w:hint="eastAsia" w:ascii="仿宋" w:hAnsi="仿宋" w:eastAsia="仿宋" w:cs="仿宋"/>
          <w:sz w:val="28"/>
          <w:szCs w:val="28"/>
        </w:rPr>
        <w:t>，更好的提供路面行驶条件，</w:t>
      </w:r>
      <w:r>
        <w:rPr>
          <w:rFonts w:hint="eastAsia" w:ascii="仿宋" w:hAnsi="仿宋" w:eastAsia="仿宋" w:cs="仿宋"/>
          <w:kern w:val="0"/>
          <w:sz w:val="28"/>
          <w:szCs w:val="28"/>
        </w:rPr>
        <w:t>确保公路无重大因路面技术状况而致使交通中断瘫痪的情况，项目具有可推进的现实需要。</w:t>
      </w:r>
    </w:p>
    <w:p>
      <w:pPr>
        <w:pStyle w:val="14"/>
        <w:ind w:firstLine="703" w:firstLineChars="250"/>
        <w:rPr>
          <w:rFonts w:ascii="仿宋" w:hAnsi="仿宋" w:eastAsia="仿宋"/>
          <w:b/>
          <w:sz w:val="28"/>
          <w:szCs w:val="28"/>
        </w:rPr>
      </w:pPr>
      <w:r>
        <w:rPr>
          <w:rFonts w:hint="eastAsia" w:ascii="仿宋" w:hAnsi="仿宋" w:eastAsia="仿宋"/>
          <w:b/>
          <w:sz w:val="28"/>
          <w:szCs w:val="28"/>
        </w:rPr>
        <w:t>六、存在的主要问题</w:t>
      </w:r>
    </w:p>
    <w:p>
      <w:pPr>
        <w:pStyle w:val="14"/>
        <w:ind w:firstLine="560" w:firstLineChars="200"/>
        <w:rPr>
          <w:rFonts w:ascii="仿宋" w:hAnsi="仿宋" w:eastAsia="仿宋" w:cs="仿宋"/>
          <w:kern w:val="0"/>
          <w:sz w:val="28"/>
          <w:szCs w:val="28"/>
        </w:rPr>
      </w:pPr>
      <w:r>
        <w:rPr>
          <w:rFonts w:hint="eastAsia" w:ascii="仿宋" w:hAnsi="仿宋" w:eastAsia="仿宋"/>
          <w:sz w:val="28"/>
          <w:szCs w:val="28"/>
        </w:rPr>
        <w:t>据绩效评价发现，</w:t>
      </w:r>
      <w:r>
        <w:rPr>
          <w:rFonts w:hint="eastAsia" w:ascii="仿宋" w:hAnsi="仿宋" w:eastAsia="仿宋" w:cs="仿宋"/>
          <w:sz w:val="28"/>
          <w:szCs w:val="28"/>
        </w:rPr>
        <w:t>南县公路建设养护中心</w:t>
      </w:r>
      <w:r>
        <w:rPr>
          <w:rFonts w:hint="eastAsia" w:ascii="仿宋" w:hAnsi="仿宋" w:eastAsia="仿宋" w:cs="仿宋"/>
          <w:kern w:val="0"/>
          <w:sz w:val="28"/>
          <w:szCs w:val="28"/>
        </w:rPr>
        <w:t>2022年度“</w:t>
      </w:r>
      <w:r>
        <w:rPr>
          <w:rFonts w:hint="eastAsia" w:ascii="仿宋" w:hAnsi="仿宋" w:eastAsia="仿宋" w:cs="仿宋"/>
          <w:sz w:val="28"/>
          <w:szCs w:val="28"/>
        </w:rPr>
        <w:t>干线公路养护经费</w:t>
      </w:r>
      <w:r>
        <w:rPr>
          <w:rFonts w:hint="eastAsia" w:ascii="仿宋" w:hAnsi="仿宋" w:eastAsia="仿宋" w:cs="仿宋"/>
          <w:kern w:val="0"/>
          <w:sz w:val="28"/>
          <w:szCs w:val="28"/>
        </w:rPr>
        <w:t>”项目</w:t>
      </w:r>
      <w:r>
        <w:rPr>
          <w:rFonts w:hint="eastAsia" w:ascii="仿宋" w:hAnsi="仿宋" w:eastAsia="仿宋"/>
          <w:sz w:val="28"/>
          <w:szCs w:val="28"/>
        </w:rPr>
        <w:t>存在以下几个方面的问题。</w:t>
      </w:r>
    </w:p>
    <w:p>
      <w:pPr>
        <w:pStyle w:val="7"/>
        <w:ind w:left="420" w:leftChars="200"/>
        <w:rPr>
          <w:rFonts w:ascii="仿宋" w:hAnsi="仿宋" w:eastAsia="仿宋" w:cs="仿宋"/>
          <w:sz w:val="28"/>
          <w:szCs w:val="28"/>
        </w:rPr>
      </w:pPr>
      <w:r>
        <w:rPr>
          <w:rFonts w:hint="eastAsia" w:ascii="仿宋" w:hAnsi="仿宋" w:eastAsia="仿宋" w:cs="仿宋"/>
          <w:kern w:val="0"/>
          <w:sz w:val="28"/>
          <w:szCs w:val="28"/>
        </w:rPr>
        <w:t>（一)专项资金使用不规范，存在违规使用资金现象</w:t>
      </w:r>
    </w:p>
    <w:p>
      <w:pPr>
        <w:pStyle w:val="7"/>
        <w:rPr>
          <w:rFonts w:ascii="仿宋" w:hAnsi="仿宋" w:eastAsia="仿宋" w:cs="仿宋"/>
          <w:kern w:val="0"/>
          <w:sz w:val="28"/>
          <w:szCs w:val="28"/>
        </w:rPr>
      </w:pPr>
      <w:r>
        <w:rPr>
          <w:rFonts w:hint="eastAsia"/>
        </w:rPr>
        <w:t xml:space="preserve">      </w:t>
      </w:r>
      <w:r>
        <w:rPr>
          <w:rFonts w:hint="eastAsia" w:ascii="仿宋" w:hAnsi="仿宋" w:eastAsia="仿宋" w:cs="仿宋"/>
          <w:sz w:val="28"/>
          <w:szCs w:val="28"/>
        </w:rPr>
        <w:t>1、</w:t>
      </w:r>
      <w:r>
        <w:rPr>
          <w:rFonts w:hint="eastAsia" w:ascii="仿宋" w:hAnsi="仿宋" w:eastAsia="仿宋" w:cs="仿宋"/>
          <w:kern w:val="0"/>
          <w:sz w:val="28"/>
          <w:szCs w:val="28"/>
        </w:rPr>
        <w:t>改变资金使用方向，存在挤占挪用专项资金情况</w:t>
      </w:r>
    </w:p>
    <w:p>
      <w:pPr>
        <w:pStyle w:val="7"/>
        <w:ind w:firstLine="560" w:firstLineChars="200"/>
      </w:pPr>
      <w:r>
        <w:rPr>
          <w:rFonts w:hint="eastAsia" w:ascii="仿宋" w:hAnsi="仿宋" w:eastAsia="仿宋" w:cs="仿宋"/>
          <w:sz w:val="28"/>
          <w:szCs w:val="28"/>
        </w:rPr>
        <w:t>根据县财政局审核的年初预算，</w:t>
      </w:r>
      <w:r>
        <w:rPr>
          <w:rFonts w:hint="eastAsia" w:ascii="仿宋" w:hAnsi="仿宋" w:eastAsia="仿宋" w:cs="仿宋"/>
          <w:kern w:val="0"/>
          <w:sz w:val="28"/>
          <w:szCs w:val="28"/>
        </w:rPr>
        <w:t>2022年度“</w:t>
      </w:r>
      <w:r>
        <w:rPr>
          <w:rFonts w:hint="eastAsia" w:ascii="仿宋" w:hAnsi="仿宋" w:eastAsia="仿宋" w:cs="仿宋"/>
          <w:sz w:val="28"/>
          <w:szCs w:val="28"/>
        </w:rPr>
        <w:t>干线公路养护经费</w:t>
      </w:r>
      <w:r>
        <w:rPr>
          <w:rFonts w:hint="eastAsia" w:ascii="仿宋" w:hAnsi="仿宋" w:eastAsia="仿宋" w:cs="仿宋"/>
          <w:kern w:val="0"/>
          <w:sz w:val="28"/>
          <w:szCs w:val="28"/>
        </w:rPr>
        <w:t>”</w:t>
      </w:r>
      <w:r>
        <w:rPr>
          <w:rFonts w:hint="eastAsia" w:ascii="仿宋" w:hAnsi="仿宋" w:eastAsia="仿宋" w:cs="仿宋"/>
          <w:sz w:val="28"/>
          <w:szCs w:val="28"/>
        </w:rPr>
        <w:t>用于本辖区内管养的211公里干线公路的日常养护和管理，主要用于G234、G353、S217、S218、S313、S307等六条国省道的路面小修挖补坑槽、预防性养护、日常养护及抗冻保畅等。经审计，存在违规使用专项资金98,977.10元，其中： S511五小工程9,700.00元、白洋桥S220养护1,556.10元、班游线和太艳路路面冷补料50,854.00元、茅草街大桥清扫8,000.00元、班游线摊铺沥青砼坑槽28,867.00元。</w:t>
      </w:r>
    </w:p>
    <w:p>
      <w:pPr>
        <w:pStyle w:val="7"/>
        <w:ind w:firstLine="420" w:firstLineChars="200"/>
        <w:rPr>
          <w:rFonts w:ascii="仿宋" w:hAnsi="仿宋" w:eastAsia="仿宋" w:cs="仿宋"/>
          <w:sz w:val="28"/>
          <w:szCs w:val="28"/>
        </w:rPr>
      </w:pPr>
      <w:r>
        <w:rPr>
          <w:rFonts w:hint="eastAsia"/>
        </w:rPr>
        <w:t xml:space="preserve">  </w:t>
      </w:r>
      <w:r>
        <w:rPr>
          <w:rFonts w:hint="eastAsia" w:ascii="仿宋" w:hAnsi="仿宋" w:eastAsia="仿宋" w:cs="仿宋"/>
          <w:sz w:val="28"/>
          <w:szCs w:val="28"/>
        </w:rPr>
        <w:t>2、预算资金指标存在挪用现象</w:t>
      </w:r>
    </w:p>
    <w:p>
      <w:pPr>
        <w:pStyle w:val="7"/>
        <w:ind w:firstLine="560" w:firstLineChars="200"/>
      </w:pPr>
      <w:r>
        <w:rPr>
          <w:rFonts w:hint="eastAsia" w:ascii="仿宋" w:hAnsi="仿宋" w:eastAsia="仿宋" w:cs="仿宋"/>
          <w:sz w:val="28"/>
          <w:szCs w:val="28"/>
        </w:rPr>
        <w:t>⑴根据《中华人民共和国预算法》第六十三条规定“各部门、各单位应当加强对预算收入和支出的管理，不得截留或者动用应当上缴的预算收入，不得擅自改变预算支出的用途”。经审计，南县公路建设养护中心提供的预算指标申请明细查询表体现的指标支出与实际提供的工程支出不一致，存在擅自改变预算支出用途的现象。</w:t>
      </w:r>
    </w:p>
    <w:p>
      <w:r>
        <w:rPr>
          <w:rFonts w:hint="eastAsia"/>
        </w:rPr>
        <w:t xml:space="preserve">      </w:t>
      </w:r>
      <w:r>
        <w:rPr>
          <w:rFonts w:hint="eastAsia" w:ascii="仿宋" w:hAnsi="仿宋" w:eastAsia="仿宋" w:cs="仿宋"/>
          <w:sz w:val="28"/>
          <w:szCs w:val="28"/>
        </w:rPr>
        <w:t>⑵</w:t>
      </w:r>
      <w:r>
        <w:rPr>
          <w:rFonts w:hint="eastAsia"/>
        </w:rPr>
        <w:t xml:space="preserve"> </w:t>
      </w:r>
      <w:r>
        <w:rPr>
          <w:rFonts w:hint="eastAsia" w:ascii="仿宋" w:hAnsi="仿宋" w:eastAsia="仿宋" w:cs="仿宋"/>
          <w:sz w:val="28"/>
          <w:szCs w:val="28"/>
        </w:rPr>
        <w:t>根据《中华人民共和国预算法》第六十三条规定“各部门、各单位应当加强对预算收入和支出的管理，不得截留或者动用应当上缴的预算收入，不得擅自改变预算支出的用途”。经审计，南县公路建设养护中心提供的预算指标申请明细查询表中，干线公路养护资金11万元用于农村公路养护补助项目、农村公路养护资金5万元用于干线公路项目-春节抗冻保畅项目，存在农村公路养护补助资金与干线公路养护补助资金混用的现象。</w:t>
      </w:r>
    </w:p>
    <w:p>
      <w:pPr>
        <w:ind w:firstLine="560" w:firstLineChars="200"/>
        <w:rPr>
          <w:rFonts w:ascii="仿宋" w:hAnsi="仿宋" w:eastAsia="仿宋" w:cs="仿宋"/>
          <w:sz w:val="28"/>
          <w:szCs w:val="28"/>
        </w:rPr>
      </w:pPr>
      <w:r>
        <w:rPr>
          <w:rFonts w:hint="eastAsia" w:ascii="仿宋" w:hAnsi="仿宋" w:eastAsia="仿宋" w:cs="仿宋"/>
          <w:sz w:val="28"/>
          <w:szCs w:val="28"/>
        </w:rPr>
        <w:t>(二)项目管理欠规范，存在程序不到位等现象</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干线公路养护技术有待提升</w:t>
      </w:r>
    </w:p>
    <w:p>
      <w:pPr>
        <w:ind w:firstLine="560" w:firstLineChars="200"/>
      </w:pPr>
      <w:r>
        <w:rPr>
          <w:rFonts w:hint="eastAsia" w:ascii="仿宋" w:hAnsi="仿宋" w:eastAsia="仿宋" w:cs="仿宋"/>
          <w:color w:val="000000"/>
          <w:kern w:val="0"/>
          <w:sz w:val="28"/>
          <w:szCs w:val="28"/>
        </w:rPr>
        <w:t>现场评价发现，年初绩效目标表中设置优良路率为86%，实际检测优良路率为94.23%，虽达到了年初设定的绩效指标，但</w:t>
      </w:r>
      <w:r>
        <w:rPr>
          <w:rFonts w:hint="eastAsia" w:ascii="仿宋" w:hAnsi="仿宋" w:eastAsia="仿宋" w:cs="仿宋"/>
          <w:kern w:val="0"/>
          <w:sz w:val="28"/>
          <w:szCs w:val="28"/>
        </w:rPr>
        <w:t>养护标准化、机械化及养护新工艺、新材料使用率还有待进一步提升，养护整体绩效的待进一步提高</w:t>
      </w:r>
      <w:r>
        <w:rPr>
          <w:rFonts w:hint="eastAsia" w:ascii="仿宋" w:hAnsi="仿宋" w:eastAsia="仿宋" w:cs="仿宋"/>
          <w:color w:val="000000"/>
          <w:kern w:val="0"/>
          <w:sz w:val="28"/>
          <w:szCs w:val="28"/>
        </w:rPr>
        <w:t>。</w:t>
      </w:r>
    </w:p>
    <w:p>
      <w:pPr>
        <w:ind w:left="420" w:leftChars="200"/>
        <w:rPr>
          <w:rFonts w:ascii="仿宋" w:hAnsi="仿宋" w:eastAsia="仿宋" w:cs="仿宋"/>
          <w:color w:val="000000"/>
          <w:kern w:val="0"/>
          <w:sz w:val="28"/>
          <w:szCs w:val="28"/>
        </w:rPr>
      </w:pPr>
      <w:r>
        <w:rPr>
          <w:rFonts w:hint="eastAsia"/>
        </w:rPr>
        <w:t xml:space="preserve">   </w:t>
      </w:r>
      <w:r>
        <w:rPr>
          <w:rFonts w:hint="eastAsia" w:ascii="仿宋" w:hAnsi="仿宋" w:eastAsia="仿宋" w:cs="仿宋"/>
          <w:sz w:val="28"/>
          <w:szCs w:val="28"/>
        </w:rPr>
        <w:t>2、</w:t>
      </w:r>
      <w:r>
        <w:rPr>
          <w:rFonts w:hint="eastAsia" w:ascii="仿宋" w:hAnsi="仿宋" w:eastAsia="仿宋" w:cs="仿宋"/>
          <w:color w:val="000000"/>
          <w:kern w:val="0"/>
          <w:sz w:val="28"/>
          <w:szCs w:val="28"/>
        </w:rPr>
        <w:t>项目管理松懈。</w:t>
      </w:r>
    </w:p>
    <w:p>
      <w:pPr>
        <w:rPr>
          <w:rFonts w:ascii="仿宋" w:hAnsi="仿宋" w:eastAsia="仿宋" w:cs="仿宋"/>
          <w:kern w:val="0"/>
          <w:sz w:val="28"/>
          <w:szCs w:val="28"/>
        </w:rPr>
      </w:pPr>
      <w:r>
        <w:rPr>
          <w:rFonts w:hint="eastAsia" w:ascii="仿宋" w:hAnsi="仿宋" w:eastAsia="仿宋" w:cs="仿宋"/>
          <w:color w:val="000000"/>
          <w:kern w:val="0"/>
          <w:sz w:val="28"/>
          <w:szCs w:val="28"/>
        </w:rPr>
        <w:t xml:space="preserve">     现场评价发现，⑴</w:t>
      </w:r>
      <w:r>
        <w:rPr>
          <w:rFonts w:hint="eastAsia" w:ascii="仿宋" w:hAnsi="仿宋" w:eastAsia="仿宋" w:cs="仿宋"/>
          <w:sz w:val="28"/>
          <w:szCs w:val="28"/>
        </w:rPr>
        <w:t>主管部门未对项目实施和资金支出进度进行跟踪监督、检查；⑵未建立了检查台账的，并及时更新的；⑶未将检查结果在一定范围内公开，并督促整改到位的。</w:t>
      </w:r>
      <w:r>
        <w:rPr>
          <w:rFonts w:hint="eastAsia" w:ascii="宋体" w:hAnsi="宋体" w:eastAsia="宋体" w:cs="宋体"/>
          <w:sz w:val="28"/>
          <w:szCs w:val="28"/>
        </w:rPr>
        <w:t>⑷</w:t>
      </w:r>
      <w:r>
        <w:rPr>
          <w:rFonts w:hint="eastAsia" w:ascii="仿宋" w:hAnsi="仿宋" w:eastAsia="仿宋" w:cs="仿宋"/>
          <w:kern w:val="0"/>
          <w:sz w:val="28"/>
          <w:szCs w:val="28"/>
        </w:rPr>
        <w:t>未建立专项项目组织机构；</w:t>
      </w:r>
      <w:r>
        <w:rPr>
          <w:rFonts w:hint="eastAsia" w:ascii="宋体" w:hAnsi="宋体" w:eastAsia="宋体" w:cs="宋体"/>
          <w:kern w:val="0"/>
          <w:sz w:val="28"/>
          <w:szCs w:val="28"/>
        </w:rPr>
        <w:t>⑸</w:t>
      </w:r>
      <w:r>
        <w:rPr>
          <w:rFonts w:hint="eastAsia" w:ascii="仿宋" w:hAnsi="仿宋" w:eastAsia="仿宋" w:cs="仿宋"/>
          <w:kern w:val="0"/>
          <w:sz w:val="28"/>
          <w:szCs w:val="28"/>
        </w:rPr>
        <w:t>未有项目实施方案。</w:t>
      </w:r>
    </w:p>
    <w:p>
      <w:pPr>
        <w:pStyle w:val="2"/>
        <w:ind w:left="630" w:leftChars="300"/>
        <w:rPr>
          <w:rFonts w:ascii="仿宋" w:hAnsi="仿宋" w:eastAsia="仿宋" w:cs="仿宋"/>
          <w:kern w:val="0"/>
          <w:sz w:val="28"/>
          <w:szCs w:val="28"/>
        </w:rPr>
      </w:pPr>
      <w:r>
        <w:rPr>
          <w:rFonts w:hint="eastAsia" w:ascii="仿宋" w:hAnsi="仿宋" w:eastAsia="仿宋" w:cs="仿宋"/>
          <w:kern w:val="0"/>
          <w:sz w:val="28"/>
          <w:szCs w:val="28"/>
        </w:rPr>
        <w:t>3、政府采购程序不到位。</w:t>
      </w:r>
    </w:p>
    <w:p>
      <w:pPr>
        <w:pStyle w:val="2"/>
        <w:ind w:firstLine="560" w:firstLineChars="200"/>
        <w:rPr>
          <w:rFonts w:ascii="仿宋" w:hAnsi="仿宋" w:eastAsia="仿宋" w:cs="仿宋"/>
          <w:kern w:val="0"/>
          <w:sz w:val="28"/>
          <w:szCs w:val="28"/>
        </w:rPr>
      </w:pPr>
      <w:r>
        <w:rPr>
          <w:rFonts w:hint="eastAsia" w:ascii="仿宋" w:hAnsi="仿宋" w:eastAsia="仿宋" w:cs="仿宋"/>
          <w:kern w:val="0"/>
          <w:sz w:val="28"/>
          <w:szCs w:val="28"/>
        </w:rPr>
        <w:t>根据《益阳市2022年政府采购限额标准》益财购【2021】391号文件第二条规定“益阳市政府采购限额标准（含区县市）为：......工程项目采购预算金额60万元（含60万元）以上......”。如G234公路2022年开支122.4832万元。</w:t>
      </w:r>
    </w:p>
    <w:p>
      <w:pPr>
        <w:pStyle w:val="7"/>
        <w:ind w:firstLine="560" w:firstLineChars="200"/>
        <w:rPr>
          <w:rFonts w:ascii="仿宋" w:hAnsi="仿宋" w:eastAsia="仿宋" w:cs="仿宋"/>
          <w:kern w:val="0"/>
          <w:sz w:val="28"/>
          <w:szCs w:val="28"/>
        </w:rPr>
      </w:pPr>
      <w:r>
        <w:rPr>
          <w:rFonts w:hint="eastAsia" w:ascii="仿宋" w:hAnsi="仿宋" w:eastAsia="仿宋"/>
          <w:sz w:val="28"/>
          <w:szCs w:val="28"/>
        </w:rPr>
        <w:t>（</w:t>
      </w:r>
      <w:r>
        <w:rPr>
          <w:rFonts w:hint="eastAsia" w:ascii="仿宋" w:hAnsi="仿宋" w:eastAsia="仿宋" w:cs="仿宋"/>
          <w:kern w:val="0"/>
          <w:sz w:val="28"/>
          <w:szCs w:val="28"/>
        </w:rPr>
        <w:t>三)绩效管理不够重视，未能较好的发挥绩效监控作用</w:t>
      </w:r>
    </w:p>
    <w:p>
      <w:pPr>
        <w:pStyle w:val="14"/>
        <w:ind w:firstLine="560" w:firstLineChars="200"/>
        <w:rPr>
          <w:rFonts w:ascii="仿宋" w:hAnsi="仿宋" w:eastAsia="仿宋" w:cs="仿宋"/>
          <w:sz w:val="24"/>
          <w:szCs w:val="24"/>
        </w:rPr>
      </w:pPr>
      <w:r>
        <w:rPr>
          <w:rFonts w:hint="eastAsia" w:ascii="仿宋" w:hAnsi="仿宋" w:eastAsia="仿宋" w:cs="仿宋"/>
          <w:kern w:val="0"/>
          <w:sz w:val="28"/>
          <w:szCs w:val="28"/>
        </w:rPr>
        <w:t>评价现场发现，⑴预算项目绩效目标设置较少，绩效目标未细化和量化，未设置与日常养护巡查、附属设施及养护工程等相关的数量指标，存在指标设置不全面，部分指标不能通过清晰、可衡量的指标予以体现；⑵未严格按绩效管理的要求组织开展绩效目标编制和申报。</w:t>
      </w:r>
      <w:bookmarkStart w:id="0" w:name="OLE_LINK1"/>
    </w:p>
    <w:p>
      <w:pPr>
        <w:ind w:firstLine="843" w:firstLineChars="300"/>
        <w:rPr>
          <w:rFonts w:ascii="仿宋" w:hAnsi="仿宋" w:eastAsia="仿宋" w:cs="仿宋"/>
          <w:sz w:val="28"/>
          <w:szCs w:val="28"/>
        </w:rPr>
      </w:pPr>
      <w:r>
        <w:rPr>
          <w:rFonts w:hint="eastAsia" w:ascii="仿宋" w:hAnsi="仿宋" w:eastAsia="仿宋" w:cs="仿宋"/>
          <w:b/>
          <w:bCs/>
          <w:sz w:val="28"/>
          <w:szCs w:val="28"/>
        </w:rPr>
        <w:t>七、有关建议</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（一）加强专项资金使用的监督管理，确保资金安全。</w:t>
      </w:r>
    </w:p>
    <w:p>
      <w:pPr>
        <w:ind w:firstLine="840" w:firstLineChars="300"/>
        <w:rPr>
          <w:rFonts w:ascii="仿宋" w:hAnsi="仿宋" w:eastAsia="仿宋" w:cs="仿宋"/>
          <w:sz w:val="28"/>
          <w:szCs w:val="28"/>
        </w:rPr>
      </w:pPr>
      <w:r>
        <w:rPr>
          <w:rFonts w:hint="eastAsia" w:ascii="仿宋" w:hAnsi="仿宋" w:eastAsia="仿宋" w:cs="仿宋"/>
          <w:sz w:val="28"/>
          <w:szCs w:val="28"/>
        </w:rPr>
        <w:t>建议进一步完善专项资金管理办法。一是在资金分配上明确资金的使用方向、使用范围、支付程序等内容；二是进一步完善内控制度。实行项目公示制度、资金报账制度、竣工验收制度等措施，实现专项资金专人管理、专项专用，防止</w:t>
      </w:r>
      <w:r>
        <w:rPr>
          <w:rFonts w:hint="eastAsia" w:ascii="仿宋" w:hAnsi="仿宋" w:eastAsia="仿宋" w:cs="仿宋"/>
          <w:sz w:val="28"/>
          <w:szCs w:val="28"/>
          <w:lang w:eastAsia="zh-CN"/>
        </w:rPr>
        <w:t>虚列</w:t>
      </w:r>
      <w:r>
        <w:rPr>
          <w:rFonts w:hint="eastAsia" w:ascii="仿宋" w:hAnsi="仿宋" w:eastAsia="仿宋" w:cs="仿宋"/>
          <w:sz w:val="28"/>
          <w:szCs w:val="28"/>
        </w:rPr>
        <w:t>、截留、挤占、挪用专项资金；相关部门要不定期的开展专项检查，及时发现存在的问题，督促加以整改，确保规范使用资金。</w:t>
      </w:r>
    </w:p>
    <w:p>
      <w:pPr>
        <w:ind w:firstLine="840" w:firstLineChars="300"/>
        <w:rPr>
          <w:rFonts w:ascii="仿宋" w:hAnsi="仿宋" w:eastAsia="仿宋" w:cs="仿宋"/>
          <w:sz w:val="28"/>
          <w:szCs w:val="28"/>
        </w:rPr>
      </w:pPr>
      <w:r>
        <w:rPr>
          <w:rFonts w:hint="eastAsia" w:ascii="仿宋" w:hAnsi="仿宋" w:eastAsia="仿宋" w:cs="仿宋"/>
          <w:sz w:val="28"/>
          <w:szCs w:val="28"/>
        </w:rPr>
        <w:t>（二）加强项目管理，发挥资金效益</w:t>
      </w:r>
    </w:p>
    <w:p>
      <w:pPr>
        <w:ind w:firstLine="840" w:firstLineChars="300"/>
        <w:rPr>
          <w:rFonts w:ascii="仿宋" w:hAnsi="仿宋" w:eastAsia="仿宋" w:cs="仿宋"/>
          <w:sz w:val="28"/>
          <w:szCs w:val="28"/>
        </w:rPr>
      </w:pPr>
      <w:r>
        <w:rPr>
          <w:rFonts w:hint="eastAsia" w:ascii="仿宋" w:hAnsi="仿宋" w:eastAsia="仿宋" w:cs="仿宋"/>
          <w:sz w:val="28"/>
          <w:szCs w:val="28"/>
        </w:rPr>
        <w:t>建议进一步完善项目管理制度，实现项目与资金安排合理精准；一是在项目的实施上，切实执行好项目的公告公示制度等，确保项目资金在阳光下运行。二是在项目的监督管理上。将事前审核、事中监督、事后验收贯穿于项目管理的全过程，防止专项资金一拨了之的现象发生，尽快发挥资金效益。三是加强项目管理，规范政府采购程序。落实政府采购政策，规范政府采购行为，杜绝项目建设先建后招标或边建边招标</w:t>
      </w:r>
      <w:r>
        <w:rPr>
          <w:rFonts w:hint="eastAsia" w:ascii="仿宋" w:hAnsi="仿宋" w:eastAsia="仿宋" w:cs="仿宋"/>
          <w:sz w:val="28"/>
          <w:szCs w:val="28"/>
          <w:lang w:eastAsia="zh-CN"/>
        </w:rPr>
        <w:t>或</w:t>
      </w:r>
      <w:bookmarkStart w:id="1" w:name="_GoBack"/>
      <w:bookmarkEnd w:id="1"/>
      <w:r>
        <w:rPr>
          <w:rFonts w:hint="eastAsia" w:ascii="仿宋" w:hAnsi="仿宋" w:eastAsia="仿宋" w:cs="仿宋"/>
          <w:sz w:val="28"/>
          <w:szCs w:val="28"/>
        </w:rPr>
        <w:t>不招标现象的发生。</w:t>
      </w:r>
    </w:p>
    <w:p>
      <w:pPr>
        <w:ind w:firstLine="840" w:firstLineChars="300"/>
        <w:rPr>
          <w:rFonts w:ascii="仿宋" w:hAnsi="仿宋" w:eastAsia="仿宋" w:cs="仿宋"/>
          <w:sz w:val="28"/>
          <w:szCs w:val="28"/>
        </w:rPr>
      </w:pPr>
      <w:r>
        <w:rPr>
          <w:rFonts w:hint="eastAsia" w:ascii="仿宋" w:hAnsi="仿宋" w:eastAsia="仿宋" w:cs="仿宋"/>
          <w:sz w:val="28"/>
          <w:szCs w:val="28"/>
        </w:rPr>
        <w:t>（三）加强绩效管理，发挥绩效指挥棒的作用。</w:t>
      </w:r>
    </w:p>
    <w:p>
      <w:pPr>
        <w:ind w:firstLine="840" w:firstLineChars="300"/>
        <w:rPr>
          <w:rFonts w:ascii="仿宋" w:hAnsi="仿宋" w:eastAsia="仿宋" w:cs="仿宋"/>
          <w:sz w:val="28"/>
          <w:szCs w:val="28"/>
        </w:rPr>
      </w:pPr>
      <w:r>
        <w:rPr>
          <w:rFonts w:hint="eastAsia" w:ascii="仿宋" w:hAnsi="仿宋" w:eastAsia="仿宋" w:cs="仿宋"/>
          <w:sz w:val="28"/>
          <w:szCs w:val="28"/>
        </w:rPr>
        <w:t>一是严格按绩效管理的要求组织开展绩效目标编制和申报、项目资金跟踪监控。对存在的问题及时进行整改，提升资金使用效益。</w:t>
      </w:r>
    </w:p>
    <w:p>
      <w:pPr>
        <w:pStyle w:val="14"/>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二是合理的设置绩效目标。</w:t>
      </w:r>
      <w:r>
        <w:rPr>
          <w:rFonts w:hint="eastAsia" w:ascii="仿宋" w:hAnsi="仿宋" w:eastAsia="仿宋" w:cs="仿宋"/>
          <w:color w:val="000000"/>
          <w:kern w:val="0"/>
          <w:sz w:val="28"/>
          <w:szCs w:val="28"/>
        </w:rPr>
        <w:t>项目单位在设置绩效目标时，财务部门应加强与业务部门的沟通配合，根据往年实施情况与工作计划认真分析和提炼后，科学完整设置清晰明确、量化可衡量的年度绩效目标和指标，绩效目标应全面反映项目主要实施内容、质量标准，科学设置服务对象满意度。</w:t>
      </w:r>
    </w:p>
    <w:p>
      <w:pPr>
        <w:shd w:val="clear" w:color="auto" w:fill="FFFFFF"/>
        <w:spacing w:line="360" w:lineRule="auto"/>
        <w:ind w:left="279" w:leftChars="133" w:firstLine="355" w:firstLineChars="127"/>
        <w:outlineLvl w:val="0"/>
        <w:rPr>
          <w:rFonts w:ascii="仿宋" w:hAnsi="仿宋" w:eastAsia="仿宋" w:cs="仿宋"/>
          <w:sz w:val="28"/>
          <w:szCs w:val="28"/>
        </w:rPr>
      </w:pPr>
      <w:r>
        <w:rPr>
          <w:rFonts w:hint="eastAsia" w:ascii="仿宋" w:hAnsi="仿宋" w:eastAsia="仿宋" w:cs="仿宋"/>
          <w:sz w:val="28"/>
          <w:szCs w:val="28"/>
        </w:rPr>
        <w:t>三是建议建立绩效评价结果应用机制，充分考虑2022年度干线公路养护经费预算资金执行率情况及绩效评价结果，将绩效评价工作结果纳入年度评选考核中。</w:t>
      </w:r>
    </w:p>
    <w:p>
      <w:pPr>
        <w:pStyle w:val="14"/>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附：项目绩效评价指标评分表</w:t>
      </w:r>
      <w:bookmarkEnd w:id="0"/>
    </w:p>
    <w:p>
      <w:pPr>
        <w:pStyle w:val="14"/>
        <w:spacing w:line="360" w:lineRule="auto"/>
        <w:ind w:firstLine="560" w:firstLineChars="200"/>
        <w:rPr>
          <w:rFonts w:ascii="仿宋" w:hAnsi="仿宋" w:eastAsia="仿宋" w:cs="仿宋"/>
          <w:sz w:val="28"/>
          <w:szCs w:val="28"/>
        </w:rPr>
      </w:pPr>
    </w:p>
    <w:p>
      <w:pPr>
        <w:pStyle w:val="14"/>
        <w:rPr>
          <w:rFonts w:ascii="仿宋" w:hAnsi="仿宋" w:eastAsia="仿宋" w:cs="仿宋"/>
          <w:sz w:val="28"/>
          <w:szCs w:val="28"/>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湖南新财苑会计师事务所            中国注册会计师：</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 xml:space="preserve">  有限公司                                                                   </w:t>
      </w:r>
    </w:p>
    <w:p>
      <w:pPr>
        <w:spacing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 xml:space="preserve">                                  中国注册会计师： </w:t>
      </w:r>
    </w:p>
    <w:p>
      <w:pPr>
        <w:spacing w:line="240" w:lineRule="auto"/>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360" w:lineRule="auto"/>
        <w:ind w:firstLine="703" w:firstLineChars="250"/>
        <w:rPr>
          <w:rFonts w:ascii="仿宋" w:hAnsi="仿宋" w:eastAsia="仿宋"/>
          <w:sz w:val="24"/>
          <w:szCs w:val="24"/>
        </w:rPr>
      </w:pPr>
      <w:r>
        <w:rPr>
          <w:rFonts w:hint="eastAsia" w:ascii="仿宋" w:hAnsi="仿宋" w:eastAsia="仿宋" w:cs="仿宋"/>
          <w:b/>
          <w:color w:val="000000"/>
          <w:sz w:val="28"/>
          <w:szCs w:val="28"/>
        </w:rPr>
        <w:t>湖南  长沙</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w:t>
      </w:r>
      <w:r>
        <w:rPr>
          <w:rFonts w:hint="eastAsia" w:ascii="宋体" w:hAnsi="宋体" w:eastAsia="宋体" w:cs="宋体"/>
          <w:b/>
          <w:color w:val="000000"/>
          <w:sz w:val="28"/>
          <w:szCs w:val="28"/>
        </w:rPr>
        <w:t> </w:t>
      </w:r>
      <w:r>
        <w:rPr>
          <w:rFonts w:hint="eastAsia" w:ascii="仿宋" w:hAnsi="仿宋" w:eastAsia="仿宋" w:cs="仿宋"/>
          <w:b/>
          <w:color w:val="000000"/>
          <w:sz w:val="28"/>
          <w:szCs w:val="28"/>
        </w:rPr>
        <w:t xml:space="preserve">  2023年8月8日</w:t>
      </w:r>
    </w:p>
    <w:p>
      <w:pPr>
        <w:tabs>
          <w:tab w:val="left" w:pos="2605"/>
        </w:tabs>
        <w:rPr>
          <w:rFonts w:ascii="仿宋" w:hAnsi="仿宋" w:eastAsia="仿宋"/>
          <w:sz w:val="24"/>
          <w:szCs w:val="24"/>
        </w:rPr>
        <w:sectPr>
          <w:footerReference r:id="rId5" w:type="default"/>
          <w:pgSz w:w="11906" w:h="16838"/>
          <w:pgMar w:top="1440" w:right="1706" w:bottom="1758" w:left="1800" w:header="851" w:footer="992" w:gutter="0"/>
          <w:cols w:space="425" w:num="1"/>
          <w:docGrid w:type="lines" w:linePitch="312" w:charSpace="0"/>
        </w:sectPr>
      </w:pPr>
      <w:r>
        <w:rPr>
          <w:rFonts w:ascii="仿宋" w:hAnsi="仿宋" w:eastAsia="仿宋"/>
          <w:sz w:val="24"/>
          <w:szCs w:val="24"/>
        </w:rPr>
        <w:tab/>
      </w:r>
    </w:p>
    <w:p>
      <w:pPr>
        <w:pStyle w:val="2"/>
        <w:spacing w:line="240" w:lineRule="auto"/>
      </w:pPr>
    </w:p>
    <w:sectPr>
      <w:footerReference r:id="rId6" w:type="default"/>
      <w:pgSz w:w="11906" w:h="16838"/>
      <w:pgMar w:top="1440" w:right="1479" w:bottom="1440" w:left="1600"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8492"/>
    </w:sdtPr>
    <w:sdtContent>
      <w:p>
        <w:pPr>
          <w:pStyle w:val="5"/>
          <w:jc w:val="right"/>
        </w:pPr>
        <w:r>
          <w:fldChar w:fldCharType="begin"/>
        </w:r>
        <w:r>
          <w:instrText xml:space="preserve"> PAGE   \* MERGEFORMAT </w:instrText>
        </w:r>
        <w:r>
          <w:fldChar w:fldCharType="separate"/>
        </w:r>
        <w:r>
          <w:rPr>
            <w:lang w:val="zh-CN"/>
          </w:rPr>
          <w:t>12</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5ZDFkMDAzMmU2ZGQyNTYzNzQwZWY3ODI5MmVkODcifQ=="/>
  </w:docVars>
  <w:rsids>
    <w:rsidRoot w:val="007C479B"/>
    <w:rsid w:val="00003A32"/>
    <w:rsid w:val="000435D5"/>
    <w:rsid w:val="000504B0"/>
    <w:rsid w:val="00055F34"/>
    <w:rsid w:val="0005664A"/>
    <w:rsid w:val="00060537"/>
    <w:rsid w:val="0007101D"/>
    <w:rsid w:val="00074F9E"/>
    <w:rsid w:val="0008148B"/>
    <w:rsid w:val="00083158"/>
    <w:rsid w:val="0008775B"/>
    <w:rsid w:val="000A4E3A"/>
    <w:rsid w:val="000B099C"/>
    <w:rsid w:val="000B412D"/>
    <w:rsid w:val="000B4685"/>
    <w:rsid w:val="000B4867"/>
    <w:rsid w:val="000D4DF8"/>
    <w:rsid w:val="000F6E77"/>
    <w:rsid w:val="00104345"/>
    <w:rsid w:val="001135CD"/>
    <w:rsid w:val="00116E09"/>
    <w:rsid w:val="00120501"/>
    <w:rsid w:val="00122845"/>
    <w:rsid w:val="00134C07"/>
    <w:rsid w:val="00137D4A"/>
    <w:rsid w:val="001554AE"/>
    <w:rsid w:val="001654DF"/>
    <w:rsid w:val="001655D3"/>
    <w:rsid w:val="00184877"/>
    <w:rsid w:val="00184E6D"/>
    <w:rsid w:val="00185F95"/>
    <w:rsid w:val="001904B1"/>
    <w:rsid w:val="00192988"/>
    <w:rsid w:val="00194827"/>
    <w:rsid w:val="00195BF7"/>
    <w:rsid w:val="001A1C99"/>
    <w:rsid w:val="001B60CB"/>
    <w:rsid w:val="001D2D2E"/>
    <w:rsid w:val="001D31A5"/>
    <w:rsid w:val="001F0A9A"/>
    <w:rsid w:val="00216E3E"/>
    <w:rsid w:val="00226198"/>
    <w:rsid w:val="00230A8B"/>
    <w:rsid w:val="00242D09"/>
    <w:rsid w:val="0025488E"/>
    <w:rsid w:val="002561D6"/>
    <w:rsid w:val="00267039"/>
    <w:rsid w:val="002806E4"/>
    <w:rsid w:val="00282831"/>
    <w:rsid w:val="00297B7E"/>
    <w:rsid w:val="002B1BAA"/>
    <w:rsid w:val="002C7542"/>
    <w:rsid w:val="002E3A16"/>
    <w:rsid w:val="002F0C6E"/>
    <w:rsid w:val="002F36DB"/>
    <w:rsid w:val="00311B05"/>
    <w:rsid w:val="00323334"/>
    <w:rsid w:val="0034311B"/>
    <w:rsid w:val="00344374"/>
    <w:rsid w:val="00366AF4"/>
    <w:rsid w:val="00382315"/>
    <w:rsid w:val="00383F7D"/>
    <w:rsid w:val="00386730"/>
    <w:rsid w:val="003E5308"/>
    <w:rsid w:val="003E5969"/>
    <w:rsid w:val="003F5513"/>
    <w:rsid w:val="004259F6"/>
    <w:rsid w:val="004272F7"/>
    <w:rsid w:val="00436364"/>
    <w:rsid w:val="00443FAD"/>
    <w:rsid w:val="0045022D"/>
    <w:rsid w:val="004668C2"/>
    <w:rsid w:val="00474157"/>
    <w:rsid w:val="00494A0A"/>
    <w:rsid w:val="004A564D"/>
    <w:rsid w:val="004C4C94"/>
    <w:rsid w:val="004C65FE"/>
    <w:rsid w:val="004D3CF8"/>
    <w:rsid w:val="004E0691"/>
    <w:rsid w:val="004E2F6B"/>
    <w:rsid w:val="004F0801"/>
    <w:rsid w:val="004F1790"/>
    <w:rsid w:val="00526CFE"/>
    <w:rsid w:val="00550678"/>
    <w:rsid w:val="00550CED"/>
    <w:rsid w:val="00553492"/>
    <w:rsid w:val="00560230"/>
    <w:rsid w:val="00575137"/>
    <w:rsid w:val="00587A7F"/>
    <w:rsid w:val="00587B27"/>
    <w:rsid w:val="005912B3"/>
    <w:rsid w:val="005B26CC"/>
    <w:rsid w:val="005B2C7B"/>
    <w:rsid w:val="005C2E32"/>
    <w:rsid w:val="005D697A"/>
    <w:rsid w:val="005F43D7"/>
    <w:rsid w:val="005F6C2B"/>
    <w:rsid w:val="006102DF"/>
    <w:rsid w:val="0063151F"/>
    <w:rsid w:val="00633D23"/>
    <w:rsid w:val="006433BF"/>
    <w:rsid w:val="006445D1"/>
    <w:rsid w:val="0065554C"/>
    <w:rsid w:val="006577D2"/>
    <w:rsid w:val="0066692C"/>
    <w:rsid w:val="00684559"/>
    <w:rsid w:val="00695B03"/>
    <w:rsid w:val="006A764F"/>
    <w:rsid w:val="006C064A"/>
    <w:rsid w:val="006C06A3"/>
    <w:rsid w:val="006C0C7C"/>
    <w:rsid w:val="006C5ECB"/>
    <w:rsid w:val="006E7CE6"/>
    <w:rsid w:val="006F5DB2"/>
    <w:rsid w:val="007204BD"/>
    <w:rsid w:val="00750A04"/>
    <w:rsid w:val="00753FDC"/>
    <w:rsid w:val="007575CF"/>
    <w:rsid w:val="00774395"/>
    <w:rsid w:val="0077621A"/>
    <w:rsid w:val="007808D7"/>
    <w:rsid w:val="00782827"/>
    <w:rsid w:val="007A03F2"/>
    <w:rsid w:val="007A2F27"/>
    <w:rsid w:val="007B1331"/>
    <w:rsid w:val="007B26BB"/>
    <w:rsid w:val="007C0A09"/>
    <w:rsid w:val="007C479B"/>
    <w:rsid w:val="007D226B"/>
    <w:rsid w:val="007F0D6F"/>
    <w:rsid w:val="007F0F08"/>
    <w:rsid w:val="007F6D47"/>
    <w:rsid w:val="00804AB3"/>
    <w:rsid w:val="00820388"/>
    <w:rsid w:val="008372E6"/>
    <w:rsid w:val="00837E88"/>
    <w:rsid w:val="008410A9"/>
    <w:rsid w:val="00843BB0"/>
    <w:rsid w:val="008476D9"/>
    <w:rsid w:val="00851A90"/>
    <w:rsid w:val="00856006"/>
    <w:rsid w:val="00877357"/>
    <w:rsid w:val="00882010"/>
    <w:rsid w:val="0088257C"/>
    <w:rsid w:val="0089497D"/>
    <w:rsid w:val="008A2FF7"/>
    <w:rsid w:val="008A6E01"/>
    <w:rsid w:val="008C5AE7"/>
    <w:rsid w:val="008C7743"/>
    <w:rsid w:val="00910F53"/>
    <w:rsid w:val="00935432"/>
    <w:rsid w:val="00951405"/>
    <w:rsid w:val="00953DBF"/>
    <w:rsid w:val="00962838"/>
    <w:rsid w:val="009A39E7"/>
    <w:rsid w:val="009A423C"/>
    <w:rsid w:val="009C2437"/>
    <w:rsid w:val="009C2B00"/>
    <w:rsid w:val="00A02A9F"/>
    <w:rsid w:val="00A103EB"/>
    <w:rsid w:val="00A24AB6"/>
    <w:rsid w:val="00A31CAA"/>
    <w:rsid w:val="00A442E9"/>
    <w:rsid w:val="00A5129F"/>
    <w:rsid w:val="00A74491"/>
    <w:rsid w:val="00A910B7"/>
    <w:rsid w:val="00A97179"/>
    <w:rsid w:val="00AC55CA"/>
    <w:rsid w:val="00AD4253"/>
    <w:rsid w:val="00AE5754"/>
    <w:rsid w:val="00AE72AE"/>
    <w:rsid w:val="00AF5366"/>
    <w:rsid w:val="00B07E15"/>
    <w:rsid w:val="00B116F8"/>
    <w:rsid w:val="00B15A67"/>
    <w:rsid w:val="00B16CDF"/>
    <w:rsid w:val="00B16D40"/>
    <w:rsid w:val="00B26772"/>
    <w:rsid w:val="00B52AEA"/>
    <w:rsid w:val="00B53AC5"/>
    <w:rsid w:val="00B57CBB"/>
    <w:rsid w:val="00B6615A"/>
    <w:rsid w:val="00B86DB9"/>
    <w:rsid w:val="00B91B62"/>
    <w:rsid w:val="00B934F1"/>
    <w:rsid w:val="00BC4683"/>
    <w:rsid w:val="00BC4CC0"/>
    <w:rsid w:val="00BD4A81"/>
    <w:rsid w:val="00BF2B9C"/>
    <w:rsid w:val="00C04636"/>
    <w:rsid w:val="00C31D03"/>
    <w:rsid w:val="00C32ADE"/>
    <w:rsid w:val="00C356A4"/>
    <w:rsid w:val="00C37050"/>
    <w:rsid w:val="00C434B2"/>
    <w:rsid w:val="00C52796"/>
    <w:rsid w:val="00C5451A"/>
    <w:rsid w:val="00C5620B"/>
    <w:rsid w:val="00C653F2"/>
    <w:rsid w:val="00C8008E"/>
    <w:rsid w:val="00C977E6"/>
    <w:rsid w:val="00CB6105"/>
    <w:rsid w:val="00CC6F0D"/>
    <w:rsid w:val="00CD7012"/>
    <w:rsid w:val="00D05F86"/>
    <w:rsid w:val="00D3189A"/>
    <w:rsid w:val="00D52884"/>
    <w:rsid w:val="00D5715C"/>
    <w:rsid w:val="00D57E0B"/>
    <w:rsid w:val="00D66E04"/>
    <w:rsid w:val="00D96BC5"/>
    <w:rsid w:val="00DA6824"/>
    <w:rsid w:val="00DD40CA"/>
    <w:rsid w:val="00DE6903"/>
    <w:rsid w:val="00DF3CD9"/>
    <w:rsid w:val="00E16ECE"/>
    <w:rsid w:val="00E2302E"/>
    <w:rsid w:val="00E33060"/>
    <w:rsid w:val="00E61708"/>
    <w:rsid w:val="00E63EBD"/>
    <w:rsid w:val="00E749CE"/>
    <w:rsid w:val="00E77D97"/>
    <w:rsid w:val="00E84814"/>
    <w:rsid w:val="00E92E75"/>
    <w:rsid w:val="00E94C76"/>
    <w:rsid w:val="00EA5633"/>
    <w:rsid w:val="00EB17F5"/>
    <w:rsid w:val="00EC5960"/>
    <w:rsid w:val="00F11F5A"/>
    <w:rsid w:val="00F127F0"/>
    <w:rsid w:val="00F368EE"/>
    <w:rsid w:val="00F5441B"/>
    <w:rsid w:val="00F94084"/>
    <w:rsid w:val="00FB0E3E"/>
    <w:rsid w:val="00FC3462"/>
    <w:rsid w:val="00FF5F95"/>
    <w:rsid w:val="014F40D2"/>
    <w:rsid w:val="01751329"/>
    <w:rsid w:val="01BE5B29"/>
    <w:rsid w:val="01EF4770"/>
    <w:rsid w:val="02153FDF"/>
    <w:rsid w:val="0248572F"/>
    <w:rsid w:val="02535CBD"/>
    <w:rsid w:val="025D7C63"/>
    <w:rsid w:val="027C5214"/>
    <w:rsid w:val="02843DE3"/>
    <w:rsid w:val="02C366D0"/>
    <w:rsid w:val="02DD2177"/>
    <w:rsid w:val="030A301C"/>
    <w:rsid w:val="03B42042"/>
    <w:rsid w:val="04C82992"/>
    <w:rsid w:val="0526590B"/>
    <w:rsid w:val="0543644E"/>
    <w:rsid w:val="05467D5B"/>
    <w:rsid w:val="055A6857"/>
    <w:rsid w:val="058D6A20"/>
    <w:rsid w:val="05966AB1"/>
    <w:rsid w:val="059B00A7"/>
    <w:rsid w:val="05F64E2B"/>
    <w:rsid w:val="061B11E8"/>
    <w:rsid w:val="064135BD"/>
    <w:rsid w:val="067A412C"/>
    <w:rsid w:val="06CD6519"/>
    <w:rsid w:val="06EF00BD"/>
    <w:rsid w:val="07295326"/>
    <w:rsid w:val="073C4B29"/>
    <w:rsid w:val="0784032F"/>
    <w:rsid w:val="07C7099F"/>
    <w:rsid w:val="07FB6BDB"/>
    <w:rsid w:val="087C3FB5"/>
    <w:rsid w:val="08F00744"/>
    <w:rsid w:val="092110D5"/>
    <w:rsid w:val="0989137F"/>
    <w:rsid w:val="0A490059"/>
    <w:rsid w:val="0A701126"/>
    <w:rsid w:val="0AAF1EFF"/>
    <w:rsid w:val="0B457BB2"/>
    <w:rsid w:val="0B4C4C98"/>
    <w:rsid w:val="0C915D60"/>
    <w:rsid w:val="0C9D1956"/>
    <w:rsid w:val="0D2D74C1"/>
    <w:rsid w:val="0E0D4557"/>
    <w:rsid w:val="0E5C5096"/>
    <w:rsid w:val="0EA62722"/>
    <w:rsid w:val="0F5B2655"/>
    <w:rsid w:val="0F80391C"/>
    <w:rsid w:val="0FA77648"/>
    <w:rsid w:val="102216A0"/>
    <w:rsid w:val="10627BEA"/>
    <w:rsid w:val="10A225A9"/>
    <w:rsid w:val="10AA527C"/>
    <w:rsid w:val="110D3CF9"/>
    <w:rsid w:val="111C76EC"/>
    <w:rsid w:val="113B1A46"/>
    <w:rsid w:val="11E903EC"/>
    <w:rsid w:val="12BC79FF"/>
    <w:rsid w:val="12EF5198"/>
    <w:rsid w:val="131660FD"/>
    <w:rsid w:val="134578A4"/>
    <w:rsid w:val="135B5B60"/>
    <w:rsid w:val="13620C73"/>
    <w:rsid w:val="139A7BF0"/>
    <w:rsid w:val="139E6CC7"/>
    <w:rsid w:val="15170610"/>
    <w:rsid w:val="152E5EEC"/>
    <w:rsid w:val="154B2CA2"/>
    <w:rsid w:val="156839A2"/>
    <w:rsid w:val="158100AB"/>
    <w:rsid w:val="15B07BCB"/>
    <w:rsid w:val="15BF3123"/>
    <w:rsid w:val="15DF0F56"/>
    <w:rsid w:val="164D21D1"/>
    <w:rsid w:val="16922E00"/>
    <w:rsid w:val="16EB42BE"/>
    <w:rsid w:val="16F315E3"/>
    <w:rsid w:val="17341C0D"/>
    <w:rsid w:val="17E922B9"/>
    <w:rsid w:val="180B3EAF"/>
    <w:rsid w:val="18F45BA2"/>
    <w:rsid w:val="1979163D"/>
    <w:rsid w:val="19CF4072"/>
    <w:rsid w:val="1A7840BB"/>
    <w:rsid w:val="1AE708E5"/>
    <w:rsid w:val="1BC85EAE"/>
    <w:rsid w:val="1BEF7C29"/>
    <w:rsid w:val="1C4E543B"/>
    <w:rsid w:val="1C7724CB"/>
    <w:rsid w:val="1C8D6788"/>
    <w:rsid w:val="1CD13C5D"/>
    <w:rsid w:val="1E7D720A"/>
    <w:rsid w:val="1E8A6837"/>
    <w:rsid w:val="1EAC4C7B"/>
    <w:rsid w:val="1F2E38E2"/>
    <w:rsid w:val="1F3628AD"/>
    <w:rsid w:val="1F5D7D23"/>
    <w:rsid w:val="1F7774AB"/>
    <w:rsid w:val="1FD60E47"/>
    <w:rsid w:val="20997E39"/>
    <w:rsid w:val="20A354A6"/>
    <w:rsid w:val="20F472D2"/>
    <w:rsid w:val="20FE1D1A"/>
    <w:rsid w:val="211B39F2"/>
    <w:rsid w:val="21693CF5"/>
    <w:rsid w:val="225F406B"/>
    <w:rsid w:val="22A2261D"/>
    <w:rsid w:val="23DD293B"/>
    <w:rsid w:val="24172B97"/>
    <w:rsid w:val="241E06A0"/>
    <w:rsid w:val="24554A6E"/>
    <w:rsid w:val="24855D52"/>
    <w:rsid w:val="259326F1"/>
    <w:rsid w:val="25D86356"/>
    <w:rsid w:val="25E3600C"/>
    <w:rsid w:val="26135122"/>
    <w:rsid w:val="26CC5BA3"/>
    <w:rsid w:val="270A34D1"/>
    <w:rsid w:val="2719110D"/>
    <w:rsid w:val="27267B08"/>
    <w:rsid w:val="27C35BCB"/>
    <w:rsid w:val="297A3651"/>
    <w:rsid w:val="29DD2DD9"/>
    <w:rsid w:val="2A37362A"/>
    <w:rsid w:val="2B1D1A53"/>
    <w:rsid w:val="2B21623F"/>
    <w:rsid w:val="2B8B6721"/>
    <w:rsid w:val="2BDD7627"/>
    <w:rsid w:val="2BE21028"/>
    <w:rsid w:val="2BF74994"/>
    <w:rsid w:val="2CC30CD8"/>
    <w:rsid w:val="2DA5502E"/>
    <w:rsid w:val="2E0C6104"/>
    <w:rsid w:val="2E184E4B"/>
    <w:rsid w:val="2E2665C6"/>
    <w:rsid w:val="2EAC202B"/>
    <w:rsid w:val="2EB84F76"/>
    <w:rsid w:val="2ECB50F6"/>
    <w:rsid w:val="2F212B1B"/>
    <w:rsid w:val="2F482285"/>
    <w:rsid w:val="2F6D5D61"/>
    <w:rsid w:val="301E705B"/>
    <w:rsid w:val="30304DD3"/>
    <w:rsid w:val="30414E2D"/>
    <w:rsid w:val="30433499"/>
    <w:rsid w:val="30601689"/>
    <w:rsid w:val="306A7D83"/>
    <w:rsid w:val="30C94526"/>
    <w:rsid w:val="31461624"/>
    <w:rsid w:val="31776EAE"/>
    <w:rsid w:val="32124428"/>
    <w:rsid w:val="32CB13D2"/>
    <w:rsid w:val="34063F53"/>
    <w:rsid w:val="34113170"/>
    <w:rsid w:val="343C2127"/>
    <w:rsid w:val="345D27B8"/>
    <w:rsid w:val="349433B7"/>
    <w:rsid w:val="34CA0803"/>
    <w:rsid w:val="34EE3451"/>
    <w:rsid w:val="34F5482E"/>
    <w:rsid w:val="34FE05C6"/>
    <w:rsid w:val="35036936"/>
    <w:rsid w:val="360E28A4"/>
    <w:rsid w:val="365A55A5"/>
    <w:rsid w:val="36790A2F"/>
    <w:rsid w:val="37603D5F"/>
    <w:rsid w:val="37637F0E"/>
    <w:rsid w:val="376460AE"/>
    <w:rsid w:val="37885DF4"/>
    <w:rsid w:val="379950DA"/>
    <w:rsid w:val="37B22EAA"/>
    <w:rsid w:val="381E5E4A"/>
    <w:rsid w:val="38D96215"/>
    <w:rsid w:val="38EF0808"/>
    <w:rsid w:val="396226AE"/>
    <w:rsid w:val="39C72A49"/>
    <w:rsid w:val="3A3951BD"/>
    <w:rsid w:val="3A622326"/>
    <w:rsid w:val="3A6E1D70"/>
    <w:rsid w:val="3A7E5989"/>
    <w:rsid w:val="3AEC4108"/>
    <w:rsid w:val="3B1A4356"/>
    <w:rsid w:val="3B5953EB"/>
    <w:rsid w:val="3C071671"/>
    <w:rsid w:val="3C9E5A42"/>
    <w:rsid w:val="3CAE29CD"/>
    <w:rsid w:val="3DA77E60"/>
    <w:rsid w:val="3DD817B9"/>
    <w:rsid w:val="3E063608"/>
    <w:rsid w:val="3E5915D6"/>
    <w:rsid w:val="3E7C3FB1"/>
    <w:rsid w:val="3EAB4F96"/>
    <w:rsid w:val="3F020BC6"/>
    <w:rsid w:val="3F217613"/>
    <w:rsid w:val="3F357C88"/>
    <w:rsid w:val="3F3C231B"/>
    <w:rsid w:val="3FA64167"/>
    <w:rsid w:val="3FC000E3"/>
    <w:rsid w:val="3FC543E9"/>
    <w:rsid w:val="405C03BC"/>
    <w:rsid w:val="41437A47"/>
    <w:rsid w:val="418C5FCD"/>
    <w:rsid w:val="41B66CEF"/>
    <w:rsid w:val="41CC5867"/>
    <w:rsid w:val="420F1B9A"/>
    <w:rsid w:val="42294DF3"/>
    <w:rsid w:val="42853D58"/>
    <w:rsid w:val="428A209A"/>
    <w:rsid w:val="42924FD7"/>
    <w:rsid w:val="42B44789"/>
    <w:rsid w:val="42ED2846"/>
    <w:rsid w:val="43157A5D"/>
    <w:rsid w:val="4387362C"/>
    <w:rsid w:val="439A6AE5"/>
    <w:rsid w:val="439B04F4"/>
    <w:rsid w:val="44226CC2"/>
    <w:rsid w:val="44572239"/>
    <w:rsid w:val="44A26055"/>
    <w:rsid w:val="45520977"/>
    <w:rsid w:val="45737CCF"/>
    <w:rsid w:val="45DD3306"/>
    <w:rsid w:val="460B2688"/>
    <w:rsid w:val="46761D34"/>
    <w:rsid w:val="4678130C"/>
    <w:rsid w:val="47594B82"/>
    <w:rsid w:val="477F0ED6"/>
    <w:rsid w:val="479F38D2"/>
    <w:rsid w:val="47C55164"/>
    <w:rsid w:val="480C59EA"/>
    <w:rsid w:val="48465639"/>
    <w:rsid w:val="49144CD5"/>
    <w:rsid w:val="495A6EFE"/>
    <w:rsid w:val="49AF0269"/>
    <w:rsid w:val="49BC7C13"/>
    <w:rsid w:val="49E22ED1"/>
    <w:rsid w:val="49F90EFD"/>
    <w:rsid w:val="4A3E2980"/>
    <w:rsid w:val="4A74384D"/>
    <w:rsid w:val="4ABA22C2"/>
    <w:rsid w:val="4ACA7888"/>
    <w:rsid w:val="4AD01E49"/>
    <w:rsid w:val="4B6202EC"/>
    <w:rsid w:val="4B983D0E"/>
    <w:rsid w:val="4BB22F56"/>
    <w:rsid w:val="4BB96C57"/>
    <w:rsid w:val="4C3E6205"/>
    <w:rsid w:val="4C9715E5"/>
    <w:rsid w:val="4D491763"/>
    <w:rsid w:val="4D7604DD"/>
    <w:rsid w:val="4DD37E11"/>
    <w:rsid w:val="4DDC6688"/>
    <w:rsid w:val="4DF01BDF"/>
    <w:rsid w:val="4E104606"/>
    <w:rsid w:val="4E107BE6"/>
    <w:rsid w:val="4EDD62E6"/>
    <w:rsid w:val="4F48631C"/>
    <w:rsid w:val="4F602D94"/>
    <w:rsid w:val="5023004A"/>
    <w:rsid w:val="50555CF6"/>
    <w:rsid w:val="50977AC5"/>
    <w:rsid w:val="51002CE8"/>
    <w:rsid w:val="514D5EFC"/>
    <w:rsid w:val="518100C7"/>
    <w:rsid w:val="51823560"/>
    <w:rsid w:val="519937D4"/>
    <w:rsid w:val="519D5EBD"/>
    <w:rsid w:val="51BE72B3"/>
    <w:rsid w:val="52573C68"/>
    <w:rsid w:val="52825B1B"/>
    <w:rsid w:val="52893469"/>
    <w:rsid w:val="52DC6BD6"/>
    <w:rsid w:val="53C10EEE"/>
    <w:rsid w:val="53E12E5C"/>
    <w:rsid w:val="53EE50C6"/>
    <w:rsid w:val="54121A59"/>
    <w:rsid w:val="54412A09"/>
    <w:rsid w:val="54BC7EF3"/>
    <w:rsid w:val="54CF7554"/>
    <w:rsid w:val="54E51D72"/>
    <w:rsid w:val="55791E47"/>
    <w:rsid w:val="560866F6"/>
    <w:rsid w:val="56271E13"/>
    <w:rsid w:val="56614D75"/>
    <w:rsid w:val="567D5E10"/>
    <w:rsid w:val="56ED6BDD"/>
    <w:rsid w:val="57284198"/>
    <w:rsid w:val="577E2B19"/>
    <w:rsid w:val="579C337F"/>
    <w:rsid w:val="57CE1423"/>
    <w:rsid w:val="580E15DF"/>
    <w:rsid w:val="58886D83"/>
    <w:rsid w:val="594A0614"/>
    <w:rsid w:val="599D5BC1"/>
    <w:rsid w:val="59D31DDD"/>
    <w:rsid w:val="5A1928A1"/>
    <w:rsid w:val="5A4720BF"/>
    <w:rsid w:val="5AC42360"/>
    <w:rsid w:val="5B466507"/>
    <w:rsid w:val="5BEB50DB"/>
    <w:rsid w:val="5BFD6EA2"/>
    <w:rsid w:val="5C970DDF"/>
    <w:rsid w:val="5D3C24BD"/>
    <w:rsid w:val="5D4E57A5"/>
    <w:rsid w:val="5D6F5BFB"/>
    <w:rsid w:val="5DF821AC"/>
    <w:rsid w:val="5E4C10B3"/>
    <w:rsid w:val="5EB11C0D"/>
    <w:rsid w:val="5EF7101F"/>
    <w:rsid w:val="5F0246D2"/>
    <w:rsid w:val="5F6A7DC3"/>
    <w:rsid w:val="5F781A34"/>
    <w:rsid w:val="5FA11580"/>
    <w:rsid w:val="60A42E1E"/>
    <w:rsid w:val="60AA0CBA"/>
    <w:rsid w:val="616866BC"/>
    <w:rsid w:val="619B4DBC"/>
    <w:rsid w:val="61D46CA9"/>
    <w:rsid w:val="61D86E23"/>
    <w:rsid w:val="62195BC7"/>
    <w:rsid w:val="62285994"/>
    <w:rsid w:val="622B4D8C"/>
    <w:rsid w:val="623F6249"/>
    <w:rsid w:val="643A623A"/>
    <w:rsid w:val="644252F1"/>
    <w:rsid w:val="649E018F"/>
    <w:rsid w:val="64D25BA0"/>
    <w:rsid w:val="64DF49F5"/>
    <w:rsid w:val="65055979"/>
    <w:rsid w:val="653A2DB6"/>
    <w:rsid w:val="65805570"/>
    <w:rsid w:val="65FD3DC7"/>
    <w:rsid w:val="65FE0761"/>
    <w:rsid w:val="662A6CE6"/>
    <w:rsid w:val="663C7C5F"/>
    <w:rsid w:val="66C61AD7"/>
    <w:rsid w:val="67927854"/>
    <w:rsid w:val="67A34405"/>
    <w:rsid w:val="67D933C4"/>
    <w:rsid w:val="68862FA1"/>
    <w:rsid w:val="689C49E5"/>
    <w:rsid w:val="68AE673B"/>
    <w:rsid w:val="69337081"/>
    <w:rsid w:val="694B01B5"/>
    <w:rsid w:val="69A66664"/>
    <w:rsid w:val="69C16861"/>
    <w:rsid w:val="69D12C7B"/>
    <w:rsid w:val="69EF20EB"/>
    <w:rsid w:val="6A1F2B73"/>
    <w:rsid w:val="6A2918C2"/>
    <w:rsid w:val="6A3C014C"/>
    <w:rsid w:val="6A7618A7"/>
    <w:rsid w:val="6AE03483"/>
    <w:rsid w:val="6B060DFB"/>
    <w:rsid w:val="6BFC4E2C"/>
    <w:rsid w:val="6C2E004A"/>
    <w:rsid w:val="6CB55EFD"/>
    <w:rsid w:val="6CBF7690"/>
    <w:rsid w:val="6DB17653"/>
    <w:rsid w:val="6DCC043E"/>
    <w:rsid w:val="6DDA583B"/>
    <w:rsid w:val="6DF57072"/>
    <w:rsid w:val="6E131A64"/>
    <w:rsid w:val="6E8421A4"/>
    <w:rsid w:val="6EB50B32"/>
    <w:rsid w:val="6F06170C"/>
    <w:rsid w:val="6F885CC3"/>
    <w:rsid w:val="6F983F70"/>
    <w:rsid w:val="6FCE1F88"/>
    <w:rsid w:val="6FDC2866"/>
    <w:rsid w:val="70056FCC"/>
    <w:rsid w:val="705A7861"/>
    <w:rsid w:val="7071681B"/>
    <w:rsid w:val="707338F9"/>
    <w:rsid w:val="70EE5445"/>
    <w:rsid w:val="713E0857"/>
    <w:rsid w:val="71E40BFB"/>
    <w:rsid w:val="722E7F4E"/>
    <w:rsid w:val="72583545"/>
    <w:rsid w:val="72740A66"/>
    <w:rsid w:val="72A03FF2"/>
    <w:rsid w:val="7338518F"/>
    <w:rsid w:val="734B29F4"/>
    <w:rsid w:val="74941A44"/>
    <w:rsid w:val="74AB31F3"/>
    <w:rsid w:val="74C54259"/>
    <w:rsid w:val="74CD7A9E"/>
    <w:rsid w:val="74D956D9"/>
    <w:rsid w:val="752C4F4C"/>
    <w:rsid w:val="7536614C"/>
    <w:rsid w:val="757E2E34"/>
    <w:rsid w:val="75F83B4C"/>
    <w:rsid w:val="767C19B2"/>
    <w:rsid w:val="77822FE1"/>
    <w:rsid w:val="77C4603B"/>
    <w:rsid w:val="77CB600D"/>
    <w:rsid w:val="77DE46D3"/>
    <w:rsid w:val="789C3683"/>
    <w:rsid w:val="793A357B"/>
    <w:rsid w:val="79591E96"/>
    <w:rsid w:val="79E80B77"/>
    <w:rsid w:val="79F50F4D"/>
    <w:rsid w:val="79F707EE"/>
    <w:rsid w:val="7A036024"/>
    <w:rsid w:val="7A6D41C1"/>
    <w:rsid w:val="7B731386"/>
    <w:rsid w:val="7B8B68F2"/>
    <w:rsid w:val="7B927C1F"/>
    <w:rsid w:val="7BBA0FB3"/>
    <w:rsid w:val="7BFE4681"/>
    <w:rsid w:val="7C2B589B"/>
    <w:rsid w:val="7C624C10"/>
    <w:rsid w:val="7C9F45CA"/>
    <w:rsid w:val="7CBC63FC"/>
    <w:rsid w:val="7CE9566A"/>
    <w:rsid w:val="7D0F3580"/>
    <w:rsid w:val="7DBC4E16"/>
    <w:rsid w:val="7DE87CFE"/>
    <w:rsid w:val="7DEF7E01"/>
    <w:rsid w:val="7E7C2E97"/>
    <w:rsid w:val="7E90015A"/>
    <w:rsid w:val="7F4C286A"/>
    <w:rsid w:val="7FA06711"/>
    <w:rsid w:val="7FC61C5D"/>
    <w:rsid w:val="7FCC7A47"/>
    <w:rsid w:val="7FEC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1"/>
    </w:rPr>
  </w:style>
  <w:style w:type="paragraph" w:styleId="3">
    <w:name w:val="annotation text"/>
    <w:basedOn w:val="1"/>
    <w:link w:val="20"/>
    <w:semiHidden/>
    <w:unhideWhenUsed/>
    <w:qFormat/>
    <w:uiPriority w:val="99"/>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7"/>
    <w:unhideWhenUsed/>
    <w:qFormat/>
    <w:uiPriority w:val="99"/>
    <w:pPr>
      <w:tabs>
        <w:tab w:val="center" w:pos="4153"/>
        <w:tab w:val="right" w:pos="8306"/>
      </w:tabs>
      <w:snapToGrid w:val="0"/>
      <w:spacing w:line="240" w:lineRule="atLeast"/>
    </w:pPr>
    <w:rPr>
      <w:sz w:val="18"/>
      <w:szCs w:val="18"/>
    </w:rPr>
  </w:style>
  <w:style w:type="paragraph" w:styleId="6">
    <w:name w:val="header"/>
    <w:basedOn w:val="1"/>
    <w:link w:val="1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toc 1"/>
    <w:basedOn w:val="1"/>
    <w:next w:val="1"/>
    <w:qFormat/>
    <w:uiPriority w:val="0"/>
  </w:style>
  <w:style w:type="paragraph" w:styleId="8">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paragraph" w:styleId="9">
    <w:name w:val="annotation subject"/>
    <w:basedOn w:val="3"/>
    <w:next w:val="3"/>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customStyle="1" w:styleId="13">
    <w:name w:val="Heading3"/>
    <w:basedOn w:val="1"/>
    <w:next w:val="1"/>
    <w:qFormat/>
    <w:uiPriority w:val="0"/>
    <w:pPr>
      <w:spacing w:beforeAutospacing="1" w:afterAutospacing="1"/>
      <w:jc w:val="both"/>
      <w:textAlignment w:val="baseline"/>
    </w:pPr>
    <w:rPr>
      <w:rFonts w:ascii="宋体" w:hAnsi="宋体" w:eastAsia="宋体"/>
      <w:sz w:val="18"/>
      <w:szCs w:val="18"/>
    </w:rPr>
  </w:style>
  <w:style w:type="paragraph" w:styleId="14">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character" w:customStyle="1" w:styleId="16">
    <w:name w:val="页眉 Char"/>
    <w:basedOn w:val="11"/>
    <w:link w:val="6"/>
    <w:semiHidden/>
    <w:qFormat/>
    <w:uiPriority w:val="99"/>
    <w:rPr>
      <w:sz w:val="18"/>
      <w:szCs w:val="18"/>
    </w:rPr>
  </w:style>
  <w:style w:type="character" w:customStyle="1" w:styleId="17">
    <w:name w:val="页脚 Char"/>
    <w:basedOn w:val="11"/>
    <w:link w:val="5"/>
    <w:qFormat/>
    <w:uiPriority w:val="99"/>
    <w:rPr>
      <w:sz w:val="18"/>
      <w:szCs w:val="18"/>
    </w:rPr>
  </w:style>
  <w:style w:type="paragraph" w:customStyle="1" w:styleId="18">
    <w:name w:val="p0"/>
    <w:basedOn w:val="1"/>
    <w:qFormat/>
    <w:uiPriority w:val="0"/>
    <w:pPr>
      <w:spacing w:before="100" w:beforeAutospacing="1" w:after="100" w:afterAutospacing="1" w:line="240" w:lineRule="auto"/>
    </w:pPr>
    <w:rPr>
      <w:rFonts w:ascii="宋体" w:hAnsi="宋体" w:eastAsia="宋体" w:cs="宋体"/>
      <w:color w:val="000000"/>
      <w:kern w:val="0"/>
      <w:sz w:val="18"/>
      <w:szCs w:val="18"/>
    </w:rPr>
  </w:style>
  <w:style w:type="character" w:customStyle="1" w:styleId="19">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20">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9"/>
    <w:semiHidden/>
    <w:qFormat/>
    <w:uiPriority w:val="99"/>
    <w:rPr>
      <w:rFonts w:asciiTheme="minorHAnsi" w:hAnsiTheme="minorHAnsi" w:eastAsiaTheme="minorEastAsia" w:cstheme="minorBidi"/>
      <w:b/>
      <w:bCs/>
      <w:kern w:val="2"/>
      <w:sz w:val="21"/>
      <w:szCs w:val="22"/>
    </w:rPr>
  </w:style>
  <w:style w:type="character" w:customStyle="1" w:styleId="22">
    <w:name w:val="NormalCharacter"/>
    <w:qFormat/>
    <w:uiPriority w:val="0"/>
    <w:rPr>
      <w:rFonts w:ascii="Calibri" w:hAnsi="Calibri"/>
      <w:kern w:val="2"/>
      <w:sz w:val="21"/>
      <w:szCs w:val="21"/>
      <w:lang w:val="en-US" w:eastAsia="zh-CN" w:bidi="ar-SA"/>
    </w:rPr>
  </w:style>
  <w:style w:type="character" w:customStyle="1" w:styleId="23">
    <w:name w:val="text_he1"/>
    <w:basedOn w:val="11"/>
    <w:qFormat/>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BE60FB-B7B2-4633-8451-A126AAA31D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971</Words>
  <Characters>5535</Characters>
  <Lines>46</Lines>
  <Paragraphs>12</Paragraphs>
  <TotalTime>119</TotalTime>
  <ScaleCrop>false</ScaleCrop>
  <LinksUpToDate>false</LinksUpToDate>
  <CharactersWithSpaces>6494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2019-06-06T07:34:00Z</dcterms:created>
  <dc:creator>Administrator</dc:creator>
  <cp:lastModifiedBy>小小小小</cp:lastModifiedBy>
  <cp:lastPrinted>2023-10-24T01:56:00Z</cp:lastPrinted>
  <dcterms:modified xsi:type="dcterms:W3CDTF">2023-11-28T07:13:40Z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C7FF53B2CCB14122AD9A364516437B34_13</vt:lpwstr>
  </property>
</Properties>
</file>