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9CC2E5" w:themeFill="accent1" w:themeFillTint="99"/>
        <w:overflowPunct w:val="0"/>
        <w:jc w:val="center"/>
        <w:textAlignment w:val="baseline"/>
        <w:rPr>
          <w:rFonts w:eastAsia="方正小标宋简体"/>
          <w:b/>
          <w:bCs/>
          <w:kern w:val="21"/>
          <w:sz w:val="72"/>
          <w:szCs w:val="72"/>
        </w:rPr>
      </w:pPr>
      <w:r>
        <w:rPr>
          <w:rFonts w:eastAsia="方正小标宋简体"/>
          <w:b/>
          <w:bCs/>
          <w:kern w:val="21"/>
          <w:sz w:val="72"/>
          <w:szCs w:val="72"/>
        </w:rPr>
        <w:t>第四部分  2020年度</w:t>
      </w:r>
      <w:r>
        <w:rPr>
          <w:rFonts w:hint="eastAsia" w:eastAsia="方正小标宋简体"/>
          <w:b/>
          <w:bCs/>
          <w:kern w:val="21"/>
          <w:sz w:val="72"/>
          <w:szCs w:val="72"/>
        </w:rPr>
        <w:t>南县</w:t>
      </w:r>
      <w:r>
        <w:rPr>
          <w:rFonts w:eastAsia="方正小标宋简体"/>
          <w:b/>
          <w:bCs/>
          <w:kern w:val="21"/>
          <w:sz w:val="72"/>
          <w:szCs w:val="72"/>
        </w:rPr>
        <w:t>债券资金使用及绩效相关说明</w:t>
      </w:r>
    </w:p>
    <w:p>
      <w:pPr>
        <w:pStyle w:val="2"/>
        <w:ind w:left="1470" w:leftChars="700" w:firstLine="0" w:firstLineChars="0"/>
        <w:jc w:val="left"/>
        <w:rPr>
          <w:szCs w:val="32"/>
        </w:rPr>
      </w:pPr>
    </w:p>
    <w:p>
      <w:pPr>
        <w:pStyle w:val="2"/>
        <w:ind w:firstLine="0" w:firstLineChars="0"/>
        <w:jc w:val="center"/>
        <w:rPr>
          <w:szCs w:val="32"/>
        </w:rPr>
      </w:pPr>
      <w:r>
        <w:rPr>
          <w:rFonts w:eastAsia="方正小标宋简体"/>
          <w:b/>
          <w:bCs/>
          <w:sz w:val="56"/>
          <w:szCs w:val="56"/>
        </w:rPr>
        <w:t>目  录</w:t>
      </w:r>
    </w:p>
    <w:p>
      <w:pPr>
        <w:pStyle w:val="2"/>
        <w:ind w:left="1470" w:leftChars="700" w:firstLine="0" w:firstLineChars="0"/>
        <w:jc w:val="left"/>
        <w:rPr>
          <w:szCs w:val="32"/>
        </w:rPr>
      </w:pPr>
    </w:p>
    <w:p>
      <w:pPr>
        <w:pStyle w:val="2"/>
        <w:spacing w:line="720" w:lineRule="auto"/>
        <w:ind w:firstLine="1606" w:firstLineChars="400"/>
        <w:jc w:val="left"/>
        <w:rPr>
          <w:b/>
          <w:bCs/>
          <w:sz w:val="40"/>
          <w:szCs w:val="40"/>
        </w:rPr>
      </w:pPr>
      <w:r>
        <w:rPr>
          <w:b/>
          <w:bCs/>
          <w:sz w:val="40"/>
          <w:szCs w:val="40"/>
        </w:rPr>
        <w:t>一、2020年南县政府举借债务及2020年新增债券资金使用情况说明</w:t>
      </w:r>
    </w:p>
    <w:p>
      <w:pPr>
        <w:pStyle w:val="2"/>
        <w:spacing w:line="720" w:lineRule="auto"/>
        <w:ind w:left="1470" w:leftChars="700" w:firstLine="0" w:firstLineChars="0"/>
        <w:jc w:val="left"/>
        <w:rPr>
          <w:b/>
          <w:bCs/>
          <w:sz w:val="40"/>
          <w:szCs w:val="40"/>
        </w:rPr>
      </w:pPr>
      <w:r>
        <w:rPr>
          <w:b/>
          <w:bCs/>
          <w:sz w:val="40"/>
          <w:szCs w:val="40"/>
        </w:rPr>
        <w:t>二、2020年南县政府新增一般债务安排情况表</w:t>
      </w:r>
    </w:p>
    <w:p>
      <w:pPr>
        <w:pStyle w:val="2"/>
        <w:spacing w:line="720" w:lineRule="auto"/>
        <w:ind w:firstLine="0" w:firstLineChars="0"/>
        <w:jc w:val="left"/>
        <w:rPr>
          <w:b/>
          <w:bCs/>
          <w:sz w:val="40"/>
          <w:szCs w:val="40"/>
        </w:rPr>
      </w:pPr>
      <w:r>
        <w:rPr>
          <w:b/>
          <w:bCs/>
          <w:sz w:val="40"/>
          <w:szCs w:val="40"/>
        </w:rPr>
        <w:t xml:space="preserve">       三、2020年南县政府新增专项债务安排情况表</w:t>
      </w:r>
    </w:p>
    <w:p>
      <w:pPr>
        <w:pStyle w:val="2"/>
        <w:spacing w:line="720" w:lineRule="auto"/>
        <w:ind w:firstLine="1606" w:firstLineChars="400"/>
        <w:jc w:val="left"/>
        <w:rPr>
          <w:b/>
          <w:bCs/>
          <w:sz w:val="40"/>
          <w:szCs w:val="40"/>
        </w:rPr>
      </w:pPr>
      <w:r>
        <w:rPr>
          <w:b/>
          <w:bCs/>
          <w:sz w:val="40"/>
          <w:szCs w:val="40"/>
        </w:rPr>
        <w:t>四、</w:t>
      </w:r>
      <w:r>
        <w:rPr>
          <w:rFonts w:hint="eastAsia"/>
          <w:b/>
          <w:bCs/>
          <w:sz w:val="40"/>
          <w:szCs w:val="40"/>
        </w:rPr>
        <w:t>2020年南县预算绩效管理情况</w:t>
      </w:r>
    </w:p>
    <w:p>
      <w:pPr>
        <w:pStyle w:val="2"/>
        <w:spacing w:line="720" w:lineRule="auto"/>
        <w:ind w:firstLine="0" w:firstLineChars="0"/>
        <w:jc w:val="left"/>
        <w:rPr>
          <w:b/>
          <w:bCs/>
          <w:sz w:val="40"/>
          <w:szCs w:val="40"/>
        </w:rPr>
      </w:pPr>
    </w:p>
    <w:p>
      <w:pPr>
        <w:pStyle w:val="2"/>
        <w:spacing w:line="720" w:lineRule="auto"/>
        <w:ind w:firstLine="0" w:firstLineChars="0"/>
        <w:jc w:val="left"/>
        <w:rPr>
          <w:b/>
          <w:bCs/>
          <w:sz w:val="40"/>
          <w:szCs w:val="40"/>
        </w:rPr>
      </w:pPr>
    </w:p>
    <w:p>
      <w:pPr>
        <w:pStyle w:val="2"/>
        <w:spacing w:line="720" w:lineRule="auto"/>
        <w:ind w:firstLine="0" w:firstLineChars="0"/>
        <w:jc w:val="left"/>
        <w:rPr>
          <w:b/>
          <w:bCs/>
          <w:sz w:val="40"/>
          <w:szCs w:val="40"/>
        </w:rPr>
      </w:pPr>
    </w:p>
    <w:p>
      <w:pPr>
        <w:pStyle w:val="2"/>
        <w:spacing w:line="720" w:lineRule="auto"/>
        <w:ind w:firstLine="0" w:firstLineChars="0"/>
        <w:jc w:val="left"/>
        <w:rPr>
          <w:b/>
          <w:bCs/>
          <w:sz w:val="40"/>
          <w:szCs w:val="40"/>
        </w:rPr>
      </w:pPr>
    </w:p>
    <w:p>
      <w:pPr>
        <w:shd w:val="clear" w:color="auto" w:fill="DAE3F3" w:themeFill="accent5" w:themeFillTint="32"/>
        <w:jc w:val="center"/>
        <w:rPr>
          <w:rFonts w:eastAsia="方正小标宋简体"/>
          <w:b/>
          <w:bCs/>
          <w:sz w:val="56"/>
          <w:szCs w:val="56"/>
        </w:rPr>
      </w:pPr>
      <w:r>
        <w:rPr>
          <w:rFonts w:eastAsia="方正小标宋简体"/>
          <w:b/>
          <w:bCs/>
          <w:sz w:val="56"/>
          <w:szCs w:val="56"/>
        </w:rPr>
        <w:t>一、2020年南县政府举借债务及2020年新增债券资金使用情况说明</w:t>
      </w:r>
    </w:p>
    <w:p>
      <w:pPr>
        <w:pStyle w:val="2"/>
        <w:spacing w:line="720" w:lineRule="auto"/>
        <w:ind w:left="1470" w:leftChars="700" w:firstLine="0" w:firstLineChars="0"/>
        <w:jc w:val="left"/>
        <w:rPr>
          <w:sz w:val="44"/>
          <w:szCs w:val="44"/>
        </w:rPr>
      </w:pPr>
    </w:p>
    <w:p>
      <w:pPr>
        <w:jc w:val="center"/>
        <w:rPr>
          <w:sz w:val="44"/>
          <w:szCs w:val="44"/>
        </w:rPr>
      </w:pPr>
    </w:p>
    <w:p>
      <w:pPr>
        <w:rPr>
          <w:rFonts w:eastAsia="仿宋_GB2312"/>
        </w:rPr>
      </w:pPr>
    </w:p>
    <w:p>
      <w:pPr>
        <w:spacing w:line="720" w:lineRule="auto"/>
        <w:ind w:firstLine="720" w:firstLineChars="200"/>
        <w:rPr>
          <w:sz w:val="36"/>
          <w:szCs w:val="36"/>
        </w:rPr>
      </w:pPr>
      <w:r>
        <w:rPr>
          <w:sz w:val="36"/>
          <w:szCs w:val="36"/>
        </w:rPr>
        <w:t>2020年南县政府性债务年末数为241398万元，其中一般债务212967万元，专项债务28431万元。</w:t>
      </w:r>
    </w:p>
    <w:p>
      <w:pPr>
        <w:spacing w:line="720" w:lineRule="auto"/>
        <w:ind w:firstLine="720" w:firstLineChars="200"/>
        <w:rPr>
          <w:spacing w:val="-2"/>
          <w:sz w:val="36"/>
          <w:szCs w:val="36"/>
        </w:rPr>
      </w:pPr>
      <w:r>
        <w:rPr>
          <w:sz w:val="36"/>
          <w:szCs w:val="36"/>
        </w:rPr>
        <w:t>2020年新增一般债券26300万元，</w:t>
      </w:r>
      <w:r>
        <w:rPr>
          <w:spacing w:val="-2"/>
          <w:sz w:val="36"/>
          <w:szCs w:val="36"/>
        </w:rPr>
        <w:t>其中：南县自然村通水泥路建设项目1700万元、南县污水处理厂建设项目3200万元、南县</w:t>
      </w:r>
      <w:bookmarkStart w:id="0" w:name="_GoBack"/>
      <w:bookmarkEnd w:id="0"/>
      <w:r>
        <w:rPr>
          <w:rFonts w:hint="eastAsia"/>
          <w:spacing w:val="-2"/>
          <w:sz w:val="36"/>
          <w:szCs w:val="36"/>
          <w:lang w:eastAsia="zh-CN"/>
        </w:rPr>
        <w:t>脱贫攻坚</w:t>
      </w:r>
      <w:r>
        <w:rPr>
          <w:spacing w:val="-2"/>
          <w:sz w:val="36"/>
          <w:szCs w:val="36"/>
        </w:rPr>
        <w:t>建设项目2500万元、国省干线建设项目18000万元、南县妇幼保健计划服务中心迁建项目900万元。</w:t>
      </w:r>
    </w:p>
    <w:p>
      <w:pPr>
        <w:spacing w:line="720" w:lineRule="auto"/>
        <w:ind w:firstLine="720" w:firstLineChars="200"/>
        <w:rPr>
          <w:spacing w:val="-2"/>
          <w:sz w:val="36"/>
          <w:szCs w:val="36"/>
        </w:rPr>
      </w:pPr>
      <w:r>
        <w:rPr>
          <w:sz w:val="36"/>
          <w:szCs w:val="36"/>
        </w:rPr>
        <w:t>新增专项债券29600万元</w:t>
      </w:r>
      <w:r>
        <w:rPr>
          <w:spacing w:val="-2"/>
          <w:sz w:val="36"/>
          <w:szCs w:val="36"/>
        </w:rPr>
        <w:t>，其中：南县职教中心建设项目5400万元、南县污水处理厂建设项目9000万元、南县公办幼儿园建设项目3800万元、南县老旧小区改造项目5500万元、南县殡葬基础设施建设项目5900。</w:t>
      </w:r>
    </w:p>
    <w:p>
      <w:pPr>
        <w:ind w:firstLine="640" w:firstLineChars="200"/>
        <w:jc w:val="left"/>
        <w:rPr>
          <w:rFonts w:eastAsia="仿宋_GB2312"/>
          <w:sz w:val="32"/>
          <w:szCs w:val="32"/>
        </w:rPr>
      </w:pPr>
    </w:p>
    <w:p>
      <w:pPr>
        <w:ind w:firstLine="6080" w:firstLineChars="1900"/>
        <w:rPr>
          <w:rFonts w:eastAsia="仿宋_GB2312"/>
          <w:sz w:val="32"/>
          <w:szCs w:val="32"/>
        </w:rPr>
      </w:pPr>
    </w:p>
    <w:p>
      <w:pPr>
        <w:rPr>
          <w:sz w:val="32"/>
          <w:szCs w:val="32"/>
        </w:rPr>
      </w:pPr>
    </w:p>
    <w:p>
      <w:pPr>
        <w:pStyle w:val="2"/>
        <w:spacing w:line="720" w:lineRule="auto"/>
        <w:ind w:firstLine="0" w:firstLineChars="0"/>
        <w:jc w:val="left"/>
        <w:rPr>
          <w:b/>
          <w:bCs/>
          <w:sz w:val="40"/>
          <w:szCs w:val="40"/>
        </w:rPr>
      </w:pPr>
    </w:p>
    <w:p>
      <w:pPr>
        <w:pStyle w:val="2"/>
        <w:shd w:val="clear" w:color="auto" w:fill="DAE3F3" w:themeFill="accent5" w:themeFillTint="32"/>
        <w:spacing w:line="720" w:lineRule="auto"/>
        <w:ind w:firstLine="0" w:firstLineChars="0"/>
        <w:jc w:val="center"/>
        <w:rPr>
          <w:rFonts w:eastAsia="方正小标宋简体"/>
          <w:b/>
          <w:bCs/>
          <w:sz w:val="56"/>
          <w:szCs w:val="56"/>
        </w:rPr>
      </w:pPr>
      <w:r>
        <w:rPr>
          <w:rFonts w:eastAsia="方正小标宋简体"/>
          <w:b/>
          <w:bCs/>
          <w:sz w:val="56"/>
          <w:szCs w:val="56"/>
        </w:rPr>
        <w:t>二、2020年南县政府新增一般债务安排情况表</w:t>
      </w:r>
    </w:p>
    <w:p>
      <w:pPr>
        <w:pStyle w:val="2"/>
        <w:spacing w:line="720" w:lineRule="auto"/>
        <w:ind w:firstLine="0" w:firstLineChars="0"/>
        <w:jc w:val="left"/>
        <w:rPr>
          <w:b/>
          <w:bCs/>
          <w:sz w:val="40"/>
          <w:szCs w:val="40"/>
        </w:rPr>
      </w:pPr>
    </w:p>
    <w:p>
      <w:pPr>
        <w:pStyle w:val="3"/>
        <w:spacing w:before="250"/>
        <w:ind w:firstLine="4515" w:firstLineChars="2150"/>
        <w:jc w:val="center"/>
        <w:rPr>
          <w:rFonts w:ascii="Times New Roman" w:hAnsi="Times New Roman" w:cs="Times New Roman"/>
        </w:rPr>
      </w:pPr>
      <w:r>
        <w:rPr>
          <w:rFonts w:ascii="Times New Roman" w:hAnsi="Times New Roman" w:cs="Times New Roman"/>
        </w:rPr>
        <w:t>单位：亿元</w:t>
      </w:r>
    </w:p>
    <w:tbl>
      <w:tblPr>
        <w:tblStyle w:val="4"/>
        <w:tblW w:w="0" w:type="auto"/>
        <w:tblInd w:w="1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3"/>
        <w:gridCol w:w="2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0173" w:type="dxa"/>
            <w:tcBorders>
              <w:left w:val="nil"/>
            </w:tcBorders>
          </w:tcPr>
          <w:p>
            <w:pPr>
              <w:pStyle w:val="6"/>
              <w:tabs>
                <w:tab w:val="left" w:pos="1000"/>
              </w:tabs>
              <w:spacing w:before="145"/>
              <w:ind w:left="4"/>
            </w:pPr>
            <w:r>
              <w:t>项</w:t>
            </w:r>
            <w:r>
              <w:tab/>
            </w:r>
            <w:r>
              <w:t>目</w:t>
            </w:r>
          </w:p>
        </w:tc>
        <w:tc>
          <w:tcPr>
            <w:tcW w:w="2106" w:type="dxa"/>
            <w:tcBorders>
              <w:right w:val="nil"/>
            </w:tcBorders>
          </w:tcPr>
          <w:p>
            <w:pPr>
              <w:pStyle w:val="6"/>
              <w:spacing w:before="145"/>
              <w:ind w:right="177"/>
            </w:pPr>
            <w:r>
              <w:rPr>
                <w:rFonts w:eastAsiaTheme="minorEastAsia"/>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73" w:type="dxa"/>
            <w:tcBorders>
              <w:top w:val="nil"/>
              <w:left w:val="nil"/>
              <w:bottom w:val="single" w:color="000000" w:sz="4" w:space="0"/>
              <w:right w:val="single" w:color="000000" w:sz="4" w:space="0"/>
            </w:tcBorders>
            <w:shd w:val="clear" w:color="auto" w:fill="auto"/>
          </w:tcPr>
          <w:p>
            <w:pPr>
              <w:pStyle w:val="6"/>
              <w:ind w:left="1"/>
            </w:pPr>
            <w:r>
              <w:t>一、南县自然村通水泥路建设项目</w:t>
            </w:r>
          </w:p>
        </w:tc>
        <w:tc>
          <w:tcPr>
            <w:tcW w:w="2106" w:type="dxa"/>
            <w:tcBorders>
              <w:top w:val="nil"/>
              <w:left w:val="single" w:color="000000" w:sz="4" w:space="0"/>
              <w:bottom w:val="single" w:color="000000" w:sz="4" w:space="0"/>
              <w:right w:val="nil"/>
            </w:tcBorders>
            <w:shd w:val="clear" w:color="auto" w:fill="auto"/>
          </w:tcPr>
          <w:p>
            <w:pPr>
              <w:pStyle w:val="6"/>
              <w:ind w:right="174"/>
            </w:pPr>
            <w:r>
              <w:t>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73" w:type="dxa"/>
            <w:tcBorders>
              <w:top w:val="nil"/>
              <w:left w:val="nil"/>
              <w:bottom w:val="single" w:color="000000" w:sz="4" w:space="0"/>
              <w:right w:val="single" w:color="000000" w:sz="4" w:space="0"/>
            </w:tcBorders>
            <w:shd w:val="clear" w:color="auto" w:fill="auto"/>
          </w:tcPr>
          <w:p>
            <w:pPr>
              <w:pStyle w:val="6"/>
              <w:ind w:left="1"/>
            </w:pPr>
            <w:r>
              <w:t>二、南县污水处理厂建设项目</w:t>
            </w:r>
          </w:p>
        </w:tc>
        <w:tc>
          <w:tcPr>
            <w:tcW w:w="2106" w:type="dxa"/>
            <w:tcBorders>
              <w:top w:val="nil"/>
              <w:left w:val="single" w:color="000000" w:sz="4" w:space="0"/>
              <w:bottom w:val="single" w:color="000000" w:sz="4" w:space="0"/>
              <w:right w:val="nil"/>
            </w:tcBorders>
            <w:shd w:val="clear" w:color="auto" w:fill="auto"/>
          </w:tcPr>
          <w:p>
            <w:pPr>
              <w:pStyle w:val="6"/>
              <w:ind w:right="174"/>
            </w:pPr>
            <w:r>
              <w:t>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73" w:type="dxa"/>
            <w:tcBorders>
              <w:top w:val="nil"/>
              <w:left w:val="nil"/>
              <w:bottom w:val="single" w:color="000000" w:sz="4" w:space="0"/>
              <w:right w:val="single" w:color="000000" w:sz="4" w:space="0"/>
            </w:tcBorders>
            <w:shd w:val="clear" w:color="auto" w:fill="auto"/>
          </w:tcPr>
          <w:p>
            <w:pPr>
              <w:pStyle w:val="6"/>
              <w:ind w:left="1"/>
            </w:pPr>
            <w:r>
              <w:t>三、南县</w:t>
            </w:r>
            <w:r>
              <w:rPr>
                <w:rFonts w:hint="eastAsia"/>
                <w:lang w:eastAsia="zh-CN"/>
              </w:rPr>
              <w:t>脱贫攻坚</w:t>
            </w:r>
            <w:r>
              <w:t>建设项目</w:t>
            </w:r>
          </w:p>
        </w:tc>
        <w:tc>
          <w:tcPr>
            <w:tcW w:w="2106" w:type="dxa"/>
            <w:tcBorders>
              <w:top w:val="nil"/>
              <w:left w:val="single" w:color="000000" w:sz="4" w:space="0"/>
              <w:bottom w:val="single" w:color="000000" w:sz="4" w:space="0"/>
              <w:right w:val="nil"/>
            </w:tcBorders>
            <w:shd w:val="clear" w:color="auto" w:fill="auto"/>
          </w:tcPr>
          <w:p>
            <w:pPr>
              <w:pStyle w:val="6"/>
              <w:ind w:right="174"/>
            </w:pPr>
            <w: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73" w:type="dxa"/>
            <w:tcBorders>
              <w:top w:val="nil"/>
              <w:left w:val="nil"/>
              <w:bottom w:val="single" w:color="000000" w:sz="4" w:space="0"/>
              <w:right w:val="single" w:color="000000" w:sz="4" w:space="0"/>
            </w:tcBorders>
            <w:shd w:val="clear" w:color="auto" w:fill="auto"/>
          </w:tcPr>
          <w:p>
            <w:pPr>
              <w:pStyle w:val="6"/>
              <w:ind w:left="1"/>
            </w:pPr>
            <w:r>
              <w:t>四、国省干线建设项目</w:t>
            </w:r>
          </w:p>
        </w:tc>
        <w:tc>
          <w:tcPr>
            <w:tcW w:w="2106" w:type="dxa"/>
            <w:tcBorders>
              <w:top w:val="nil"/>
              <w:left w:val="single" w:color="000000" w:sz="4" w:space="0"/>
              <w:bottom w:val="single" w:color="000000" w:sz="4" w:space="0"/>
              <w:right w:val="nil"/>
            </w:tcBorders>
            <w:shd w:val="clear" w:color="auto" w:fill="auto"/>
          </w:tcPr>
          <w:p>
            <w:pPr>
              <w:pStyle w:val="6"/>
              <w:ind w:right="174"/>
            </w:pPr>
            <w: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0173" w:type="dxa"/>
            <w:tcBorders>
              <w:top w:val="nil"/>
              <w:left w:val="nil"/>
              <w:bottom w:val="single" w:color="000000" w:sz="4" w:space="0"/>
              <w:right w:val="single" w:color="000000" w:sz="4" w:space="0"/>
            </w:tcBorders>
            <w:shd w:val="clear" w:color="auto" w:fill="auto"/>
          </w:tcPr>
          <w:p>
            <w:pPr>
              <w:pStyle w:val="6"/>
              <w:ind w:left="1"/>
            </w:pPr>
            <w:r>
              <w:t>五、南县妇幼保健计划服务中心迁建项目</w:t>
            </w:r>
          </w:p>
        </w:tc>
        <w:tc>
          <w:tcPr>
            <w:tcW w:w="2106" w:type="dxa"/>
            <w:tcBorders>
              <w:top w:val="nil"/>
              <w:left w:val="single" w:color="000000" w:sz="4" w:space="0"/>
              <w:bottom w:val="single" w:color="000000" w:sz="4" w:space="0"/>
              <w:right w:val="nil"/>
            </w:tcBorders>
            <w:shd w:val="clear" w:color="auto" w:fill="auto"/>
          </w:tcPr>
          <w:p>
            <w:pPr>
              <w:pStyle w:val="6"/>
              <w:ind w:right="174"/>
            </w:pPr>
            <w: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0173" w:type="dxa"/>
            <w:tcBorders>
              <w:top w:val="nil"/>
              <w:left w:val="nil"/>
              <w:bottom w:val="single" w:color="000000" w:sz="4" w:space="0"/>
              <w:right w:val="single" w:color="000000" w:sz="4" w:space="0"/>
            </w:tcBorders>
            <w:shd w:val="clear" w:color="auto" w:fill="auto"/>
          </w:tcPr>
          <w:p>
            <w:pPr>
              <w:pStyle w:val="6"/>
              <w:ind w:left="1"/>
            </w:pPr>
            <w:r>
              <w:t>合计</w:t>
            </w:r>
          </w:p>
        </w:tc>
        <w:tc>
          <w:tcPr>
            <w:tcW w:w="2106" w:type="dxa"/>
            <w:tcBorders>
              <w:top w:val="nil"/>
              <w:left w:val="single" w:color="000000" w:sz="4" w:space="0"/>
              <w:bottom w:val="single" w:color="000000" w:sz="4" w:space="0"/>
              <w:right w:val="nil"/>
            </w:tcBorders>
            <w:shd w:val="clear" w:color="auto" w:fill="auto"/>
          </w:tcPr>
          <w:p>
            <w:pPr>
              <w:pStyle w:val="6"/>
              <w:ind w:right="174"/>
            </w:pPr>
            <w:r>
              <w:t>2.63</w:t>
            </w:r>
          </w:p>
        </w:tc>
      </w:tr>
    </w:tbl>
    <w:p>
      <w:pPr>
        <w:jc w:val="center"/>
      </w:pPr>
    </w:p>
    <w:p>
      <w:pPr>
        <w:pStyle w:val="2"/>
        <w:ind w:firstLine="640"/>
      </w:pPr>
    </w:p>
    <w:p>
      <w:pPr>
        <w:pStyle w:val="2"/>
        <w:ind w:firstLine="640"/>
      </w:pPr>
    </w:p>
    <w:p>
      <w:pPr>
        <w:pStyle w:val="2"/>
        <w:ind w:firstLine="640"/>
      </w:pPr>
    </w:p>
    <w:p>
      <w:pPr>
        <w:pStyle w:val="2"/>
        <w:ind w:firstLine="640"/>
      </w:pPr>
    </w:p>
    <w:p>
      <w:pPr>
        <w:pStyle w:val="2"/>
        <w:ind w:firstLine="640"/>
      </w:pPr>
    </w:p>
    <w:p>
      <w:pPr>
        <w:pStyle w:val="2"/>
        <w:shd w:val="clear" w:color="auto" w:fill="DAE3F3" w:themeFill="accent5" w:themeFillTint="32"/>
        <w:ind w:firstLine="0" w:firstLineChars="0"/>
        <w:jc w:val="center"/>
        <w:rPr>
          <w:rFonts w:eastAsia="方正小标宋简体"/>
          <w:sz w:val="56"/>
          <w:szCs w:val="56"/>
        </w:rPr>
      </w:pPr>
      <w:r>
        <w:rPr>
          <w:rFonts w:eastAsia="方正小标宋简体"/>
          <w:b/>
          <w:bCs/>
          <w:sz w:val="56"/>
          <w:szCs w:val="56"/>
        </w:rPr>
        <w:t xml:space="preserve">  三、2020年南县政府新增专项债务安排情况表</w:t>
      </w:r>
    </w:p>
    <w:p>
      <w:pPr>
        <w:pStyle w:val="3"/>
        <w:spacing w:before="250"/>
        <w:ind w:firstLine="4515" w:firstLineChars="2150"/>
        <w:jc w:val="center"/>
        <w:rPr>
          <w:rFonts w:ascii="Times New Roman" w:hAnsi="Times New Roman" w:cs="Times New Roman"/>
        </w:rPr>
      </w:pPr>
    </w:p>
    <w:p>
      <w:pPr>
        <w:pStyle w:val="3"/>
        <w:spacing w:before="250"/>
        <w:ind w:firstLine="4515" w:firstLineChars="2150"/>
        <w:jc w:val="center"/>
        <w:rPr>
          <w:rFonts w:ascii="Times New Roman" w:hAnsi="Times New Roman" w:cs="Times New Roman"/>
        </w:rPr>
      </w:pPr>
      <w:r>
        <w:rPr>
          <w:rFonts w:ascii="Times New Roman" w:hAnsi="Times New Roman" w:cs="Times New Roman"/>
        </w:rPr>
        <w:t>单位：亿元</w:t>
      </w:r>
    </w:p>
    <w:tbl>
      <w:tblPr>
        <w:tblStyle w:val="4"/>
        <w:tblW w:w="0" w:type="auto"/>
        <w:tblInd w:w="1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0"/>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9320" w:type="dxa"/>
            <w:tcBorders>
              <w:left w:val="nil"/>
            </w:tcBorders>
          </w:tcPr>
          <w:p>
            <w:pPr>
              <w:pStyle w:val="6"/>
              <w:tabs>
                <w:tab w:val="left" w:pos="1000"/>
              </w:tabs>
              <w:spacing w:before="145"/>
              <w:ind w:left="4"/>
            </w:pPr>
            <w:r>
              <w:t>项</w:t>
            </w:r>
            <w:r>
              <w:tab/>
            </w:r>
            <w:r>
              <w:t>目</w:t>
            </w:r>
          </w:p>
        </w:tc>
        <w:tc>
          <w:tcPr>
            <w:tcW w:w="2819" w:type="dxa"/>
            <w:tcBorders>
              <w:right w:val="nil"/>
            </w:tcBorders>
          </w:tcPr>
          <w:p>
            <w:pPr>
              <w:pStyle w:val="6"/>
              <w:spacing w:before="145"/>
              <w:ind w:right="177"/>
            </w:pPr>
            <w:r>
              <w:rPr>
                <w:rFonts w:eastAsiaTheme="minorEastAsia"/>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320" w:type="dxa"/>
            <w:tcBorders>
              <w:top w:val="nil"/>
              <w:left w:val="nil"/>
              <w:bottom w:val="single" w:color="000000" w:sz="4" w:space="0"/>
              <w:right w:val="single" w:color="000000" w:sz="4" w:space="0"/>
            </w:tcBorders>
            <w:shd w:val="clear" w:color="auto" w:fill="auto"/>
          </w:tcPr>
          <w:p>
            <w:pPr>
              <w:pStyle w:val="6"/>
              <w:ind w:left="1"/>
            </w:pPr>
            <w:r>
              <w:t>一、南县职教中心建设项目</w:t>
            </w:r>
          </w:p>
        </w:tc>
        <w:tc>
          <w:tcPr>
            <w:tcW w:w="2819" w:type="dxa"/>
            <w:tcBorders>
              <w:top w:val="nil"/>
              <w:left w:val="single" w:color="000000" w:sz="4" w:space="0"/>
              <w:bottom w:val="single" w:color="000000" w:sz="4" w:space="0"/>
              <w:right w:val="nil"/>
            </w:tcBorders>
            <w:shd w:val="clear" w:color="auto" w:fill="auto"/>
          </w:tcPr>
          <w:p>
            <w:pPr>
              <w:pStyle w:val="6"/>
              <w:ind w:right="174"/>
            </w:pPr>
            <w: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320" w:type="dxa"/>
            <w:tcBorders>
              <w:top w:val="nil"/>
              <w:left w:val="nil"/>
              <w:bottom w:val="single" w:color="000000" w:sz="4" w:space="0"/>
              <w:right w:val="single" w:color="000000" w:sz="4" w:space="0"/>
            </w:tcBorders>
            <w:shd w:val="clear" w:color="auto" w:fill="auto"/>
          </w:tcPr>
          <w:p>
            <w:pPr>
              <w:pStyle w:val="6"/>
              <w:ind w:left="1"/>
            </w:pPr>
            <w:r>
              <w:t>二、南县污水处理厂建设项目</w:t>
            </w:r>
          </w:p>
        </w:tc>
        <w:tc>
          <w:tcPr>
            <w:tcW w:w="2819" w:type="dxa"/>
            <w:tcBorders>
              <w:top w:val="nil"/>
              <w:left w:val="single" w:color="000000" w:sz="4" w:space="0"/>
              <w:bottom w:val="single" w:color="000000" w:sz="4" w:space="0"/>
              <w:right w:val="nil"/>
            </w:tcBorders>
            <w:shd w:val="clear" w:color="auto" w:fill="auto"/>
          </w:tcPr>
          <w:p>
            <w:pPr>
              <w:pStyle w:val="6"/>
              <w:ind w:right="174"/>
            </w:pPr>
            <w: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320" w:type="dxa"/>
            <w:tcBorders>
              <w:top w:val="nil"/>
              <w:left w:val="nil"/>
              <w:bottom w:val="single" w:color="000000" w:sz="4" w:space="0"/>
              <w:right w:val="single" w:color="000000" w:sz="4" w:space="0"/>
            </w:tcBorders>
            <w:shd w:val="clear" w:color="auto" w:fill="auto"/>
          </w:tcPr>
          <w:p>
            <w:pPr>
              <w:pStyle w:val="6"/>
              <w:ind w:left="1"/>
            </w:pPr>
            <w:r>
              <w:t>三、南县公办幼儿园建设项目</w:t>
            </w:r>
          </w:p>
        </w:tc>
        <w:tc>
          <w:tcPr>
            <w:tcW w:w="2819" w:type="dxa"/>
            <w:tcBorders>
              <w:top w:val="nil"/>
              <w:left w:val="single" w:color="000000" w:sz="4" w:space="0"/>
              <w:bottom w:val="single" w:color="000000" w:sz="4" w:space="0"/>
              <w:right w:val="nil"/>
            </w:tcBorders>
            <w:shd w:val="clear" w:color="auto" w:fill="auto"/>
          </w:tcPr>
          <w:p>
            <w:pPr>
              <w:pStyle w:val="6"/>
              <w:ind w:right="174"/>
            </w:pPr>
            <w:r>
              <w:t>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320" w:type="dxa"/>
            <w:tcBorders>
              <w:top w:val="nil"/>
              <w:left w:val="nil"/>
              <w:bottom w:val="single" w:color="000000" w:sz="4" w:space="0"/>
              <w:right w:val="single" w:color="000000" w:sz="4" w:space="0"/>
            </w:tcBorders>
            <w:shd w:val="clear" w:color="auto" w:fill="auto"/>
          </w:tcPr>
          <w:p>
            <w:pPr>
              <w:pStyle w:val="6"/>
              <w:ind w:left="1"/>
            </w:pPr>
            <w:r>
              <w:t>四、南县老旧小区改造项目</w:t>
            </w:r>
          </w:p>
        </w:tc>
        <w:tc>
          <w:tcPr>
            <w:tcW w:w="2819" w:type="dxa"/>
            <w:tcBorders>
              <w:top w:val="nil"/>
              <w:left w:val="single" w:color="000000" w:sz="4" w:space="0"/>
              <w:bottom w:val="single" w:color="000000" w:sz="4" w:space="0"/>
              <w:right w:val="nil"/>
            </w:tcBorders>
            <w:shd w:val="clear" w:color="auto" w:fill="auto"/>
          </w:tcPr>
          <w:p>
            <w:pPr>
              <w:pStyle w:val="6"/>
              <w:ind w:right="174"/>
            </w:pPr>
            <w: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320" w:type="dxa"/>
            <w:tcBorders>
              <w:top w:val="nil"/>
              <w:left w:val="nil"/>
              <w:bottom w:val="single" w:color="000000" w:sz="4" w:space="0"/>
              <w:right w:val="single" w:color="000000" w:sz="4" w:space="0"/>
            </w:tcBorders>
            <w:shd w:val="clear" w:color="auto" w:fill="auto"/>
          </w:tcPr>
          <w:p>
            <w:pPr>
              <w:pStyle w:val="6"/>
              <w:ind w:left="1"/>
            </w:pPr>
            <w:r>
              <w:t>五、南县殡葬基础设施建设项目</w:t>
            </w:r>
          </w:p>
        </w:tc>
        <w:tc>
          <w:tcPr>
            <w:tcW w:w="2819" w:type="dxa"/>
            <w:tcBorders>
              <w:top w:val="nil"/>
              <w:left w:val="single" w:color="000000" w:sz="4" w:space="0"/>
              <w:bottom w:val="single" w:color="000000" w:sz="4" w:space="0"/>
              <w:right w:val="nil"/>
            </w:tcBorders>
            <w:shd w:val="clear" w:color="auto" w:fill="auto"/>
          </w:tcPr>
          <w:p>
            <w:pPr>
              <w:pStyle w:val="6"/>
              <w:ind w:right="174"/>
            </w:pPr>
            <w: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9320" w:type="dxa"/>
            <w:tcBorders>
              <w:top w:val="nil"/>
              <w:left w:val="nil"/>
              <w:bottom w:val="single" w:color="000000" w:sz="4" w:space="0"/>
              <w:right w:val="single" w:color="000000" w:sz="4" w:space="0"/>
            </w:tcBorders>
            <w:shd w:val="clear" w:color="auto" w:fill="auto"/>
          </w:tcPr>
          <w:p>
            <w:pPr>
              <w:pStyle w:val="6"/>
              <w:ind w:left="1"/>
            </w:pPr>
            <w:r>
              <w:t>合计</w:t>
            </w:r>
          </w:p>
        </w:tc>
        <w:tc>
          <w:tcPr>
            <w:tcW w:w="2819" w:type="dxa"/>
            <w:tcBorders>
              <w:top w:val="nil"/>
              <w:left w:val="single" w:color="000000" w:sz="4" w:space="0"/>
              <w:bottom w:val="single" w:color="000000" w:sz="4" w:space="0"/>
              <w:right w:val="nil"/>
            </w:tcBorders>
            <w:shd w:val="clear" w:color="auto" w:fill="auto"/>
          </w:tcPr>
          <w:p>
            <w:pPr>
              <w:pStyle w:val="6"/>
              <w:ind w:right="174"/>
            </w:pPr>
            <w:r>
              <w:t>2.96</w:t>
            </w:r>
          </w:p>
        </w:tc>
      </w:tr>
    </w:tbl>
    <w:p>
      <w:pPr>
        <w:pStyle w:val="2"/>
        <w:ind w:firstLine="640"/>
      </w:pPr>
    </w:p>
    <w:p>
      <w:pPr>
        <w:pStyle w:val="2"/>
        <w:ind w:firstLine="640"/>
      </w:pPr>
    </w:p>
    <w:p>
      <w:pPr>
        <w:pStyle w:val="2"/>
        <w:ind w:firstLine="640"/>
      </w:pPr>
    </w:p>
    <w:p>
      <w:pPr>
        <w:pStyle w:val="2"/>
        <w:ind w:firstLine="640"/>
      </w:pPr>
    </w:p>
    <w:p>
      <w:pPr>
        <w:pStyle w:val="2"/>
        <w:spacing w:line="720" w:lineRule="auto"/>
        <w:ind w:firstLine="0" w:firstLineChars="0"/>
        <w:jc w:val="center"/>
        <w:rPr>
          <w:b/>
          <w:bCs/>
          <w:sz w:val="40"/>
          <w:szCs w:val="40"/>
        </w:rPr>
      </w:pPr>
    </w:p>
    <w:p>
      <w:pPr>
        <w:pStyle w:val="2"/>
        <w:shd w:val="clear" w:color="auto" w:fill="DAE3F3" w:themeFill="accent5" w:themeFillTint="32"/>
        <w:spacing w:line="720" w:lineRule="auto"/>
        <w:ind w:firstLine="0" w:firstLineChars="0"/>
        <w:jc w:val="center"/>
        <w:rPr>
          <w:rFonts w:ascii="方正小标宋简体" w:hAnsi="方正小标宋简体" w:eastAsia="方正小标宋简体" w:cs="方正小标宋简体"/>
          <w:b/>
          <w:bCs/>
          <w:sz w:val="56"/>
          <w:szCs w:val="56"/>
        </w:rPr>
      </w:pPr>
      <w:r>
        <w:rPr>
          <w:rFonts w:hint="eastAsia" w:ascii="方正小标宋简体" w:hAnsi="方正小标宋简体" w:eastAsia="方正小标宋简体" w:cs="方正小标宋简体"/>
          <w:b/>
          <w:bCs/>
          <w:sz w:val="56"/>
          <w:szCs w:val="56"/>
        </w:rPr>
        <w:t>四、2020年南县预算绩效管理情况</w:t>
      </w:r>
    </w:p>
    <w:p>
      <w:pPr>
        <w:pStyle w:val="7"/>
        <w:spacing w:line="560" w:lineRule="exact"/>
        <w:rPr>
          <w:rFonts w:ascii="黑体" w:hAnsi="宋体" w:eastAsia="黑体"/>
          <w:sz w:val="32"/>
          <w:szCs w:val="32"/>
        </w:rPr>
      </w:pPr>
    </w:p>
    <w:p>
      <w:pPr>
        <w:pStyle w:val="7"/>
        <w:spacing w:line="560" w:lineRule="exact"/>
        <w:rPr>
          <w:rFonts w:ascii="黑体" w:hAnsi="宋体" w:eastAsia="黑体"/>
          <w:sz w:val="32"/>
          <w:szCs w:val="32"/>
        </w:rPr>
      </w:pPr>
    </w:p>
    <w:p>
      <w:pPr>
        <w:pStyle w:val="7"/>
        <w:spacing w:line="560" w:lineRule="exact"/>
        <w:rPr>
          <w:rFonts w:ascii="仿宋_GB2312" w:hAnsi="宋体" w:eastAsia="仿宋_GB2312"/>
          <w:sz w:val="32"/>
          <w:szCs w:val="32"/>
        </w:rPr>
      </w:pPr>
      <w:r>
        <w:rPr>
          <w:rFonts w:hint="eastAsia" w:ascii="黑体" w:hAnsi="宋体" w:eastAsia="黑体"/>
          <w:sz w:val="32"/>
          <w:szCs w:val="32"/>
        </w:rPr>
        <w:t>（一）、2020年度绩效工作情况</w:t>
      </w:r>
    </w:p>
    <w:p>
      <w:pPr>
        <w:pStyle w:val="7"/>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1、较好的完成了2020年度整体支出及县级专项资金绩效目标申报及批复工作。</w:t>
      </w:r>
    </w:p>
    <w:p>
      <w:pPr>
        <w:pStyle w:val="7"/>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2020年1月下发了关于《开展2020年度一级预算单位整体支出及本级专项资金预算绩效目标申报工作》的通知，要求对一级预算单位整体支出及本级专项资金全部进行绩效目标申报。并对县一级预算单位整体支出及县本级专项资金绩效目标进行了审核，批复工作已经完成。全年批复的项目支出包括公安、交通、司法、生态、发改、国土、教育、文化、旅游、卫生、计生、农业、科技等91个部门（单位）376个项目，涉及资金86279.56万元。实现了预算单位绩效目标申报与部门预算同步管理。</w:t>
      </w:r>
    </w:p>
    <w:p>
      <w:pPr>
        <w:pStyle w:val="7"/>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2、圆满完成2020年度扶贫项目资金绩效目标申报及审核工作。</w:t>
      </w:r>
    </w:p>
    <w:p>
      <w:pPr>
        <w:pStyle w:val="7"/>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财政部及省财政厅的要求，我们对进入扶贫资金监控系统的2020年度32个扶贫项目,资金共计4807.24万元开展了绩效目标申报和自评填报及审核工作，圆满完成了任务。我县扶贫项目资金动态监控系统绩效目标申报及自评填报比例达到100%，审核率达到100%。</w:t>
      </w:r>
    </w:p>
    <w:p>
      <w:pPr>
        <w:pStyle w:val="7"/>
        <w:spacing w:line="560" w:lineRule="exact"/>
        <w:rPr>
          <w:rFonts w:ascii="仿宋_GB2312" w:hAnsi="宋体" w:eastAsia="仿宋_GB2312"/>
          <w:sz w:val="32"/>
          <w:szCs w:val="32"/>
        </w:rPr>
      </w:pPr>
      <w:r>
        <w:rPr>
          <w:rFonts w:hint="eastAsia" w:ascii="仿宋_GB2312" w:hAnsi="宋体" w:eastAsia="仿宋_GB2312"/>
          <w:sz w:val="32"/>
          <w:szCs w:val="32"/>
        </w:rPr>
        <w:t>3、完成了2019年一般公共预算资金的自评工作。</w:t>
      </w:r>
    </w:p>
    <w:p>
      <w:pPr>
        <w:pStyle w:val="7"/>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2020年3月下发了《关于开展2019年度一般公共预算资金绩效自评工作》的通知，对所有部门整体支出和单位项目支出开展绩效自评，提交绩效自评报告。并要求在各单位或财政局的门户网站上进行公示公开，接受公众监督。多层次推进绩效评价结果公开，提高评价工作透明度和结果公信力。</w:t>
      </w:r>
    </w:p>
    <w:p>
      <w:pPr>
        <w:pStyle w:val="7"/>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4、项目重点评价工作情况</w:t>
      </w:r>
    </w:p>
    <w:p>
      <w:pPr>
        <w:pStyle w:val="7"/>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2020年4月份，我们从本级预算安排项目中选择人居环境整治、南县污水治理工程PPP项目等53个重点民生项目开展重点绩效评价工作。共核查专项资金32208.51万元，涵盖预算单位或部门25个。</w:t>
      </w:r>
    </w:p>
    <w:p>
      <w:pPr>
        <w:pStyle w:val="7"/>
        <w:numPr>
          <w:ilvl w:val="0"/>
          <w:numId w:val="1"/>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评价结果反馈与整改</w:t>
      </w:r>
    </w:p>
    <w:p>
      <w:pPr>
        <w:pStyle w:val="7"/>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根据重点绩效评价报告内容，整理出各单位的问题清单（包括存在的问题、涉及金额、原因分析、处理建议）反馈给各预算单位，压实主体责任，由各业务股室监督限期整改到位。</w:t>
      </w:r>
    </w:p>
    <w:p>
      <w:pPr>
        <w:pStyle w:val="7"/>
        <w:numPr>
          <w:ilvl w:val="0"/>
          <w:numId w:val="1"/>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评价结果公示公开</w:t>
      </w:r>
    </w:p>
    <w:p>
      <w:pPr>
        <w:pStyle w:val="7"/>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按照“谁评价谁公开”的原则，我们将第三方绩效评价情况在政府网站上全部公开。并要求各预算单位公开部门整体和专项资金自评情况，做到“非涉密全公开”。</w:t>
      </w:r>
    </w:p>
    <w:p>
      <w:pPr>
        <w:pStyle w:val="7"/>
        <w:spacing w:line="560" w:lineRule="exact"/>
        <w:rPr>
          <w:rFonts w:ascii="黑体" w:hAnsi="黑体" w:eastAsia="黑体" w:cs="黑体"/>
          <w:sz w:val="32"/>
          <w:szCs w:val="32"/>
        </w:rPr>
      </w:pPr>
      <w:r>
        <w:rPr>
          <w:rFonts w:hint="eastAsia" w:ascii="黑体" w:hAnsi="黑体" w:eastAsia="黑体" w:cs="黑体"/>
          <w:sz w:val="32"/>
          <w:szCs w:val="32"/>
        </w:rPr>
        <w:t>（二）、2021年工作思路</w:t>
      </w:r>
    </w:p>
    <w:p>
      <w:pPr>
        <w:pStyle w:val="7"/>
        <w:numPr>
          <w:ilvl w:val="0"/>
          <w:numId w:val="2"/>
        </w:numPr>
        <w:spacing w:line="560" w:lineRule="exact"/>
        <w:ind w:firstLine="640"/>
        <w:rPr>
          <w:rFonts w:ascii="仿宋_GB2312" w:hAnsi="宋体" w:eastAsia="仿宋_GB2312"/>
          <w:sz w:val="32"/>
          <w:szCs w:val="32"/>
        </w:rPr>
      </w:pPr>
      <w:r>
        <w:rPr>
          <w:rFonts w:hint="eastAsia" w:ascii="仿宋_GB2312" w:hAnsi="宋体" w:eastAsia="仿宋_GB2312"/>
          <w:sz w:val="32"/>
          <w:szCs w:val="32"/>
        </w:rPr>
        <w:t>着力扩围扩面。</w:t>
      </w:r>
      <w:r>
        <w:rPr>
          <w:rFonts w:hint="eastAsia" w:ascii="仿宋_GB2312" w:hAnsi="宋体" w:eastAsia="仿宋_GB2312"/>
          <w:b/>
          <w:bCs/>
          <w:sz w:val="32"/>
          <w:szCs w:val="32"/>
        </w:rPr>
        <w:t>一是横向上拓展</w:t>
      </w:r>
      <w:r>
        <w:rPr>
          <w:rFonts w:hint="eastAsia" w:ascii="仿宋_GB2312" w:hAnsi="宋体" w:eastAsia="仿宋_GB2312"/>
          <w:sz w:val="32"/>
          <w:szCs w:val="32"/>
        </w:rPr>
        <w:t>。预算绩效目标管理是龙头和总开关，是做好绩效评价工作的源头和基础。提升绩效目标编制质量及审核，实现与预算编制“同步布置、同步申报、同步审核、同步批复、同步公示”，基本实现预算和绩效信息一体化管理。</w:t>
      </w:r>
      <w:r>
        <w:rPr>
          <w:rFonts w:hint="eastAsia" w:ascii="仿宋_GB2312" w:hAnsi="宋体" w:eastAsia="仿宋_GB2312"/>
          <w:b/>
          <w:bCs/>
          <w:sz w:val="32"/>
          <w:szCs w:val="32"/>
        </w:rPr>
        <w:t>二是在纵向上拓展</w:t>
      </w:r>
      <w:r>
        <w:rPr>
          <w:rFonts w:hint="eastAsia" w:ascii="仿宋_GB2312" w:hAnsi="宋体" w:eastAsia="仿宋_GB2312"/>
          <w:sz w:val="32"/>
          <w:szCs w:val="32"/>
        </w:rPr>
        <w:t>。逐步将预算绩效管理重点由县直预算单位向乡镇延伸，促进预算绩效管理在全县范围内全面推进。</w:t>
      </w:r>
      <w:r>
        <w:rPr>
          <w:rFonts w:hint="eastAsia" w:ascii="仿宋_GB2312" w:hAnsi="宋体" w:eastAsia="仿宋_GB2312"/>
          <w:b/>
          <w:bCs/>
          <w:sz w:val="32"/>
          <w:szCs w:val="32"/>
        </w:rPr>
        <w:t>三是在深度上拓展。</w:t>
      </w:r>
      <w:r>
        <w:rPr>
          <w:rFonts w:hint="eastAsia" w:ascii="仿宋_GB2312" w:hAnsi="宋体" w:eastAsia="仿宋_GB2312"/>
          <w:sz w:val="32"/>
          <w:szCs w:val="32"/>
        </w:rPr>
        <w:t>不断创新绩效评价方法和内容，逐步将绩效评价重点由一般公共预算向“四本预算”延伸。</w:t>
      </w:r>
    </w:p>
    <w:p>
      <w:pPr>
        <w:pStyle w:val="7"/>
        <w:numPr>
          <w:ilvl w:val="0"/>
          <w:numId w:val="2"/>
        </w:numPr>
        <w:spacing w:line="560" w:lineRule="exact"/>
        <w:ind w:firstLine="640"/>
        <w:rPr>
          <w:rFonts w:ascii="仿宋_GB2312" w:hAnsi="宋体" w:eastAsia="仿宋_GB2312"/>
          <w:sz w:val="32"/>
          <w:szCs w:val="32"/>
        </w:rPr>
      </w:pPr>
      <w:r>
        <w:rPr>
          <w:rFonts w:hint="eastAsia" w:ascii="仿宋_GB2312" w:hAnsi="宋体" w:eastAsia="仿宋_GB2312"/>
          <w:sz w:val="32"/>
          <w:szCs w:val="32"/>
        </w:rPr>
        <w:t>夯实绩效管理工作基础。一是加强宣传培训，二是完善配套制度，三是健全指标体系，四是加强第三方中介管理，五是尝试开展专家联审。</w:t>
      </w:r>
    </w:p>
    <w:p>
      <w:pPr>
        <w:pStyle w:val="7"/>
        <w:spacing w:line="560" w:lineRule="exact"/>
        <w:ind w:firstLine="640"/>
        <w:rPr>
          <w:rFonts w:ascii="仿宋_GB2312" w:hAnsi="宋体" w:eastAsia="仿宋_GB2312"/>
          <w:sz w:val="32"/>
          <w:szCs w:val="32"/>
        </w:rPr>
      </w:pPr>
      <w:r>
        <w:rPr>
          <w:rFonts w:hint="eastAsia" w:ascii="仿宋_GB2312" w:hAnsi="宋体" w:eastAsia="仿宋_GB2312"/>
          <w:sz w:val="32"/>
          <w:szCs w:val="32"/>
        </w:rPr>
        <w:t>3、强化结果运用。一是报告和公开，二是反馈与整改，三是与预算结合，四是与政府绩效评估结合。</w:t>
      </w:r>
    </w:p>
    <w:p>
      <w:pPr>
        <w:pStyle w:val="7"/>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4、提升绩效管理实效。建立财政审计监督协同联动机制。</w:t>
      </w:r>
    </w:p>
    <w:p>
      <w:pPr>
        <w:pStyle w:val="7"/>
        <w:spacing w:line="560" w:lineRule="exact"/>
        <w:rPr>
          <w:rFonts w:ascii="仿宋_GB2312" w:hAnsi="宋体" w:eastAsia="仿宋_GB2312"/>
          <w:sz w:val="32"/>
          <w:szCs w:val="32"/>
        </w:rPr>
      </w:pPr>
    </w:p>
    <w:p>
      <w:pPr>
        <w:spacing w:line="560" w:lineRule="exact"/>
        <w:rPr>
          <w:rFonts w:ascii="仿宋_GB2312" w:eastAsia="仿宋_GB2312"/>
          <w:sz w:val="32"/>
          <w:szCs w:val="32"/>
        </w:rPr>
      </w:pPr>
    </w:p>
    <w:sectPr>
      <w:pgSz w:w="20863" w:h="1474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378E4"/>
    <w:multiLevelType w:val="singleLevel"/>
    <w:tmpl w:val="C8C378E4"/>
    <w:lvl w:ilvl="0" w:tentative="0">
      <w:start w:val="5"/>
      <w:numFmt w:val="decimal"/>
      <w:suff w:val="nothing"/>
      <w:lvlText w:val="%1、"/>
      <w:lvlJc w:val="left"/>
    </w:lvl>
  </w:abstractNum>
  <w:abstractNum w:abstractNumId="1">
    <w:nsid w:val="1BC871BD"/>
    <w:multiLevelType w:val="singleLevel"/>
    <w:tmpl w:val="1BC871B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TFiYjc4ODk0M2ZkMWViZDA3YTVhYzhlNzk0MzYifQ=="/>
  </w:docVars>
  <w:rsids>
    <w:rsidRoot w:val="7EAE2734"/>
    <w:rsid w:val="00235510"/>
    <w:rsid w:val="00FC5D10"/>
    <w:rsid w:val="187272F1"/>
    <w:rsid w:val="1EA71413"/>
    <w:rsid w:val="26B3071E"/>
    <w:rsid w:val="3DC70D0A"/>
    <w:rsid w:val="3E112327"/>
    <w:rsid w:val="419249AB"/>
    <w:rsid w:val="433C5211"/>
    <w:rsid w:val="4D910A5C"/>
    <w:rsid w:val="593B74AE"/>
    <w:rsid w:val="5D2331A2"/>
    <w:rsid w:val="5DFD2B8D"/>
    <w:rsid w:val="5E510B0E"/>
    <w:rsid w:val="7EAE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32"/>
    </w:rPr>
  </w:style>
  <w:style w:type="paragraph" w:styleId="3">
    <w:name w:val="Body Text"/>
    <w:basedOn w:val="1"/>
    <w:qFormat/>
    <w:uiPriority w:val="1"/>
    <w:rPr>
      <w:rFonts w:ascii="方正书宋_GBK" w:hAnsi="方正书宋_GBK" w:eastAsia="方正书宋_GBK" w:cs="方正书宋_GBK"/>
      <w:szCs w:val="21"/>
    </w:rPr>
  </w:style>
  <w:style w:type="paragraph" w:customStyle="1" w:styleId="6">
    <w:name w:val="Table Paragraph"/>
    <w:basedOn w:val="1"/>
    <w:qFormat/>
    <w:uiPriority w:val="1"/>
    <w:pPr>
      <w:spacing w:before="106"/>
      <w:ind w:left="174"/>
      <w:jc w:val="center"/>
    </w:pPr>
  </w:style>
  <w:style w:type="paragraph" w:customStyle="1" w:styleId="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1722</Words>
  <Characters>1914</Characters>
  <Lines>14</Lines>
  <Paragraphs>4</Paragraphs>
  <TotalTime>1</TotalTime>
  <ScaleCrop>false</ScaleCrop>
  <LinksUpToDate>false</LinksUpToDate>
  <CharactersWithSpaces>1929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2022-06-01T03:09:00Z</dcterms:created>
  <dc:creator>@wang</dc:creator>
  <cp:lastModifiedBy>温水煮青蛙</cp:lastModifiedBy>
  <dcterms:modified xsi:type="dcterms:W3CDTF">2024-06-28T00:45:52Z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30E5C1B88DAC4DB989741FB7B7588228</vt:lpwstr>
  </property>
</Properties>
</file>