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sz w:val="32"/>
          <w:szCs w:val="32"/>
        </w:rPr>
      </w:pPr>
    </w:p>
    <w:p>
      <w:pPr>
        <w:rPr>
          <w:rFonts w:ascii="Times New Roman" w:hAnsi="Times New Roman"/>
          <w:sz w:val="32"/>
          <w:szCs w:val="32"/>
        </w:rPr>
      </w:pPr>
    </w:p>
    <w:p>
      <w:pPr>
        <w:rPr>
          <w:rFonts w:ascii="Times New Roman" w:hAnsi="Times New Roman"/>
          <w:sz w:val="32"/>
          <w:szCs w:val="32"/>
        </w:rPr>
      </w:pPr>
    </w:p>
    <w:p>
      <w:pPr>
        <w:rPr>
          <w:rFonts w:ascii="Times New Roman" w:hAnsi="Times New Roman"/>
          <w:sz w:val="32"/>
          <w:szCs w:val="32"/>
        </w:rPr>
      </w:pPr>
    </w:p>
    <w:p>
      <w:pPr>
        <w:rPr>
          <w:rFonts w:ascii="Times New Roman" w:hAnsi="Times New Roman"/>
          <w:sz w:val="32"/>
          <w:szCs w:val="32"/>
        </w:rPr>
      </w:pPr>
    </w:p>
    <w:p>
      <w:pPr>
        <w:rPr>
          <w:rFonts w:ascii="Times New Roman" w:hAnsi="Times New Roman"/>
          <w:sz w:val="32"/>
          <w:szCs w:val="32"/>
        </w:rPr>
      </w:pPr>
    </w:p>
    <w:p>
      <w:pPr>
        <w:rPr>
          <w:rFonts w:ascii="Times New Roman" w:hAnsi="Times New Roman"/>
          <w:sz w:val="32"/>
          <w:szCs w:val="32"/>
        </w:rPr>
      </w:pPr>
    </w:p>
    <w:p>
      <w:pPr>
        <w:jc w:val="center"/>
        <w:rPr>
          <w:rFonts w:ascii="Times New Roman" w:hAnsi="Times New Roman" w:eastAsia="隶书"/>
          <w:b/>
          <w:sz w:val="68"/>
          <w:szCs w:val="68"/>
        </w:rPr>
      </w:pPr>
      <w:r>
        <w:rPr>
          <w:rFonts w:hint="eastAsia" w:ascii="Times New Roman" w:hAnsi="Times New Roman" w:eastAsia="隶书"/>
          <w:b/>
          <w:sz w:val="68"/>
          <w:szCs w:val="68"/>
        </w:rPr>
        <w:t>益阳市南县消防救援大队</w:t>
      </w:r>
    </w:p>
    <w:p>
      <w:pPr>
        <w:jc w:val="center"/>
        <w:rPr>
          <w:rFonts w:ascii="Times New Roman" w:hAnsi="Times New Roman" w:eastAsia="隶书"/>
          <w:b/>
          <w:sz w:val="68"/>
          <w:szCs w:val="68"/>
        </w:rPr>
      </w:pPr>
      <w:r>
        <w:rPr>
          <w:rFonts w:ascii="Times New Roman" w:hAnsi="Times New Roman" w:eastAsia="隶书"/>
          <w:b/>
          <w:sz w:val="68"/>
          <w:szCs w:val="68"/>
        </w:rPr>
        <w:t>202</w:t>
      </w:r>
      <w:r>
        <w:rPr>
          <w:rFonts w:hint="eastAsia" w:ascii="Times New Roman" w:hAnsi="Times New Roman" w:eastAsia="隶书"/>
          <w:b/>
          <w:sz w:val="68"/>
          <w:szCs w:val="68"/>
          <w:lang w:val="en-US" w:eastAsia="zh-CN"/>
        </w:rPr>
        <w:t>3</w:t>
      </w:r>
      <w:r>
        <w:rPr>
          <w:rFonts w:ascii="Times New Roman" w:hAnsi="Times New Roman" w:eastAsia="隶书"/>
          <w:b/>
          <w:sz w:val="68"/>
          <w:szCs w:val="68"/>
        </w:rPr>
        <w:t>年度部门决算</w:t>
      </w:r>
    </w:p>
    <w:p>
      <w:pPr>
        <w:rPr>
          <w:rFonts w:ascii="Times New Roman" w:hAnsi="Times New Roman" w:eastAsia="隶书"/>
          <w:b/>
          <w:sz w:val="68"/>
          <w:szCs w:val="68"/>
        </w:rPr>
      </w:pPr>
      <w:r>
        <w:rPr>
          <w:rFonts w:ascii="Times New Roman" w:hAnsi="Times New Roman" w:eastAsia="隶书"/>
          <w:b/>
          <w:sz w:val="68"/>
          <w:szCs w:val="68"/>
        </w:rPr>
        <w:t xml:space="preserve"> </w:t>
      </w:r>
    </w:p>
    <w:p>
      <w:pPr>
        <w:rPr>
          <w:rFonts w:ascii="Times New Roman" w:hAnsi="Times New Roman" w:eastAsia="隶书"/>
          <w:sz w:val="68"/>
          <w:szCs w:val="68"/>
        </w:rPr>
      </w:pPr>
      <w:r>
        <w:rPr>
          <w:rFonts w:ascii="Microsoft JhengHei" w:hAnsi="Microsoft JhengHei" w:eastAsia="Microsoft JhengHei" w:cs="Microsoft JhengHei"/>
          <w:sz w:val="20"/>
          <w:szCs w:val="20"/>
        </w:rPr>
        <w:drawing>
          <wp:anchor distT="0" distB="0" distL="0" distR="0" simplePos="0" relativeHeight="251665408" behindDoc="0" locked="0" layoutInCell="1" allowOverlap="1">
            <wp:simplePos x="0" y="0"/>
            <wp:positionH relativeFrom="column">
              <wp:posOffset>1776730</wp:posOffset>
            </wp:positionH>
            <wp:positionV relativeFrom="paragraph">
              <wp:posOffset>432435</wp:posOffset>
            </wp:positionV>
            <wp:extent cx="1995170" cy="1989455"/>
            <wp:effectExtent l="0" t="0" r="5080" b="10795"/>
            <wp:wrapNone/>
            <wp:docPr id="1" name="image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true"/>
                    </pic:cNvPicPr>
                  </pic:nvPicPr>
                  <pic:blipFill>
                    <a:blip r:embed="rId7" cstate="print"/>
                    <a:stretch>
                      <a:fillRect/>
                    </a:stretch>
                  </pic:blipFill>
                  <pic:spPr>
                    <a:xfrm>
                      <a:off x="0" y="0"/>
                      <a:ext cx="1995752" cy="1989677"/>
                    </a:xfrm>
                    <a:prstGeom prst="rect">
                      <a:avLst/>
                    </a:prstGeom>
                  </pic:spPr>
                </pic:pic>
              </a:graphicData>
            </a:graphic>
          </wp:anchor>
        </w:drawing>
      </w:r>
      <w:r>
        <w:rPr>
          <w:rFonts w:ascii="Times New Roman" w:hAnsi="Times New Roman" w:eastAsia="隶书"/>
          <w:sz w:val="68"/>
          <w:szCs w:val="68"/>
        </w:rPr>
        <w:t xml:space="preserve"> </w:t>
      </w:r>
    </w:p>
    <w:p>
      <w:pPr>
        <w:rPr>
          <w:rFonts w:ascii="Times New Roman" w:hAnsi="Times New Roman" w:eastAsia="隶书"/>
          <w:sz w:val="68"/>
          <w:szCs w:val="68"/>
        </w:rPr>
      </w:pPr>
      <w:r>
        <w:rPr>
          <w:rFonts w:ascii="Times New Roman" w:hAnsi="Times New Roman" w:eastAsia="隶书"/>
          <w:sz w:val="68"/>
          <w:szCs w:val="68"/>
        </w:rPr>
        <w:t xml:space="preserve">       </w:t>
      </w:r>
    </w:p>
    <w:p>
      <w:pPr>
        <w:rPr>
          <w:rFonts w:ascii="Times New Roman" w:hAnsi="Times New Roman" w:eastAsia="隶书"/>
          <w:sz w:val="68"/>
          <w:szCs w:val="68"/>
        </w:rPr>
      </w:pPr>
    </w:p>
    <w:p>
      <w:pPr>
        <w:jc w:val="center"/>
        <w:rPr>
          <w:rFonts w:ascii="Times New Roman" w:hAnsi="Times New Roman" w:eastAsia="隶书"/>
          <w:b/>
          <w:sz w:val="36"/>
          <w:szCs w:val="36"/>
        </w:rPr>
      </w:pPr>
    </w:p>
    <w:p>
      <w:pPr>
        <w:jc w:val="center"/>
        <w:rPr>
          <w:rFonts w:ascii="Times New Roman" w:hAnsi="Times New Roman" w:eastAsia="隶书"/>
          <w:b/>
          <w:sz w:val="36"/>
          <w:szCs w:val="36"/>
        </w:rPr>
      </w:pPr>
    </w:p>
    <w:p>
      <w:pPr>
        <w:jc w:val="center"/>
        <w:rPr>
          <w:rFonts w:ascii="Times New Roman" w:hAnsi="Times New Roman" w:eastAsia="隶书"/>
          <w:b/>
          <w:sz w:val="36"/>
          <w:szCs w:val="36"/>
        </w:rPr>
      </w:pPr>
    </w:p>
    <w:p>
      <w:pPr>
        <w:jc w:val="center"/>
        <w:rPr>
          <w:rFonts w:ascii="Times New Roman" w:hAnsi="Times New Roman" w:eastAsia="隶书"/>
          <w:b/>
          <w:sz w:val="36"/>
          <w:szCs w:val="36"/>
        </w:rPr>
      </w:pPr>
    </w:p>
    <w:p>
      <w:pPr>
        <w:jc w:val="center"/>
        <w:rPr>
          <w:rFonts w:ascii="Times New Roman" w:hAnsi="Times New Roman" w:eastAsia="隶书"/>
          <w:b/>
          <w:sz w:val="36"/>
          <w:szCs w:val="36"/>
        </w:rPr>
      </w:pPr>
    </w:p>
    <w:p>
      <w:pPr>
        <w:jc w:val="center"/>
        <w:rPr>
          <w:rFonts w:ascii="Times New Roman" w:hAnsi="Times New Roman" w:eastAsia="隶书"/>
          <w:b/>
          <w:sz w:val="36"/>
          <w:szCs w:val="36"/>
        </w:rPr>
      </w:pPr>
    </w:p>
    <w:p>
      <w:pPr>
        <w:jc w:val="center"/>
        <w:rPr>
          <w:rFonts w:ascii="Times New Roman" w:hAnsi="Times New Roman" w:eastAsia="隶书"/>
          <w:b/>
          <w:sz w:val="36"/>
          <w:szCs w:val="36"/>
        </w:rPr>
      </w:pPr>
    </w:p>
    <w:p>
      <w:pPr>
        <w:jc w:val="center"/>
        <w:rPr>
          <w:rFonts w:ascii="Times New Roman" w:hAnsi="Times New Roman" w:eastAsia="隶书"/>
          <w:b/>
          <w:sz w:val="36"/>
          <w:szCs w:val="36"/>
        </w:rPr>
      </w:pPr>
    </w:p>
    <w:p>
      <w:pPr>
        <w:jc w:val="center"/>
        <w:rPr>
          <w:rFonts w:ascii="Times New Roman" w:hAnsi="Times New Roman" w:eastAsia="隶书"/>
          <w:b/>
          <w:sz w:val="36"/>
          <w:szCs w:val="36"/>
        </w:rPr>
      </w:pPr>
    </w:p>
    <w:p>
      <w:pPr>
        <w:jc w:val="center"/>
        <w:rPr>
          <w:rFonts w:ascii="Times New Roman" w:hAnsi="Times New Roman" w:eastAsia="隶书"/>
          <w:sz w:val="68"/>
          <w:szCs w:val="68"/>
        </w:rPr>
      </w:pPr>
      <w:r>
        <w:rPr>
          <w:rFonts w:ascii="Times New Roman" w:hAnsi="Times New Roman" w:eastAsia="隶书"/>
          <w:b/>
          <w:sz w:val="36"/>
          <w:szCs w:val="36"/>
        </w:rPr>
        <w:t>二〇二</w:t>
      </w:r>
      <w:r>
        <w:rPr>
          <w:rFonts w:hint="eastAsia" w:ascii="Times New Roman" w:hAnsi="Times New Roman" w:eastAsia="隶书"/>
          <w:b/>
          <w:sz w:val="36"/>
          <w:szCs w:val="36"/>
          <w:lang w:eastAsia="zh-CN"/>
        </w:rPr>
        <w:t>四</w:t>
      </w:r>
      <w:r>
        <w:rPr>
          <w:rFonts w:ascii="Times New Roman" w:hAnsi="Times New Roman" w:eastAsia="隶书"/>
          <w:b/>
          <w:sz w:val="36"/>
          <w:szCs w:val="36"/>
        </w:rPr>
        <w:t>年</w:t>
      </w:r>
      <w:r>
        <w:rPr>
          <w:rFonts w:hint="eastAsia" w:ascii="Times New Roman" w:hAnsi="Times New Roman" w:eastAsia="隶书"/>
          <w:b/>
          <w:sz w:val="36"/>
          <w:szCs w:val="36"/>
        </w:rPr>
        <w:t>八</w:t>
      </w:r>
      <w:r>
        <w:rPr>
          <w:rFonts w:ascii="Times New Roman" w:hAnsi="Times New Roman" w:eastAsia="隶书"/>
          <w:b/>
          <w:sz w:val="36"/>
          <w:szCs w:val="36"/>
        </w:rPr>
        <w:t>月</w:t>
      </w:r>
    </w:p>
    <w:p>
      <w:pPr>
        <w:rPr>
          <w:rFonts w:ascii="Times New Roman" w:hAnsi="Times New Roman"/>
          <w:sz w:val="32"/>
          <w:szCs w:val="32"/>
        </w:rPr>
      </w:pPr>
    </w:p>
    <w:p>
      <w:pPr>
        <w:rPr>
          <w:rFonts w:ascii="Times New Roman" w:hAnsi="Times New Roman"/>
          <w:sz w:val="32"/>
          <w:szCs w:val="32"/>
        </w:rPr>
      </w:pPr>
      <w:r>
        <w:rPr>
          <w:rFonts w:ascii="Times New Roman" w:hAnsi="Times New Roman"/>
          <w:sz w:val="32"/>
          <w:szCs w:val="32"/>
        </w:rPr>
        <w:br w:type="page"/>
      </w:r>
    </w:p>
    <w:p>
      <w:pPr>
        <w:pStyle w:val="2"/>
        <w:ind w:firstLine="420"/>
      </w:pPr>
    </w:p>
    <w:p>
      <w:pPr>
        <w:jc w:val="center"/>
        <w:rPr>
          <w:rFonts w:ascii="Times New Roman" w:hAnsi="Times New Roman" w:eastAsia="方正黑体_GBK"/>
          <w:b/>
          <w:sz w:val="52"/>
          <w:szCs w:val="52"/>
        </w:rPr>
      </w:pPr>
      <w:r>
        <w:rPr>
          <w:rFonts w:ascii="Times New Roman" w:hAnsi="Times New Roman" w:eastAsia="方正黑体_GBK"/>
          <w:b/>
          <w:sz w:val="52"/>
          <w:szCs w:val="52"/>
        </w:rPr>
        <w:t>目   录</w:t>
      </w:r>
    </w:p>
    <w:p>
      <w:pPr>
        <w:jc w:val="center"/>
        <w:rPr>
          <w:rFonts w:ascii="Times New Roman" w:hAnsi="Times New Roman" w:eastAsia="黑体"/>
          <w:b/>
          <w:sz w:val="32"/>
          <w:szCs w:val="32"/>
        </w:rPr>
      </w:pPr>
    </w:p>
    <w:p>
      <w:pPr>
        <w:ind w:firstLine="722" w:firstLineChars="200"/>
        <w:rPr>
          <w:rFonts w:ascii="Times New Roman" w:hAnsi="Times New Roman" w:eastAsia="方正黑体_GBK"/>
          <w:b/>
          <w:bCs/>
          <w:sz w:val="36"/>
          <w:szCs w:val="36"/>
        </w:rPr>
      </w:pPr>
      <w:r>
        <w:rPr>
          <w:rFonts w:ascii="Times New Roman" w:hAnsi="Times New Roman" w:eastAsia="方正黑体_GBK"/>
          <w:b/>
          <w:bCs/>
          <w:sz w:val="36"/>
          <w:szCs w:val="36"/>
        </w:rPr>
        <w:t xml:space="preserve">第一部分  </w:t>
      </w:r>
      <w:r>
        <w:rPr>
          <w:rFonts w:hint="eastAsia" w:ascii="Times New Roman" w:hAnsi="Times New Roman" w:eastAsia="方正黑体_GBK"/>
          <w:b/>
          <w:bCs/>
          <w:sz w:val="36"/>
          <w:szCs w:val="36"/>
        </w:rPr>
        <w:t>益阳市南县消防救援大队</w:t>
      </w:r>
      <w:r>
        <w:rPr>
          <w:rFonts w:ascii="Times New Roman" w:hAnsi="Times New Roman" w:eastAsia="方正黑体_GBK"/>
          <w:b/>
          <w:bCs/>
          <w:sz w:val="36"/>
          <w:szCs w:val="36"/>
        </w:rPr>
        <w:t>概况</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一、部门职责</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二、机构设置</w:t>
      </w:r>
    </w:p>
    <w:p>
      <w:pPr>
        <w:rPr>
          <w:rFonts w:ascii="Times New Roman" w:hAnsi="Times New Roman" w:eastAsia="黑体"/>
          <w:sz w:val="32"/>
          <w:szCs w:val="32"/>
        </w:rPr>
      </w:pPr>
    </w:p>
    <w:p>
      <w:pPr>
        <w:ind w:left="2525" w:leftChars="342" w:hanging="1807" w:hangingChars="500"/>
        <w:rPr>
          <w:rFonts w:ascii="Times New Roman" w:hAnsi="Times New Roman" w:eastAsia="方正黑体_GBK"/>
          <w:b/>
          <w:bCs/>
          <w:sz w:val="36"/>
          <w:szCs w:val="36"/>
        </w:rPr>
      </w:pPr>
      <w:r>
        <w:rPr>
          <w:rFonts w:ascii="Times New Roman" w:hAnsi="Times New Roman" w:eastAsia="方正黑体_GBK"/>
          <w:b/>
          <w:bCs/>
          <w:sz w:val="36"/>
          <w:szCs w:val="36"/>
        </w:rPr>
        <w:t xml:space="preserve">第二部分  </w:t>
      </w:r>
      <w:r>
        <w:rPr>
          <w:rFonts w:hint="eastAsia" w:ascii="Times New Roman" w:hAnsi="Times New Roman" w:eastAsia="方正黑体_GBK"/>
          <w:b/>
          <w:bCs/>
          <w:sz w:val="36"/>
          <w:szCs w:val="36"/>
        </w:rPr>
        <w:t>益阳市南县消防救援大队</w:t>
      </w:r>
      <w:r>
        <w:rPr>
          <w:rFonts w:ascii="Times New Roman" w:hAnsi="Times New Roman" w:eastAsia="方正黑体_GBK"/>
          <w:b/>
          <w:bCs/>
          <w:sz w:val="36"/>
          <w:szCs w:val="36"/>
        </w:rPr>
        <w:t>202</w:t>
      </w:r>
      <w:r>
        <w:rPr>
          <w:rFonts w:hint="eastAsia" w:ascii="Times New Roman" w:hAnsi="Times New Roman" w:eastAsia="方正黑体_GBK"/>
          <w:b/>
          <w:bCs/>
          <w:sz w:val="36"/>
          <w:szCs w:val="36"/>
          <w:lang w:val="en-US" w:eastAsia="zh-CN"/>
        </w:rPr>
        <w:t>3</w:t>
      </w:r>
      <w:r>
        <w:rPr>
          <w:rFonts w:ascii="Times New Roman" w:hAnsi="Times New Roman" w:eastAsia="方正黑体_GBK"/>
          <w:b/>
          <w:bCs/>
          <w:sz w:val="36"/>
          <w:szCs w:val="36"/>
        </w:rPr>
        <w:t>年度部门决算表</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一、收入支出决算总表</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二、收入决算表</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三、支出决算表</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四、财政拨款收入支出决算总表</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五、一般公共预算财政拨款支出决算表</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六、一般公共预算财政拨款基本支出决算</w:t>
      </w:r>
      <w:r>
        <w:rPr>
          <w:rFonts w:hint="eastAsia" w:ascii="Times New Roman" w:hAnsi="Times New Roman" w:eastAsia="方正仿宋_GBK"/>
          <w:sz w:val="32"/>
          <w:szCs w:val="32"/>
        </w:rPr>
        <w:t>明细</w:t>
      </w:r>
      <w:r>
        <w:rPr>
          <w:rFonts w:ascii="Times New Roman" w:hAnsi="Times New Roman" w:eastAsia="方正仿宋_GBK"/>
          <w:sz w:val="32"/>
          <w:szCs w:val="32"/>
        </w:rPr>
        <w:t>表</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七、一般公共预算财政拨款“三公”经费支出决算表</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八、政府性基金预算财政拨款收入支出决算表</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九、国有资本经营预算财政拨款支出决算表</w:t>
      </w:r>
    </w:p>
    <w:p>
      <w:pPr>
        <w:ind w:firstLine="640" w:firstLineChars="200"/>
        <w:rPr>
          <w:rFonts w:ascii="Times New Roman" w:hAnsi="Times New Roman" w:eastAsia="方正仿宋_GBK"/>
          <w:sz w:val="32"/>
          <w:szCs w:val="32"/>
        </w:rPr>
      </w:pPr>
    </w:p>
    <w:p>
      <w:pPr>
        <w:ind w:firstLine="722" w:firstLineChars="200"/>
        <w:rPr>
          <w:rFonts w:hint="default" w:ascii="Times New Roman" w:hAnsi="Times New Roman" w:eastAsia="方正黑体_GBK"/>
          <w:b/>
          <w:bCs/>
          <w:sz w:val="36"/>
          <w:szCs w:val="36"/>
          <w:lang w:val="en-US" w:eastAsia="zh-CN"/>
        </w:rPr>
      </w:pPr>
      <w:r>
        <w:rPr>
          <w:rFonts w:ascii="Times New Roman" w:hAnsi="Times New Roman" w:eastAsia="方正黑体_GBK"/>
          <w:b/>
          <w:bCs/>
          <w:sz w:val="36"/>
          <w:szCs w:val="36"/>
        </w:rPr>
        <w:t xml:space="preserve">第三部分  </w:t>
      </w:r>
      <w:r>
        <w:rPr>
          <w:rFonts w:hint="eastAsia" w:ascii="Times New Roman" w:hAnsi="Times New Roman" w:eastAsia="方正黑体_GBK"/>
          <w:b/>
          <w:bCs/>
          <w:sz w:val="36"/>
          <w:szCs w:val="36"/>
        </w:rPr>
        <w:t>益阳市南县消防救援大队</w:t>
      </w:r>
      <w:r>
        <w:rPr>
          <w:rFonts w:ascii="Times New Roman" w:hAnsi="Times New Roman" w:eastAsia="方正黑体_GBK"/>
          <w:b/>
          <w:bCs/>
          <w:sz w:val="36"/>
          <w:szCs w:val="36"/>
        </w:rPr>
        <w:t>202</w:t>
      </w:r>
      <w:r>
        <w:rPr>
          <w:rFonts w:hint="eastAsia" w:ascii="Times New Roman" w:hAnsi="Times New Roman" w:eastAsia="方正黑体_GBK"/>
          <w:b/>
          <w:bCs/>
          <w:sz w:val="36"/>
          <w:szCs w:val="36"/>
          <w:lang w:val="en-US" w:eastAsia="zh-CN"/>
        </w:rPr>
        <w:t>3</w:t>
      </w:r>
    </w:p>
    <w:p>
      <w:pPr>
        <w:ind w:firstLine="2529" w:firstLineChars="700"/>
        <w:rPr>
          <w:rFonts w:ascii="Times New Roman" w:hAnsi="Times New Roman" w:eastAsia="黑体"/>
          <w:b/>
          <w:bCs/>
          <w:sz w:val="36"/>
          <w:szCs w:val="36"/>
        </w:rPr>
      </w:pPr>
      <w:r>
        <w:rPr>
          <w:rFonts w:ascii="Times New Roman" w:hAnsi="Times New Roman" w:eastAsia="方正黑体_GBK"/>
          <w:b/>
          <w:bCs/>
          <w:sz w:val="36"/>
          <w:szCs w:val="36"/>
        </w:rPr>
        <w:t>年度部门决算情况说明</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一、收入支出决算总体情况说明 </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二、收入决算情况说明 </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三、支出决算情况说明</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四、财政拨款收入支出决算总体情况说明</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五、一般公共预算财政拨款支出决算情况说明</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六、一般公共预算财政拨款基本支出决算情况说明 </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七、一般公共预算财政拨款“三公”经费支出决算情况说明</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八、机关运行经费支出说明</w:t>
      </w:r>
    </w:p>
    <w:p>
      <w:pPr>
        <w:ind w:firstLine="640" w:firstLineChars="200"/>
        <w:rPr>
          <w:rFonts w:hint="eastAsia" w:ascii="Times New Roman" w:hAnsi="Times New Roman" w:eastAsia="方正黑体_GBK"/>
          <w:sz w:val="32"/>
          <w:szCs w:val="32"/>
          <w:lang w:val="en-US" w:eastAsia="zh-CN"/>
        </w:rPr>
      </w:pPr>
      <w:r>
        <w:rPr>
          <w:rFonts w:hint="eastAsia" w:ascii="Times New Roman" w:hAnsi="Times New Roman" w:eastAsia="方正黑体_GBK"/>
          <w:bCs/>
          <w:color w:val="000000"/>
          <w:kern w:val="0"/>
          <w:sz w:val="32"/>
          <w:szCs w:val="32"/>
        </w:rPr>
        <w:t>九、政府采购支出</w:t>
      </w:r>
      <w:r>
        <w:rPr>
          <w:rFonts w:hint="eastAsia" w:ascii="Times New Roman" w:hAnsi="Times New Roman" w:eastAsia="方正黑体_GBK"/>
          <w:bCs/>
          <w:color w:val="000000"/>
          <w:kern w:val="0"/>
          <w:sz w:val="32"/>
          <w:szCs w:val="32"/>
          <w:lang w:val="en-US" w:eastAsia="zh-CN"/>
        </w:rPr>
        <w:t>情况说明</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lang w:val="en-US" w:eastAsia="zh-CN"/>
        </w:rPr>
        <w:t>十</w:t>
      </w:r>
      <w:r>
        <w:rPr>
          <w:rFonts w:ascii="Times New Roman" w:hAnsi="Times New Roman" w:eastAsia="方正仿宋_GBK"/>
          <w:sz w:val="32"/>
          <w:szCs w:val="32"/>
        </w:rPr>
        <w:t>、国有资产占用情况说明</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十</w:t>
      </w:r>
      <w:r>
        <w:rPr>
          <w:rFonts w:hint="eastAsia" w:ascii="Times New Roman" w:hAnsi="Times New Roman" w:eastAsia="方正仿宋_GBK"/>
          <w:sz w:val="32"/>
          <w:szCs w:val="32"/>
          <w:lang w:val="en-US" w:eastAsia="zh-CN"/>
        </w:rPr>
        <w:t>一</w:t>
      </w:r>
      <w:r>
        <w:rPr>
          <w:rFonts w:ascii="Times New Roman" w:hAnsi="Times New Roman" w:eastAsia="方正仿宋_GBK"/>
          <w:sz w:val="32"/>
          <w:szCs w:val="32"/>
        </w:rPr>
        <w:t>、预算绩效情况说明</w:t>
      </w:r>
    </w:p>
    <w:p>
      <w:pPr>
        <w:pStyle w:val="2"/>
      </w:pPr>
    </w:p>
    <w:p>
      <w:pPr>
        <w:ind w:firstLine="722" w:firstLineChars="200"/>
        <w:rPr>
          <w:rFonts w:ascii="Times New Roman" w:hAnsi="Times New Roman" w:eastAsia="方正黑体_GBK"/>
          <w:b/>
          <w:bCs/>
          <w:sz w:val="36"/>
          <w:szCs w:val="36"/>
        </w:rPr>
      </w:pPr>
      <w:r>
        <w:rPr>
          <w:rFonts w:ascii="Times New Roman" w:hAnsi="Times New Roman" w:eastAsia="方正黑体_GBK"/>
          <w:b/>
          <w:bCs/>
          <w:sz w:val="36"/>
          <w:szCs w:val="36"/>
        </w:rPr>
        <w:t>第四部分 名词解释</w:t>
      </w:r>
    </w:p>
    <w:p>
      <w:pPr>
        <w:ind w:firstLine="720" w:firstLineChars="200"/>
        <w:rPr>
          <w:rFonts w:ascii="Times New Roman" w:hAnsi="Times New Roman" w:eastAsia="黑体"/>
          <w:sz w:val="36"/>
          <w:szCs w:val="36"/>
        </w:rPr>
      </w:pPr>
    </w:p>
    <w:p>
      <w:pPr>
        <w:rPr>
          <w:rFonts w:ascii="方正黑体_GBK" w:hAnsi="方正黑体_GBK" w:eastAsia="方正黑体_GBK" w:cs="方正黑体_GBK"/>
          <w:b/>
          <w:color w:val="000000"/>
          <w:sz w:val="52"/>
          <w:szCs w:val="52"/>
        </w:rPr>
      </w:pPr>
      <w:r>
        <w:rPr>
          <w:rFonts w:hint="eastAsia" w:ascii="方正黑体_GBK" w:hAnsi="方正黑体_GBK" w:eastAsia="方正黑体_GBK" w:cs="方正黑体_GBK"/>
          <w:b/>
          <w:color w:val="000000"/>
          <w:sz w:val="52"/>
          <w:szCs w:val="52"/>
        </w:rPr>
        <w:br w:type="page"/>
      </w:r>
    </w:p>
    <w:p>
      <w:pPr>
        <w:spacing w:line="800" w:lineRule="exact"/>
        <w:ind w:left="2610" w:hanging="2610" w:hangingChars="500"/>
        <w:rPr>
          <w:rFonts w:ascii="方正黑体_GBK" w:hAnsi="方正黑体_GBK" w:eastAsia="方正黑体_GBK" w:cs="方正黑体_GBK"/>
          <w:b/>
          <w:color w:val="000000"/>
          <w:sz w:val="52"/>
          <w:szCs w:val="52"/>
        </w:rPr>
      </w:pPr>
    </w:p>
    <w:p>
      <w:pPr>
        <w:spacing w:line="800" w:lineRule="exact"/>
        <w:ind w:left="2610" w:hanging="2610" w:hangingChars="500"/>
        <w:rPr>
          <w:rFonts w:ascii="方正黑体_GBK" w:hAnsi="方正黑体_GBK" w:eastAsia="方正黑体_GBK" w:cs="方正黑体_GBK"/>
          <w:b/>
          <w:color w:val="000000"/>
          <w:sz w:val="52"/>
          <w:szCs w:val="52"/>
        </w:rPr>
      </w:pPr>
    </w:p>
    <w:p>
      <w:pPr>
        <w:spacing w:line="800" w:lineRule="exact"/>
        <w:ind w:left="2610" w:hanging="2610" w:hangingChars="500"/>
        <w:rPr>
          <w:rFonts w:ascii="方正黑体_GBK" w:hAnsi="方正黑体_GBK" w:eastAsia="方正黑体_GBK" w:cs="方正黑体_GBK"/>
          <w:b/>
          <w:color w:val="000000"/>
          <w:sz w:val="52"/>
          <w:szCs w:val="52"/>
        </w:rPr>
      </w:pPr>
    </w:p>
    <w:p>
      <w:pPr>
        <w:spacing w:line="800" w:lineRule="exact"/>
        <w:ind w:left="2610" w:hanging="2610" w:hangingChars="500"/>
        <w:rPr>
          <w:rFonts w:ascii="方正黑体_GBK" w:hAnsi="方正黑体_GBK" w:eastAsia="方正黑体_GBK" w:cs="方正黑体_GBK"/>
          <w:b/>
          <w:color w:val="000000"/>
          <w:sz w:val="52"/>
          <w:szCs w:val="52"/>
        </w:rPr>
      </w:pPr>
    </w:p>
    <w:p>
      <w:pPr>
        <w:spacing w:line="800" w:lineRule="exact"/>
        <w:ind w:left="2610" w:hanging="2610" w:hangingChars="500"/>
        <w:rPr>
          <w:rFonts w:ascii="方正黑体_GBK" w:hAnsi="方正黑体_GBK" w:eastAsia="方正黑体_GBK" w:cs="方正黑体_GBK"/>
          <w:b/>
          <w:color w:val="000000"/>
          <w:sz w:val="52"/>
          <w:szCs w:val="52"/>
        </w:rPr>
      </w:pPr>
    </w:p>
    <w:p>
      <w:pPr>
        <w:pStyle w:val="2"/>
        <w:ind w:firstLine="420"/>
      </w:pPr>
    </w:p>
    <w:p>
      <w:pPr>
        <w:spacing w:line="800" w:lineRule="exact"/>
        <w:ind w:left="2610" w:hanging="2610" w:hangingChars="500"/>
        <w:rPr>
          <w:rFonts w:ascii="方正黑体_GBK" w:hAnsi="方正黑体_GBK" w:eastAsia="方正黑体_GBK" w:cs="方正黑体_GBK"/>
          <w:b/>
          <w:color w:val="000000"/>
          <w:sz w:val="52"/>
          <w:szCs w:val="52"/>
        </w:rPr>
      </w:pPr>
    </w:p>
    <w:p>
      <w:pPr>
        <w:spacing w:line="800" w:lineRule="exact"/>
        <w:ind w:left="2409" w:hanging="2409" w:hangingChars="500"/>
        <w:rPr>
          <w:rFonts w:ascii="方正黑体_GBK" w:hAnsi="方正黑体_GBK" w:eastAsia="方正黑体_GBK" w:cs="方正黑体_GBK"/>
          <w:b/>
          <w:color w:val="000000"/>
          <w:sz w:val="48"/>
          <w:szCs w:val="48"/>
        </w:rPr>
      </w:pPr>
      <w:r>
        <w:rPr>
          <w:rFonts w:hint="eastAsia" w:ascii="方正黑体_GBK" w:hAnsi="方正黑体_GBK" w:eastAsia="方正黑体_GBK" w:cs="方正黑体_GBK"/>
          <w:b/>
          <w:color w:val="000000"/>
          <w:sz w:val="48"/>
          <w:szCs w:val="48"/>
        </w:rPr>
        <w:t>第一部分</w:t>
      </w:r>
      <w:r>
        <w:rPr>
          <w:rFonts w:hint="eastAsia" w:ascii="方正黑体_GBK" w:hAnsi="方正黑体_GBK" w:eastAsia="方正黑体_GBK" w:cs="方正黑体_GBK"/>
          <w:b/>
          <w:color w:val="000000"/>
          <w:spacing w:val="113"/>
          <w:sz w:val="48"/>
          <w:szCs w:val="48"/>
        </w:rPr>
        <w:t xml:space="preserve"> </w:t>
      </w:r>
      <w:r>
        <w:rPr>
          <w:rFonts w:hint="eastAsia" w:ascii="方正黑体_GBK" w:hAnsi="方正黑体_GBK" w:eastAsia="方正黑体_GBK" w:cs="方正黑体_GBK"/>
          <w:b/>
          <w:color w:val="000000"/>
          <w:sz w:val="48"/>
          <w:szCs w:val="48"/>
        </w:rPr>
        <w:t>益阳市南县消防救援大队概况</w:t>
      </w:r>
    </w:p>
    <w:p>
      <w:pPr>
        <w:rPr>
          <w:rFonts w:ascii="Times New Roman" w:hAnsi="Times New Roman" w:eastAsia="方正黑体_GBK"/>
          <w:sz w:val="32"/>
          <w:szCs w:val="32"/>
        </w:rPr>
      </w:pPr>
      <w:r>
        <w:rPr>
          <w:rFonts w:ascii="Times New Roman" w:hAnsi="Times New Roman" w:eastAsia="方正黑体_GBK"/>
          <w:sz w:val="32"/>
          <w:szCs w:val="32"/>
        </w:rPr>
        <w:br w:type="page"/>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sz w:val="32"/>
          <w:szCs w:val="32"/>
          <w:lang w:val="en-US" w:eastAsia="zh-CN" w:bidi="ar-SA"/>
        </w:rPr>
      </w:pPr>
      <w:r>
        <w:rPr>
          <w:rFonts w:hint="default" w:ascii="Times New Roman" w:hAnsi="Times New Roman" w:eastAsia="方正黑体_GBK" w:cs="Times New Roman"/>
          <w:sz w:val="32"/>
          <w:szCs w:val="32"/>
        </w:rPr>
        <w:t>一、部门职责</w:t>
      </w:r>
    </w:p>
    <w:p>
      <w:pPr>
        <w:pStyle w:val="17"/>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bidi="ar-SA"/>
        </w:rPr>
      </w:pPr>
      <w:r>
        <w:rPr>
          <w:rFonts w:hint="default" w:ascii="Times New Roman" w:hAnsi="Times New Roman" w:eastAsia="仿宋_GB2312" w:cs="Times New Roman"/>
          <w:sz w:val="32"/>
          <w:szCs w:val="32"/>
          <w:lang w:val="en-US" w:eastAsia="zh-CN" w:bidi="ar-SA"/>
        </w:rPr>
        <w:t>国家综合性消防救援队伍承担防范化解重大安全风险、应对处置各类灾害事故的重要职责，是应急救援的主力军和国家队。</w:t>
      </w:r>
      <w:r>
        <w:rPr>
          <w:rFonts w:hint="eastAsia" w:eastAsia="仿宋_GB2312" w:cs="Times New Roman"/>
          <w:sz w:val="32"/>
          <w:szCs w:val="32"/>
          <w:lang w:val="en-US" w:eastAsia="zh-CN" w:bidi="ar-SA"/>
        </w:rPr>
        <w:t>益阳市南县消防救援大队</w:t>
      </w:r>
      <w:r>
        <w:rPr>
          <w:rFonts w:hint="default" w:ascii="Times New Roman" w:hAnsi="Times New Roman" w:eastAsia="仿宋_GB2312" w:cs="Times New Roman"/>
          <w:sz w:val="32"/>
          <w:szCs w:val="32"/>
          <w:lang w:val="en-US" w:eastAsia="zh-CN" w:bidi="ar-SA"/>
        </w:rPr>
        <w:t>隶属</w:t>
      </w:r>
      <w:r>
        <w:rPr>
          <w:rFonts w:hint="eastAsia" w:eastAsia="仿宋_GB2312" w:cs="Times New Roman"/>
          <w:sz w:val="32"/>
          <w:szCs w:val="32"/>
          <w:lang w:val="en-US" w:eastAsia="zh-CN" w:bidi="ar-SA"/>
        </w:rPr>
        <w:t>益阳市</w:t>
      </w:r>
      <w:r>
        <w:rPr>
          <w:rFonts w:hint="default" w:ascii="Times New Roman" w:hAnsi="Times New Roman" w:eastAsia="仿宋_GB2312" w:cs="Times New Roman"/>
          <w:sz w:val="32"/>
          <w:szCs w:val="32"/>
          <w:lang w:val="en-US" w:eastAsia="zh-CN" w:bidi="ar-SA"/>
        </w:rPr>
        <w:t>消防救援</w:t>
      </w:r>
      <w:r>
        <w:rPr>
          <w:rFonts w:hint="eastAsia" w:eastAsia="仿宋_GB2312" w:cs="Times New Roman"/>
          <w:sz w:val="32"/>
          <w:szCs w:val="32"/>
          <w:lang w:val="en-US" w:eastAsia="zh-CN" w:bidi="ar-SA"/>
        </w:rPr>
        <w:t>支队</w:t>
      </w:r>
      <w:r>
        <w:rPr>
          <w:rFonts w:hint="default" w:ascii="Times New Roman" w:hAnsi="Times New Roman" w:eastAsia="仿宋_GB2312" w:cs="Times New Roman"/>
          <w:sz w:val="32"/>
          <w:szCs w:val="32"/>
          <w:lang w:val="en-US" w:eastAsia="zh-CN" w:bidi="ar-SA"/>
        </w:rPr>
        <w:t>，受</w:t>
      </w:r>
      <w:r>
        <w:rPr>
          <w:rFonts w:hint="eastAsia" w:eastAsia="仿宋_GB2312" w:cs="Times New Roman"/>
          <w:sz w:val="32"/>
          <w:szCs w:val="32"/>
          <w:lang w:val="en-US" w:eastAsia="zh-CN" w:bidi="ar-SA"/>
        </w:rPr>
        <w:t>湖南</w:t>
      </w:r>
      <w:r>
        <w:rPr>
          <w:rFonts w:hint="default" w:ascii="Times New Roman" w:hAnsi="Times New Roman" w:eastAsia="仿宋_GB2312" w:cs="Times New Roman"/>
          <w:sz w:val="32"/>
          <w:szCs w:val="32"/>
          <w:lang w:val="en-US" w:eastAsia="zh-CN" w:bidi="ar-SA"/>
        </w:rPr>
        <w:t>省消防救援总队和</w:t>
      </w:r>
      <w:r>
        <w:rPr>
          <w:rFonts w:hint="eastAsia" w:eastAsia="仿宋_GB2312" w:cs="Times New Roman"/>
          <w:sz w:val="32"/>
          <w:szCs w:val="32"/>
          <w:lang w:val="en-US" w:eastAsia="zh-CN" w:bidi="ar-SA"/>
        </w:rPr>
        <w:t>南县县委县政府</w:t>
      </w:r>
      <w:r>
        <w:rPr>
          <w:rFonts w:hint="default" w:ascii="Times New Roman" w:hAnsi="Times New Roman" w:eastAsia="仿宋_GB2312" w:cs="Times New Roman"/>
          <w:sz w:val="32"/>
          <w:szCs w:val="32"/>
          <w:lang w:val="en-US" w:eastAsia="zh-CN" w:bidi="ar-SA"/>
        </w:rPr>
        <w:t>领导，依据有关法律法规履行下列职责：</w:t>
      </w:r>
    </w:p>
    <w:p>
      <w:pPr>
        <w:pStyle w:val="17"/>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bidi="ar-SA"/>
        </w:rPr>
      </w:pPr>
      <w:r>
        <w:rPr>
          <w:rFonts w:hint="default" w:ascii="Times New Roman" w:hAnsi="Times New Roman" w:eastAsia="仿宋_GB2312" w:cs="Times New Roman"/>
          <w:sz w:val="32"/>
          <w:szCs w:val="32"/>
          <w:lang w:val="en-US" w:eastAsia="zh-CN" w:bidi="ar-SA"/>
        </w:rPr>
        <w:t>（一）承担城乡综合性消防救援工作，负责指挥调度相关灾害事故救援行动，承担重要会议、大型活动消防安全保卫工作。</w:t>
      </w:r>
    </w:p>
    <w:p>
      <w:pPr>
        <w:pStyle w:val="17"/>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bidi="ar-SA"/>
        </w:rPr>
      </w:pPr>
      <w:r>
        <w:rPr>
          <w:rFonts w:hint="default" w:ascii="Times New Roman" w:hAnsi="Times New Roman" w:eastAsia="仿宋_GB2312" w:cs="Times New Roman"/>
          <w:sz w:val="32"/>
          <w:szCs w:val="32"/>
          <w:lang w:val="en-US" w:eastAsia="zh-CN" w:bidi="ar-SA"/>
        </w:rPr>
        <w:t>（二）承担火灾预防、消防监督执法以及火灾事故调查处理相关工作，依法行使消防安全综合监管职能，推动落实消防安全责任制。</w:t>
      </w:r>
    </w:p>
    <w:p>
      <w:pPr>
        <w:pStyle w:val="17"/>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bidi="ar-SA"/>
        </w:rPr>
      </w:pPr>
      <w:r>
        <w:rPr>
          <w:rFonts w:hint="default" w:ascii="Times New Roman" w:hAnsi="Times New Roman" w:eastAsia="仿宋_GB2312" w:cs="Times New Roman"/>
          <w:sz w:val="32"/>
          <w:szCs w:val="32"/>
          <w:lang w:val="en-US" w:eastAsia="zh-CN" w:bidi="ar-SA"/>
        </w:rPr>
        <w:t>（三）参与拟订消防专项规划，参与起草地方性消防法规、规章草案并监督实施。</w:t>
      </w:r>
    </w:p>
    <w:p>
      <w:pPr>
        <w:pStyle w:val="17"/>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bidi="ar-SA"/>
        </w:rPr>
      </w:pPr>
      <w:r>
        <w:rPr>
          <w:rFonts w:hint="default" w:ascii="Times New Roman" w:hAnsi="Times New Roman" w:eastAsia="仿宋_GB2312" w:cs="Times New Roman"/>
          <w:sz w:val="32"/>
          <w:szCs w:val="32"/>
          <w:lang w:val="en-US" w:eastAsia="zh-CN" w:bidi="ar-SA"/>
        </w:rPr>
        <w:t>（四）负责消防救援队伍综合性消防救援预案编制、战术研究和执勤备战、训练演练等工作。</w:t>
      </w:r>
    </w:p>
    <w:p>
      <w:pPr>
        <w:pStyle w:val="17"/>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bidi="ar-SA"/>
        </w:rPr>
      </w:pPr>
      <w:r>
        <w:rPr>
          <w:rFonts w:hint="default" w:ascii="Times New Roman" w:hAnsi="Times New Roman" w:eastAsia="仿宋_GB2312" w:cs="Times New Roman"/>
          <w:sz w:val="32"/>
          <w:szCs w:val="32"/>
          <w:lang w:val="en-US" w:eastAsia="zh-CN" w:bidi="ar-SA"/>
        </w:rPr>
        <w:t>（五）负责消防救援信息化和应急通信建设，承担综合性消防救援行动应急通信保障工作。</w:t>
      </w:r>
    </w:p>
    <w:p>
      <w:pPr>
        <w:pStyle w:val="17"/>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bidi="ar-SA"/>
        </w:rPr>
      </w:pPr>
      <w:r>
        <w:rPr>
          <w:rFonts w:hint="default" w:ascii="Times New Roman" w:hAnsi="Times New Roman" w:eastAsia="仿宋_GB2312" w:cs="Times New Roman"/>
          <w:sz w:val="32"/>
          <w:szCs w:val="32"/>
          <w:lang w:val="en-US" w:eastAsia="zh-CN" w:bidi="ar-SA"/>
        </w:rPr>
        <w:t>（六）负责消防安全宣传教育，组织指导社会消防力量建设。</w:t>
      </w:r>
    </w:p>
    <w:p>
      <w:pPr>
        <w:pStyle w:val="17"/>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bidi="ar-SA"/>
        </w:rPr>
      </w:pPr>
      <w:r>
        <w:rPr>
          <w:rFonts w:hint="default" w:ascii="Times New Roman" w:hAnsi="Times New Roman" w:eastAsia="仿宋_GB2312" w:cs="Times New Roman"/>
          <w:sz w:val="32"/>
          <w:szCs w:val="32"/>
          <w:lang w:val="en-US" w:eastAsia="zh-CN" w:bidi="ar-SA"/>
        </w:rPr>
        <w:t>（七）负责消防应急救援专业队伍规划、建设与调度指挥，参与组织协调动员各类社会救援力量参加救援任务。</w:t>
      </w:r>
    </w:p>
    <w:p>
      <w:pPr>
        <w:pStyle w:val="17"/>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bidi="ar-SA"/>
        </w:rPr>
      </w:pPr>
      <w:r>
        <w:rPr>
          <w:rFonts w:hint="default" w:ascii="Times New Roman" w:hAnsi="Times New Roman" w:eastAsia="仿宋_GB2312" w:cs="Times New Roman"/>
          <w:sz w:val="32"/>
          <w:szCs w:val="32"/>
          <w:lang w:val="en-US" w:eastAsia="zh-CN" w:bidi="ar-SA"/>
        </w:rPr>
        <w:t>（八）负责消防救援队伍建设与管理。</w:t>
      </w:r>
    </w:p>
    <w:p>
      <w:pPr>
        <w:widowControl/>
        <w:spacing w:before="10" w:after="10" w:line="560" w:lineRule="exact"/>
        <w:ind w:firstLine="640" w:firstLineChars="200"/>
        <w:outlineLvl w:val="2"/>
        <w:rPr>
          <w:rFonts w:ascii="仿宋" w:hAnsi="仿宋" w:eastAsia="仿宋" w:cs="仿宋"/>
          <w:sz w:val="32"/>
          <w:szCs w:val="32"/>
        </w:rPr>
      </w:pPr>
      <w:r>
        <w:rPr>
          <w:rFonts w:hint="default" w:ascii="Times New Roman" w:hAnsi="Times New Roman" w:eastAsia="仿宋_GB2312" w:cs="Times New Roman"/>
          <w:sz w:val="32"/>
          <w:szCs w:val="32"/>
          <w:lang w:val="en-US" w:eastAsia="zh-CN" w:bidi="ar-SA"/>
        </w:rPr>
        <w:t>（九）完成上级单位和</w:t>
      </w:r>
      <w:r>
        <w:rPr>
          <w:rFonts w:hint="eastAsia" w:ascii="Times New Roman" w:hAnsi="Times New Roman" w:eastAsia="仿宋_GB2312" w:cs="Times New Roman"/>
          <w:sz w:val="32"/>
          <w:szCs w:val="32"/>
          <w:lang w:val="en-US" w:eastAsia="zh-CN" w:bidi="ar-SA"/>
        </w:rPr>
        <w:t>县</w:t>
      </w:r>
      <w:r>
        <w:rPr>
          <w:rFonts w:hint="default" w:ascii="Times New Roman" w:hAnsi="Times New Roman" w:eastAsia="仿宋_GB2312" w:cs="Times New Roman"/>
          <w:sz w:val="32"/>
          <w:szCs w:val="32"/>
          <w:lang w:val="en-US" w:eastAsia="zh-CN" w:bidi="ar-SA"/>
        </w:rPr>
        <w:t>委</w:t>
      </w:r>
      <w:r>
        <w:rPr>
          <w:rFonts w:hint="eastAsia" w:ascii="Times New Roman" w:hAnsi="Times New Roman" w:eastAsia="仿宋_GB2312" w:cs="Times New Roman"/>
          <w:sz w:val="32"/>
          <w:szCs w:val="32"/>
          <w:lang w:val="en-US" w:eastAsia="zh-CN" w:bidi="ar-SA"/>
        </w:rPr>
        <w:t>县</w:t>
      </w:r>
      <w:r>
        <w:rPr>
          <w:rFonts w:hint="default" w:ascii="Times New Roman" w:hAnsi="Times New Roman" w:eastAsia="仿宋_GB2312" w:cs="Times New Roman"/>
          <w:sz w:val="32"/>
          <w:szCs w:val="32"/>
          <w:lang w:val="en-US" w:eastAsia="zh-CN" w:bidi="ar-SA"/>
        </w:rPr>
        <w:t>政府交办的相关任务。</w:t>
      </w:r>
    </w:p>
    <w:p>
      <w:pPr>
        <w:widowControl/>
        <w:spacing w:before="10" w:after="10" w:line="560" w:lineRule="exact"/>
        <w:ind w:firstLine="640" w:firstLineChars="200"/>
        <w:outlineLvl w:val="2"/>
        <w:rPr>
          <w:rFonts w:ascii="Times New Roman" w:hAnsi="Times New Roman" w:eastAsia="黑体"/>
          <w:color w:val="000000"/>
          <w:sz w:val="32"/>
        </w:rPr>
      </w:pPr>
      <w:r>
        <w:rPr>
          <w:rFonts w:ascii="Times New Roman" w:hAnsi="Times New Roman" w:eastAsia="黑体"/>
          <w:color w:val="000000"/>
          <w:sz w:val="32"/>
        </w:rPr>
        <w:t>二、机构设置：</w:t>
      </w:r>
    </w:p>
    <w:p>
      <w:pPr>
        <w:spacing w:line="800" w:lineRule="exact"/>
        <w:ind w:left="1598" w:leftChars="304" w:hanging="960" w:hangingChars="300"/>
        <w:rPr>
          <w:rFonts w:ascii="Times New Roman" w:hAnsi="Times New Roman" w:eastAsia="仿宋_GB2312"/>
          <w:sz w:val="32"/>
          <w:szCs w:val="32"/>
        </w:rPr>
      </w:pPr>
      <w:r>
        <w:rPr>
          <w:rFonts w:hint="eastAsia" w:ascii="Times New Roman" w:hAnsi="Times New Roman" w:eastAsia="仿宋_GB2312"/>
          <w:sz w:val="32"/>
          <w:szCs w:val="32"/>
        </w:rPr>
        <w:t>益阳市南县消防救援大队为四级预算单位。</w:t>
      </w:r>
    </w:p>
    <w:p>
      <w:pPr>
        <w:spacing w:line="800" w:lineRule="exact"/>
        <w:ind w:left="2610" w:hanging="2610" w:hangingChars="500"/>
        <w:rPr>
          <w:rFonts w:ascii="方正黑体_GBK" w:hAnsi="方正黑体_GBK" w:eastAsia="方正黑体_GBK" w:cs="方正黑体_GBK"/>
          <w:b/>
          <w:color w:val="000000"/>
          <w:sz w:val="52"/>
          <w:szCs w:val="52"/>
        </w:rPr>
      </w:pPr>
    </w:p>
    <w:p>
      <w:pPr>
        <w:spacing w:line="800" w:lineRule="exact"/>
        <w:ind w:left="2610" w:hanging="2610" w:hangingChars="500"/>
        <w:rPr>
          <w:rFonts w:ascii="方正黑体_GBK" w:hAnsi="方正黑体_GBK" w:eastAsia="方正黑体_GBK" w:cs="方正黑体_GBK"/>
          <w:b/>
          <w:color w:val="000000"/>
          <w:sz w:val="52"/>
          <w:szCs w:val="52"/>
        </w:rPr>
      </w:pPr>
    </w:p>
    <w:p>
      <w:pPr>
        <w:spacing w:line="800" w:lineRule="exact"/>
        <w:rPr>
          <w:rFonts w:ascii="方正黑体_GBK" w:hAnsi="方正黑体_GBK" w:eastAsia="方正黑体_GBK" w:cs="方正黑体_GBK"/>
          <w:b/>
          <w:color w:val="000000"/>
          <w:sz w:val="48"/>
          <w:szCs w:val="48"/>
        </w:rPr>
      </w:pPr>
    </w:p>
    <w:p>
      <w:pPr>
        <w:spacing w:line="800" w:lineRule="exact"/>
        <w:ind w:left="-1050" w:leftChars="-500"/>
        <w:rPr>
          <w:rFonts w:ascii="方正黑体_GBK" w:hAnsi="方正黑体_GBK" w:eastAsia="方正黑体_GBK" w:cs="方正黑体_GBK"/>
          <w:b/>
          <w:color w:val="000000"/>
          <w:sz w:val="48"/>
          <w:szCs w:val="48"/>
        </w:rPr>
      </w:pPr>
    </w:p>
    <w:p>
      <w:pPr>
        <w:spacing w:line="800" w:lineRule="exact"/>
        <w:ind w:left="-1050" w:leftChars="-500"/>
        <w:rPr>
          <w:rFonts w:ascii="方正黑体_GBK" w:hAnsi="方正黑体_GBK" w:eastAsia="方正黑体_GBK" w:cs="方正黑体_GBK"/>
          <w:b/>
          <w:color w:val="000000"/>
          <w:sz w:val="48"/>
          <w:szCs w:val="48"/>
        </w:rPr>
      </w:pPr>
    </w:p>
    <w:p>
      <w:pPr>
        <w:spacing w:line="800" w:lineRule="exact"/>
        <w:ind w:left="-1050" w:leftChars="-500"/>
        <w:rPr>
          <w:rFonts w:ascii="方正黑体_GBK" w:hAnsi="方正黑体_GBK" w:eastAsia="方正黑体_GBK" w:cs="方正黑体_GBK"/>
          <w:b/>
          <w:color w:val="000000"/>
          <w:sz w:val="48"/>
          <w:szCs w:val="48"/>
        </w:rPr>
      </w:pPr>
    </w:p>
    <w:p>
      <w:pPr>
        <w:spacing w:line="800" w:lineRule="exact"/>
        <w:ind w:left="-1050" w:leftChars="-500"/>
        <w:rPr>
          <w:rFonts w:ascii="方正黑体_GBK" w:hAnsi="方正黑体_GBK" w:eastAsia="方正黑体_GBK" w:cs="方正黑体_GBK"/>
          <w:b/>
          <w:color w:val="000000"/>
          <w:sz w:val="48"/>
          <w:szCs w:val="48"/>
        </w:rPr>
      </w:pPr>
    </w:p>
    <w:p>
      <w:pPr>
        <w:spacing w:line="800" w:lineRule="exact"/>
        <w:ind w:left="8618" w:leftChars="4104" w:firstLine="0" w:firstLineChars="0"/>
        <w:jc w:val="both"/>
        <w:rPr>
          <w:rFonts w:ascii="Arial" w:hAnsi="Arial" w:cs="Arial"/>
          <w:color w:val="000000"/>
          <w:sz w:val="16"/>
          <w:szCs w:val="16"/>
        </w:rPr>
        <w:sectPr>
          <w:footerReference r:id="rId3" w:type="default"/>
          <w:pgSz w:w="11911" w:h="16838"/>
          <w:pgMar w:top="2098" w:right="1474" w:bottom="1984" w:left="1587" w:header="0" w:footer="913" w:gutter="0"/>
          <w:cols w:space="0" w:num="1"/>
          <w:docGrid w:linePitch="312" w:charSpace="0"/>
        </w:sectPr>
      </w:pPr>
      <w:r>
        <w:rPr>
          <w:rFonts w:hint="eastAsia" w:ascii="方正黑体_GBK" w:hAnsi="方正黑体_GBK" w:eastAsia="方正黑体_GBK" w:cs="方正黑体_GBK"/>
          <w:b/>
          <w:color w:val="000000"/>
          <w:sz w:val="48"/>
          <w:szCs w:val="48"/>
          <w:lang w:val="en-US" w:eastAsia="zh-CN"/>
        </w:rPr>
        <w:t xml:space="preserve">    </w:t>
      </w:r>
      <w:r>
        <w:rPr>
          <w:rFonts w:ascii="Times New Roman" w:hAnsi="Times New Roman" w:eastAsia="黑体"/>
          <w:b/>
          <w:color w:val="000000"/>
          <w:sz w:val="32"/>
          <w:szCs w:val="32"/>
        </w:rPr>
        <w:br w:type="page"/>
      </w:r>
    </w:p>
    <w:p>
      <w:pPr>
        <w:rPr>
          <w:rFonts w:ascii="Times New Roman" w:hAnsi="Times New Roman" w:eastAsia="方正黑体_GBK"/>
          <w:sz w:val="32"/>
          <w:szCs w:val="32"/>
        </w:rPr>
      </w:pPr>
    </w:p>
    <w:p>
      <w:pPr>
        <w:rPr>
          <w:rFonts w:ascii="Times New Roman" w:hAnsi="Times New Roman" w:eastAsia="方正黑体_GBK"/>
          <w:sz w:val="32"/>
          <w:szCs w:val="32"/>
        </w:rPr>
      </w:pPr>
    </w:p>
    <w:p>
      <w:pPr>
        <w:rPr>
          <w:rFonts w:ascii="Times New Roman" w:hAnsi="Times New Roman" w:eastAsia="方正黑体_GBK"/>
          <w:sz w:val="32"/>
          <w:szCs w:val="32"/>
        </w:rPr>
      </w:pPr>
    </w:p>
    <w:p>
      <w:pPr>
        <w:rPr>
          <w:rFonts w:ascii="Times New Roman" w:hAnsi="Times New Roman" w:eastAsia="方正黑体_GBK"/>
          <w:sz w:val="32"/>
          <w:szCs w:val="32"/>
        </w:rPr>
      </w:pPr>
    </w:p>
    <w:p>
      <w:pPr>
        <w:rPr>
          <w:rFonts w:ascii="Times New Roman" w:hAnsi="Times New Roman" w:eastAsia="方正黑体_GBK"/>
          <w:sz w:val="32"/>
          <w:szCs w:val="32"/>
        </w:rPr>
      </w:pPr>
    </w:p>
    <w:p>
      <w:pPr>
        <w:rPr>
          <w:rFonts w:ascii="Times New Roman" w:hAnsi="Times New Roman" w:eastAsia="方正黑体_GBK"/>
          <w:sz w:val="32"/>
          <w:szCs w:val="32"/>
        </w:rPr>
      </w:pPr>
    </w:p>
    <w:p>
      <w:pPr>
        <w:rPr>
          <w:rFonts w:ascii="Times New Roman" w:hAnsi="Times New Roman" w:eastAsia="方正黑体_GBK"/>
          <w:sz w:val="32"/>
          <w:szCs w:val="32"/>
        </w:rPr>
      </w:pPr>
    </w:p>
    <w:p>
      <w:pPr>
        <w:rPr>
          <w:rFonts w:ascii="Times New Roman" w:hAnsi="Times New Roman" w:eastAsia="方正黑体_GBK"/>
          <w:sz w:val="32"/>
          <w:szCs w:val="32"/>
        </w:rPr>
      </w:pPr>
    </w:p>
    <w:p>
      <w:pPr>
        <w:rPr>
          <w:rFonts w:ascii="Times New Roman" w:hAnsi="Times New Roman" w:eastAsia="方正黑体_GBK"/>
          <w:sz w:val="32"/>
          <w:szCs w:val="32"/>
        </w:rPr>
      </w:pPr>
    </w:p>
    <w:p>
      <w:pPr>
        <w:keepNext w:val="0"/>
        <w:keepLines w:val="0"/>
        <w:pageBreakBefore w:val="0"/>
        <w:widowControl w:val="0"/>
        <w:kinsoku/>
        <w:wordWrap/>
        <w:overflowPunct/>
        <w:topLinePunct w:val="0"/>
        <w:autoSpaceDE/>
        <w:autoSpaceDN/>
        <w:bidi w:val="0"/>
        <w:adjustRightInd/>
        <w:snapToGrid/>
        <w:spacing w:line="800" w:lineRule="exact"/>
        <w:ind w:left="2891" w:leftChars="0" w:hanging="2891" w:hangingChars="600"/>
        <w:jc w:val="both"/>
        <w:textAlignment w:val="auto"/>
        <w:rPr>
          <w:rFonts w:hint="eastAsia" w:ascii="方正黑体_GBK" w:hAnsi="方正黑体_GBK" w:eastAsia="方正黑体_GBK" w:cs="方正黑体_GBK"/>
          <w:b/>
          <w:color w:val="000000"/>
          <w:sz w:val="48"/>
          <w:szCs w:val="48"/>
        </w:rPr>
      </w:pPr>
      <w:r>
        <w:rPr>
          <w:rFonts w:hint="eastAsia" w:ascii="方正黑体_GBK" w:hAnsi="方正黑体_GBK" w:eastAsia="方正黑体_GBK" w:cs="方正黑体_GBK"/>
          <w:b/>
          <w:color w:val="000000"/>
          <w:sz w:val="48"/>
          <w:szCs w:val="48"/>
        </w:rPr>
        <w:t>第</w:t>
      </w:r>
      <w:r>
        <w:rPr>
          <w:rFonts w:hint="eastAsia" w:ascii="方正黑体_GBK" w:hAnsi="方正黑体_GBK" w:eastAsia="方正黑体_GBK" w:cs="方正黑体_GBK"/>
          <w:b/>
          <w:color w:val="000000"/>
          <w:sz w:val="48"/>
          <w:szCs w:val="48"/>
          <w:lang w:eastAsia="zh-CN"/>
        </w:rPr>
        <w:t>二</w:t>
      </w:r>
      <w:r>
        <w:rPr>
          <w:rFonts w:hint="eastAsia" w:ascii="方正黑体_GBK" w:hAnsi="方正黑体_GBK" w:eastAsia="方正黑体_GBK" w:cs="方正黑体_GBK"/>
          <w:b/>
          <w:color w:val="000000"/>
          <w:sz w:val="48"/>
          <w:szCs w:val="48"/>
        </w:rPr>
        <w:t>部分</w:t>
      </w:r>
      <w:r>
        <w:rPr>
          <w:rFonts w:hint="eastAsia" w:ascii="方正黑体_GBK" w:hAnsi="方正黑体_GBK" w:eastAsia="方正黑体_GBK" w:cs="方正黑体_GBK"/>
          <w:b/>
          <w:color w:val="000000"/>
          <w:spacing w:val="113"/>
          <w:sz w:val="48"/>
          <w:szCs w:val="48"/>
          <w:lang w:val="en-US" w:eastAsia="zh-CN"/>
        </w:rPr>
        <w:t xml:space="preserve"> </w:t>
      </w:r>
      <w:r>
        <w:rPr>
          <w:rFonts w:hint="eastAsia" w:ascii="方正黑体_GBK" w:hAnsi="方正黑体_GBK" w:eastAsia="方正黑体_GBK" w:cs="方正黑体_GBK"/>
          <w:b/>
          <w:color w:val="000000"/>
          <w:sz w:val="48"/>
          <w:szCs w:val="48"/>
          <w:lang w:eastAsia="zh-CN"/>
        </w:rPr>
        <w:t>益阳市</w:t>
      </w:r>
      <w:r>
        <w:rPr>
          <w:rFonts w:hint="eastAsia" w:ascii="方正黑体_GBK" w:hAnsi="方正黑体_GBK" w:eastAsia="方正黑体_GBK" w:cs="方正黑体_GBK"/>
          <w:b/>
          <w:color w:val="000000"/>
          <w:sz w:val="48"/>
          <w:szCs w:val="48"/>
          <w:lang w:val="en-US" w:eastAsia="zh-CN"/>
        </w:rPr>
        <w:t>南县</w:t>
      </w:r>
      <w:r>
        <w:rPr>
          <w:rFonts w:hint="eastAsia" w:ascii="方正黑体_GBK" w:hAnsi="方正黑体_GBK" w:eastAsia="方正黑体_GBK" w:cs="方正黑体_GBK"/>
          <w:b/>
          <w:color w:val="000000"/>
          <w:sz w:val="48"/>
          <w:szCs w:val="48"/>
          <w:lang w:eastAsia="zh-CN"/>
        </w:rPr>
        <w:t>消防救援</w:t>
      </w:r>
      <w:r>
        <w:rPr>
          <w:rFonts w:hint="eastAsia" w:ascii="方正黑体_GBK" w:hAnsi="方正黑体_GBK" w:eastAsia="方正黑体_GBK" w:cs="方正黑体_GBK"/>
          <w:b/>
          <w:color w:val="000000"/>
          <w:sz w:val="48"/>
          <w:szCs w:val="48"/>
          <w:lang w:val="en-US" w:eastAsia="zh-CN"/>
        </w:rPr>
        <w:t>大队</w:t>
      </w:r>
      <w:r>
        <w:rPr>
          <w:rFonts w:hint="default" w:ascii="方正黑体_GBK" w:hAnsi="方正黑体_GBK" w:eastAsia="方正黑体_GBK" w:cs="方正黑体_GBK"/>
          <w:b/>
          <w:color w:val="000000"/>
          <w:sz w:val="48"/>
          <w:szCs w:val="48"/>
          <w:lang w:val="en-US" w:eastAsia="zh-CN"/>
        </w:rPr>
        <w:t>202</w:t>
      </w:r>
      <w:r>
        <w:rPr>
          <w:rFonts w:hint="eastAsia" w:ascii="方正黑体_GBK" w:hAnsi="方正黑体_GBK" w:eastAsia="方正黑体_GBK" w:cs="方正黑体_GBK"/>
          <w:b/>
          <w:color w:val="000000"/>
          <w:sz w:val="48"/>
          <w:szCs w:val="48"/>
          <w:lang w:val="en-US" w:eastAsia="zh-CN"/>
        </w:rPr>
        <w:t>3</w:t>
      </w:r>
      <w:r>
        <w:rPr>
          <w:rFonts w:hint="eastAsia" w:ascii="方正黑体_GBK" w:hAnsi="方正黑体_GBK" w:eastAsia="方正黑体_GBK" w:cs="方正黑体_GBK"/>
          <w:b/>
          <w:color w:val="000000"/>
          <w:sz w:val="48"/>
          <w:szCs w:val="48"/>
        </w:rPr>
        <w:t>年</w:t>
      </w:r>
      <w:r>
        <w:rPr>
          <w:rFonts w:hint="eastAsia" w:ascii="方正黑体_GBK" w:hAnsi="方正黑体_GBK" w:eastAsia="方正黑体_GBK" w:cs="方正黑体_GBK"/>
          <w:b/>
          <w:color w:val="000000"/>
          <w:sz w:val="48"/>
          <w:szCs w:val="48"/>
          <w:lang w:eastAsia="zh-CN"/>
        </w:rPr>
        <w:t>度</w:t>
      </w:r>
      <w:r>
        <w:rPr>
          <w:rFonts w:hint="eastAsia" w:ascii="方正黑体_GBK" w:hAnsi="方正黑体_GBK" w:eastAsia="方正黑体_GBK" w:cs="方正黑体_GBK"/>
          <w:b/>
          <w:color w:val="000000"/>
          <w:sz w:val="48"/>
          <w:szCs w:val="48"/>
        </w:rPr>
        <w:t>部门决算表</w:t>
      </w:r>
    </w:p>
    <w:p>
      <w:pPr>
        <w:rPr>
          <w:rFonts w:ascii="Times New Roman" w:hAnsi="Times New Roman" w:eastAsia="方正黑体_GBK"/>
          <w:sz w:val="32"/>
          <w:szCs w:val="32"/>
        </w:rPr>
      </w:pPr>
    </w:p>
    <w:p>
      <w:pPr>
        <w:rPr>
          <w:rFonts w:ascii="Times New Roman" w:hAnsi="Times New Roman" w:eastAsia="方正黑体_GBK"/>
          <w:sz w:val="32"/>
          <w:szCs w:val="32"/>
        </w:rPr>
      </w:pPr>
    </w:p>
    <w:p>
      <w:pPr>
        <w:rPr>
          <w:rFonts w:ascii="Times New Roman" w:hAnsi="Times New Roman" w:eastAsia="方正黑体_GBK"/>
          <w:sz w:val="32"/>
          <w:szCs w:val="32"/>
        </w:rPr>
      </w:pPr>
    </w:p>
    <w:p>
      <w:pPr>
        <w:rPr>
          <w:rFonts w:ascii="Times New Roman" w:hAnsi="Times New Roman" w:eastAsia="方正黑体_GBK"/>
          <w:sz w:val="32"/>
          <w:szCs w:val="32"/>
        </w:rPr>
      </w:pPr>
    </w:p>
    <w:p>
      <w:pPr>
        <w:rPr>
          <w:rFonts w:ascii="Times New Roman" w:hAnsi="Times New Roman" w:eastAsia="方正黑体_GBK"/>
          <w:sz w:val="32"/>
          <w:szCs w:val="32"/>
        </w:rPr>
        <w:sectPr>
          <w:footerReference r:id="rId4" w:type="default"/>
          <w:pgSz w:w="11911" w:h="16838"/>
          <w:pgMar w:top="2098" w:right="1474" w:bottom="1984" w:left="1587" w:header="0" w:footer="913" w:gutter="0"/>
          <w:cols w:space="0" w:num="1"/>
          <w:docGrid w:linePitch="312" w:charSpace="0"/>
        </w:sectPr>
      </w:pPr>
    </w:p>
    <w:p>
      <w:pPr>
        <w:rPr>
          <w:rFonts w:hint="eastAsia" w:eastAsia="宋体"/>
          <w:lang w:eastAsia="zh-CN"/>
        </w:rPr>
        <w:sectPr>
          <w:footerReference r:id="rId5" w:type="default"/>
          <w:pgSz w:w="11911" w:h="16838"/>
          <w:pgMar w:top="2098" w:right="1474" w:bottom="1984" w:left="1587" w:header="0" w:footer="913" w:gutter="0"/>
          <w:cols w:space="0" w:num="1"/>
          <w:docGrid w:linePitch="312" w:charSpace="0"/>
        </w:sectPr>
      </w:pPr>
      <w:r>
        <w:drawing>
          <wp:inline distT="0" distB="0" distL="114300" distR="114300">
            <wp:extent cx="5614035" cy="5264785"/>
            <wp:effectExtent l="0" t="0" r="5715" b="12065"/>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8"/>
                    <a:stretch>
                      <a:fillRect/>
                    </a:stretch>
                  </pic:blipFill>
                  <pic:spPr>
                    <a:xfrm>
                      <a:off x="0" y="0"/>
                      <a:ext cx="5614035" cy="5264785"/>
                    </a:xfrm>
                    <a:prstGeom prst="rect">
                      <a:avLst/>
                    </a:prstGeom>
                    <a:noFill/>
                    <a:ln>
                      <a:noFill/>
                    </a:ln>
                  </pic:spPr>
                </pic:pic>
              </a:graphicData>
            </a:graphic>
          </wp:inline>
        </w:drawing>
      </w:r>
    </w:p>
    <w:p>
      <w:pPr>
        <w:rPr>
          <w:rFonts w:hint="eastAsia" w:eastAsia="宋体"/>
          <w:lang w:eastAsia="zh-CN"/>
        </w:rPr>
      </w:pPr>
      <w:r>
        <w:drawing>
          <wp:inline distT="0" distB="0" distL="114300" distR="114300">
            <wp:extent cx="5618480" cy="1748155"/>
            <wp:effectExtent l="0" t="0" r="1270" b="4445"/>
            <wp:docPr id="1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true"/>
                    </pic:cNvPicPr>
                  </pic:nvPicPr>
                  <pic:blipFill>
                    <a:blip r:embed="rId9"/>
                    <a:stretch>
                      <a:fillRect/>
                    </a:stretch>
                  </pic:blipFill>
                  <pic:spPr>
                    <a:xfrm>
                      <a:off x="0" y="0"/>
                      <a:ext cx="5618480" cy="1748155"/>
                    </a:xfrm>
                    <a:prstGeom prst="rect">
                      <a:avLst/>
                    </a:prstGeom>
                    <a:noFill/>
                    <a:ln>
                      <a:noFill/>
                    </a:ln>
                  </pic:spPr>
                </pic:pic>
              </a:graphicData>
            </a:graphic>
          </wp:inline>
        </w:drawing>
      </w:r>
    </w:p>
    <w:p/>
    <w:p>
      <w:r>
        <w:br w:type="page"/>
      </w:r>
    </w:p>
    <w:p>
      <w:pPr>
        <w:rPr>
          <w:rFonts w:hint="eastAsia" w:eastAsia="宋体"/>
          <w:lang w:eastAsia="zh-CN"/>
        </w:rPr>
      </w:pPr>
      <w:r>
        <w:drawing>
          <wp:inline distT="0" distB="0" distL="114300" distR="114300">
            <wp:extent cx="5615940" cy="1716405"/>
            <wp:effectExtent l="0" t="0" r="3810" b="17145"/>
            <wp:docPr id="1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true"/>
                    </pic:cNvPicPr>
                  </pic:nvPicPr>
                  <pic:blipFill>
                    <a:blip r:embed="rId10"/>
                    <a:stretch>
                      <a:fillRect/>
                    </a:stretch>
                  </pic:blipFill>
                  <pic:spPr>
                    <a:xfrm>
                      <a:off x="0" y="0"/>
                      <a:ext cx="5615940" cy="1716405"/>
                    </a:xfrm>
                    <a:prstGeom prst="rect">
                      <a:avLst/>
                    </a:prstGeom>
                    <a:noFill/>
                    <a:ln>
                      <a:noFill/>
                    </a:ln>
                  </pic:spPr>
                </pic:pic>
              </a:graphicData>
            </a:graphic>
          </wp:inline>
        </w:drawing>
      </w:r>
      <w:r>
        <w:br w:type="page"/>
      </w:r>
    </w:p>
    <w:p>
      <w:pPr>
        <w:rPr>
          <w:rFonts w:hint="eastAsia" w:eastAsia="宋体"/>
          <w:lang w:eastAsia="zh-CN"/>
        </w:rPr>
      </w:pPr>
      <w:r>
        <w:drawing>
          <wp:inline distT="0" distB="0" distL="114300" distR="114300">
            <wp:extent cx="5655310" cy="3890645"/>
            <wp:effectExtent l="0" t="0" r="2540" b="14605"/>
            <wp:docPr id="1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true"/>
                    </pic:cNvPicPr>
                  </pic:nvPicPr>
                  <pic:blipFill>
                    <a:blip r:embed="rId11"/>
                    <a:stretch>
                      <a:fillRect/>
                    </a:stretch>
                  </pic:blipFill>
                  <pic:spPr>
                    <a:xfrm>
                      <a:off x="0" y="0"/>
                      <a:ext cx="5655310" cy="3890645"/>
                    </a:xfrm>
                    <a:prstGeom prst="rect">
                      <a:avLst/>
                    </a:prstGeom>
                    <a:noFill/>
                    <a:ln>
                      <a:noFill/>
                    </a:ln>
                  </pic:spPr>
                </pic:pic>
              </a:graphicData>
            </a:graphic>
          </wp:inline>
        </w:drawing>
      </w:r>
    </w:p>
    <w:p>
      <w:pPr>
        <w:rPr>
          <w:rFonts w:hint="eastAsia" w:eastAsia="宋体"/>
          <w:lang w:eastAsia="zh-CN"/>
        </w:rPr>
      </w:pPr>
    </w:p>
    <w:p>
      <w:pPr>
        <w:pStyle w:val="2"/>
      </w:pPr>
    </w:p>
    <w:p>
      <w:pPr>
        <w:pStyle w:val="2"/>
      </w:pPr>
    </w:p>
    <w:p>
      <w:pPr>
        <w:pStyle w:val="2"/>
      </w:pPr>
    </w:p>
    <w:p>
      <w:pPr>
        <w:pStyle w:val="2"/>
      </w:pPr>
    </w:p>
    <w:p>
      <w:pPr>
        <w:pStyle w:val="2"/>
      </w:pPr>
    </w:p>
    <w:p>
      <w:pPr>
        <w:pStyle w:val="2"/>
      </w:pPr>
    </w:p>
    <w:p>
      <w:pPr>
        <w:pStyle w:val="2"/>
        <w:ind w:left="0" w:leftChars="0" w:firstLine="0" w:firstLineChars="0"/>
      </w:pPr>
    </w:p>
    <w:p>
      <w:pPr>
        <w:rPr>
          <w:rFonts w:hint="eastAsia" w:eastAsia="宋体"/>
          <w:lang w:eastAsia="zh-CN"/>
        </w:rPr>
      </w:pPr>
    </w:p>
    <w:p>
      <w:pPr>
        <w:rPr>
          <w:rFonts w:hint="eastAsia" w:eastAsia="宋体"/>
          <w:lang w:eastAsia="zh-CN"/>
        </w:rPr>
      </w:pPr>
    </w:p>
    <w:p/>
    <w:p/>
    <w:p/>
    <w:p/>
    <w:p/>
    <w:p>
      <w:pPr>
        <w:rPr>
          <w:rFonts w:hint="eastAsia" w:eastAsia="宋体"/>
          <w:lang w:eastAsia="zh-CN"/>
        </w:rPr>
      </w:pPr>
    </w:p>
    <w:p/>
    <w:p/>
    <w:p/>
    <w:p/>
    <w:p/>
    <w:p/>
    <w:p/>
    <w:p>
      <w:r>
        <w:drawing>
          <wp:inline distT="0" distB="0" distL="114300" distR="114300">
            <wp:extent cx="5550535" cy="1948180"/>
            <wp:effectExtent l="0" t="0" r="12065" b="13970"/>
            <wp:docPr id="1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true"/>
                    </pic:cNvPicPr>
                  </pic:nvPicPr>
                  <pic:blipFill>
                    <a:blip r:embed="rId12"/>
                    <a:stretch>
                      <a:fillRect/>
                    </a:stretch>
                  </pic:blipFill>
                  <pic:spPr>
                    <a:xfrm>
                      <a:off x="0" y="0"/>
                      <a:ext cx="5550535" cy="1948180"/>
                    </a:xfrm>
                    <a:prstGeom prst="rect">
                      <a:avLst/>
                    </a:prstGeom>
                    <a:noFill/>
                    <a:ln>
                      <a:noFill/>
                    </a:ln>
                  </pic:spPr>
                </pic:pic>
              </a:graphicData>
            </a:graphic>
          </wp:inline>
        </w:drawing>
      </w:r>
    </w:p>
    <w:p/>
    <w:p/>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ind w:left="0" w:leftChars="0" w:firstLine="0" w:firstLineChars="0"/>
      </w:pPr>
    </w:p>
    <w:p/>
    <w:p>
      <w:r>
        <w:drawing>
          <wp:anchor distT="0" distB="0" distL="114300" distR="114300" simplePos="0" relativeHeight="251662336" behindDoc="0" locked="0" layoutInCell="1" allowOverlap="1">
            <wp:simplePos x="0" y="0"/>
            <wp:positionH relativeFrom="column">
              <wp:posOffset>-365760</wp:posOffset>
            </wp:positionH>
            <wp:positionV relativeFrom="paragraph">
              <wp:posOffset>150495</wp:posOffset>
            </wp:positionV>
            <wp:extent cx="6243320" cy="4150995"/>
            <wp:effectExtent l="0" t="0" r="5080" b="1905"/>
            <wp:wrapNone/>
            <wp:docPr id="1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true"/>
                    </pic:cNvPicPr>
                  </pic:nvPicPr>
                  <pic:blipFill>
                    <a:blip r:embed="rId13"/>
                    <a:stretch>
                      <a:fillRect/>
                    </a:stretch>
                  </pic:blipFill>
                  <pic:spPr>
                    <a:xfrm>
                      <a:off x="0" y="0"/>
                      <a:ext cx="6243320" cy="4150995"/>
                    </a:xfrm>
                    <a:prstGeom prst="rect">
                      <a:avLst/>
                    </a:prstGeom>
                    <a:noFill/>
                    <a:ln>
                      <a:noFill/>
                    </a:ln>
                  </pic:spPr>
                </pic:pic>
              </a:graphicData>
            </a:graphic>
          </wp:anchor>
        </w:drawing>
      </w:r>
    </w:p>
    <w:p/>
    <w:p/>
    <w:p/>
    <w:p/>
    <w:p/>
    <w:p/>
    <w:p/>
    <w:p/>
    <w:p/>
    <w:p>
      <w:pPr>
        <w:rPr>
          <w:rFonts w:hint="eastAsia" w:eastAsia="宋体"/>
          <w:lang w:eastAsia="zh-CN"/>
        </w:rPr>
      </w:pPr>
    </w:p>
    <w:p/>
    <w:p/>
    <w:p/>
    <w:p/>
    <w:p/>
    <w:p/>
    <w:p/>
    <w:p/>
    <w:p/>
    <w:p/>
    <w:p/>
    <w:p/>
    <w:p/>
    <w:p/>
    <w:p/>
    <w:p/>
    <w:p/>
    <w:p/>
    <w:p/>
    <w:p/>
    <w:p/>
    <w:p/>
    <w:p/>
    <w:p/>
    <w:p/>
    <w:p/>
    <w:p/>
    <w:p/>
    <w:p/>
    <w:p/>
    <w:p/>
    <w:p/>
    <w:p/>
    <w:p/>
    <w:p/>
    <w:p/>
    <w:p/>
    <w:p/>
    <w:p/>
    <w:p>
      <w:r>
        <w:drawing>
          <wp:inline distT="0" distB="0" distL="114300" distR="114300">
            <wp:extent cx="5614670" cy="1240155"/>
            <wp:effectExtent l="0" t="0" r="5080" b="17145"/>
            <wp:docPr id="19"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true"/>
                    </pic:cNvPicPr>
                  </pic:nvPicPr>
                  <pic:blipFill>
                    <a:blip r:embed="rId14"/>
                    <a:stretch>
                      <a:fillRect/>
                    </a:stretch>
                  </pic:blipFill>
                  <pic:spPr>
                    <a:xfrm>
                      <a:off x="0" y="0"/>
                      <a:ext cx="5614670" cy="1240155"/>
                    </a:xfrm>
                    <a:prstGeom prst="rect">
                      <a:avLst/>
                    </a:prstGeom>
                    <a:noFill/>
                    <a:ln>
                      <a:noFill/>
                    </a:ln>
                  </pic:spPr>
                </pic:pic>
              </a:graphicData>
            </a:graphic>
          </wp:inline>
        </w:drawing>
      </w:r>
    </w:p>
    <w:p/>
    <w:p/>
    <w:p/>
    <w:p/>
    <w:p/>
    <w:p/>
    <w:p/>
    <w:p/>
    <w:p/>
    <w:p/>
    <w:p/>
    <w:p/>
    <w:p/>
    <w:p/>
    <w:p/>
    <w:p/>
    <w:p/>
    <w:p/>
    <w:p/>
    <w:p/>
    <w:p/>
    <w:p/>
    <w:p/>
    <w:p/>
    <w:p/>
    <w:p/>
    <w:p/>
    <w:p/>
    <w:p/>
    <w:p/>
    <w:p/>
    <w:p/>
    <w:p/>
    <w:p/>
    <w:p/>
    <w:p/>
    <w:p/>
    <w:p/>
    <w:p/>
    <w:p/>
    <w:p/>
    <w:p/>
    <w:p/>
    <w:p/>
    <w:p>
      <w:pPr>
        <w:pStyle w:val="2"/>
      </w:pPr>
      <w:r>
        <w:drawing>
          <wp:anchor distT="0" distB="0" distL="114300" distR="114300" simplePos="0" relativeHeight="251663360" behindDoc="0" locked="0" layoutInCell="1" allowOverlap="1">
            <wp:simplePos x="0" y="0"/>
            <wp:positionH relativeFrom="column">
              <wp:posOffset>52070</wp:posOffset>
            </wp:positionH>
            <wp:positionV relativeFrom="paragraph">
              <wp:posOffset>367665</wp:posOffset>
            </wp:positionV>
            <wp:extent cx="5611495" cy="1512570"/>
            <wp:effectExtent l="0" t="0" r="8255" b="11430"/>
            <wp:wrapNone/>
            <wp:docPr id="20"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true"/>
                    </pic:cNvPicPr>
                  </pic:nvPicPr>
                  <pic:blipFill>
                    <a:blip r:embed="rId15"/>
                    <a:stretch>
                      <a:fillRect/>
                    </a:stretch>
                  </pic:blipFill>
                  <pic:spPr>
                    <a:xfrm>
                      <a:off x="0" y="0"/>
                      <a:ext cx="5611495" cy="1512570"/>
                    </a:xfrm>
                    <a:prstGeom prst="rect">
                      <a:avLst/>
                    </a:prstGeom>
                    <a:noFill/>
                    <a:ln>
                      <a:noFill/>
                    </a:ln>
                  </pic:spPr>
                </pic:pic>
              </a:graphicData>
            </a:graphic>
          </wp:anchor>
        </w:drawing>
      </w:r>
    </w:p>
    <w:p>
      <w:r>
        <w:br w:type="page"/>
      </w:r>
    </w:p>
    <w:p>
      <w:pPr>
        <w:pStyle w:val="2"/>
        <w:sectPr>
          <w:pgSz w:w="11911" w:h="16838"/>
          <w:pgMar w:top="2098" w:right="1474" w:bottom="1984" w:left="1587" w:header="0" w:footer="913" w:gutter="0"/>
          <w:cols w:space="0" w:num="1"/>
          <w:docGrid w:linePitch="312" w:charSpace="0"/>
        </w:sectPr>
      </w:pPr>
      <w:r>
        <w:drawing>
          <wp:anchor distT="0" distB="0" distL="114300" distR="114300" simplePos="0" relativeHeight="251664384" behindDoc="0" locked="0" layoutInCell="1" allowOverlap="1">
            <wp:simplePos x="0" y="0"/>
            <wp:positionH relativeFrom="column">
              <wp:posOffset>-85090</wp:posOffset>
            </wp:positionH>
            <wp:positionV relativeFrom="paragraph">
              <wp:posOffset>543560</wp:posOffset>
            </wp:positionV>
            <wp:extent cx="5579745" cy="1071245"/>
            <wp:effectExtent l="0" t="0" r="1905" b="14605"/>
            <wp:wrapNone/>
            <wp:docPr id="25"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true"/>
                    </pic:cNvPicPr>
                  </pic:nvPicPr>
                  <pic:blipFill>
                    <a:blip r:embed="rId16"/>
                    <a:stretch>
                      <a:fillRect/>
                    </a:stretch>
                  </pic:blipFill>
                  <pic:spPr>
                    <a:xfrm>
                      <a:off x="0" y="0"/>
                      <a:ext cx="5579745" cy="1071245"/>
                    </a:xfrm>
                    <a:prstGeom prst="rect">
                      <a:avLst/>
                    </a:prstGeom>
                    <a:noFill/>
                    <a:ln>
                      <a:noFill/>
                    </a:ln>
                  </pic:spPr>
                </pic:pic>
              </a:graphicData>
            </a:graphic>
          </wp:anchor>
        </w:drawing>
      </w:r>
    </w:p>
    <w:p>
      <w:pPr>
        <w:pStyle w:val="2"/>
        <w:ind w:firstLine="420"/>
      </w:pPr>
    </w:p>
    <w:p>
      <w:pPr>
        <w:spacing w:line="800" w:lineRule="exact"/>
        <w:ind w:left="2610" w:hanging="2610" w:hangingChars="500"/>
        <w:rPr>
          <w:rFonts w:ascii="方正黑体_GBK" w:hAnsi="方正黑体_GBK" w:eastAsia="方正黑体_GBK" w:cs="方正黑体_GBK"/>
          <w:b/>
          <w:color w:val="000000"/>
          <w:sz w:val="52"/>
          <w:szCs w:val="52"/>
        </w:rPr>
      </w:pPr>
    </w:p>
    <w:p>
      <w:pPr>
        <w:spacing w:line="800" w:lineRule="exact"/>
        <w:ind w:left="2610" w:hanging="2610" w:hangingChars="500"/>
        <w:rPr>
          <w:rFonts w:ascii="方正黑体_GBK" w:hAnsi="方正黑体_GBK" w:eastAsia="方正黑体_GBK" w:cs="方正黑体_GBK"/>
          <w:b/>
          <w:color w:val="000000"/>
          <w:sz w:val="52"/>
          <w:szCs w:val="52"/>
        </w:rPr>
      </w:pPr>
    </w:p>
    <w:p>
      <w:pPr>
        <w:spacing w:line="800" w:lineRule="exact"/>
        <w:ind w:left="2610" w:hanging="2610" w:hangingChars="500"/>
        <w:rPr>
          <w:rFonts w:ascii="方正黑体_GBK" w:hAnsi="方正黑体_GBK" w:eastAsia="方正黑体_GBK" w:cs="方正黑体_GBK"/>
          <w:b/>
          <w:color w:val="000000"/>
          <w:sz w:val="52"/>
          <w:szCs w:val="52"/>
        </w:rPr>
      </w:pPr>
    </w:p>
    <w:p>
      <w:pPr>
        <w:spacing w:line="800" w:lineRule="exact"/>
        <w:ind w:left="2610" w:hanging="2610" w:hangingChars="500"/>
        <w:rPr>
          <w:rFonts w:ascii="方正黑体_GBK" w:hAnsi="方正黑体_GBK" w:eastAsia="方正黑体_GBK" w:cs="方正黑体_GBK"/>
          <w:b/>
          <w:color w:val="000000"/>
          <w:sz w:val="52"/>
          <w:szCs w:val="52"/>
        </w:rPr>
      </w:pPr>
    </w:p>
    <w:p>
      <w:pPr>
        <w:spacing w:line="800" w:lineRule="exact"/>
        <w:ind w:left="2610" w:hanging="2610" w:hangingChars="500"/>
        <w:rPr>
          <w:rFonts w:ascii="方正黑体_GBK" w:hAnsi="方正黑体_GBK" w:eastAsia="方正黑体_GBK" w:cs="方正黑体_GBK"/>
          <w:b/>
          <w:color w:val="000000"/>
          <w:sz w:val="52"/>
          <w:szCs w:val="52"/>
        </w:rPr>
      </w:pPr>
    </w:p>
    <w:p>
      <w:pPr>
        <w:spacing w:line="440" w:lineRule="exact"/>
        <w:ind w:firstLine="420" w:firstLineChars="200"/>
      </w:pPr>
    </w:p>
    <w:p>
      <w:pPr>
        <w:spacing w:line="800" w:lineRule="exact"/>
        <w:ind w:left="2610" w:hanging="2610" w:hangingChars="500"/>
        <w:rPr>
          <w:rFonts w:ascii="方正黑体_GBK" w:hAnsi="方正黑体_GBK" w:eastAsia="方正黑体_GBK" w:cs="方正黑体_GBK"/>
          <w:b/>
          <w:color w:val="000000"/>
          <w:sz w:val="52"/>
          <w:szCs w:val="52"/>
        </w:rPr>
      </w:pPr>
    </w:p>
    <w:p>
      <w:pPr>
        <w:numPr>
          <w:ilvl w:val="0"/>
          <w:numId w:val="1"/>
        </w:numPr>
        <w:spacing w:line="800" w:lineRule="exact"/>
        <w:ind w:left="2409" w:hanging="2409" w:hangingChars="500"/>
        <w:rPr>
          <w:rFonts w:ascii="方正黑体_GBK" w:hAnsi="方正黑体_GBK" w:eastAsia="方正黑体_GBK" w:cs="方正黑体_GBK"/>
          <w:b/>
          <w:color w:val="000000"/>
          <w:sz w:val="48"/>
          <w:szCs w:val="48"/>
        </w:rPr>
      </w:pPr>
      <w:r>
        <w:rPr>
          <w:rFonts w:hint="eastAsia" w:ascii="方正黑体_GBK" w:hAnsi="方正黑体_GBK" w:eastAsia="方正黑体_GBK" w:cs="方正黑体_GBK"/>
          <w:b/>
          <w:color w:val="000000"/>
          <w:sz w:val="48"/>
          <w:szCs w:val="48"/>
        </w:rPr>
        <w:t>益阳市南县消防救援大队</w:t>
      </w:r>
      <w:r>
        <w:rPr>
          <w:rFonts w:ascii="方正黑体_GBK" w:hAnsi="方正黑体_GBK" w:eastAsia="方正黑体_GBK" w:cs="方正黑体_GBK"/>
          <w:b/>
          <w:color w:val="000000"/>
          <w:sz w:val="48"/>
          <w:szCs w:val="48"/>
        </w:rPr>
        <w:t>202</w:t>
      </w:r>
      <w:r>
        <w:rPr>
          <w:rFonts w:hint="default" w:ascii="方正黑体_GBK" w:hAnsi="方正黑体_GBK" w:eastAsia="方正黑体_GBK" w:cs="方正黑体_GBK"/>
          <w:b/>
          <w:color w:val="000000"/>
          <w:sz w:val="48"/>
          <w:szCs w:val="48"/>
          <w:lang w:val="en" w:eastAsia="zh-CN"/>
        </w:rPr>
        <w:t>3</w:t>
      </w:r>
      <w:r>
        <w:rPr>
          <w:rFonts w:hint="eastAsia" w:ascii="方正黑体_GBK" w:hAnsi="方正黑体_GBK" w:eastAsia="方正黑体_GBK" w:cs="方正黑体_GBK"/>
          <w:b/>
          <w:color w:val="000000"/>
          <w:sz w:val="48"/>
          <w:szCs w:val="48"/>
        </w:rPr>
        <w:t>年度部门决算情况说明</w:t>
      </w:r>
    </w:p>
    <w:p>
      <w:pPr>
        <w:rPr>
          <w:rFonts w:ascii="Times New Roman" w:hAnsi="Times New Roman" w:eastAsia="方正黑体_GBK"/>
          <w:sz w:val="32"/>
          <w:szCs w:val="32"/>
        </w:rPr>
      </w:pPr>
      <w:r>
        <w:rPr>
          <w:rFonts w:ascii="Times New Roman" w:hAnsi="Times New Roman" w:eastAsia="方正黑体_GBK"/>
          <w:sz w:val="32"/>
          <w:szCs w:val="32"/>
        </w:rPr>
        <w:br w:type="page"/>
      </w:r>
    </w:p>
    <w:p>
      <w:pPr>
        <w:tabs>
          <w:tab w:val="left" w:pos="877"/>
        </w:tabs>
        <w:spacing w:line="540" w:lineRule="exact"/>
        <w:ind w:firstLine="640" w:firstLineChars="200"/>
        <w:jc w:val="left"/>
        <w:rPr>
          <w:rFonts w:ascii="Times New Roman" w:hAnsi="Times New Roman"/>
          <w:sz w:val="32"/>
          <w:szCs w:val="32"/>
        </w:rPr>
      </w:pPr>
      <w:r>
        <w:rPr>
          <w:rFonts w:ascii="Times New Roman" w:hAnsi="Times New Roman" w:eastAsia="方正黑体_GBK"/>
          <w:sz w:val="32"/>
          <w:szCs w:val="32"/>
        </w:rPr>
        <w:t>一、收入支出决算总体情况说明</w:t>
      </w:r>
      <w:r>
        <w:rPr>
          <w:rFonts w:ascii="Times New Roman" w:hAnsi="Times New Roman" w:eastAsia="黑体"/>
          <w:color w:val="000000"/>
          <w:kern w:val="0"/>
          <w:sz w:val="32"/>
          <w:szCs w:val="32"/>
        </w:rPr>
        <w:t xml:space="preserve"> </w:t>
      </w:r>
    </w:p>
    <w:p>
      <w:pPr>
        <w:widowControl/>
        <w:spacing w:line="540" w:lineRule="exact"/>
        <w:ind w:firstLine="640" w:firstLineChars="200"/>
        <w:jc w:val="left"/>
        <w:rPr>
          <w:rFonts w:ascii="Times New Roman" w:hAnsi="Times New Roman" w:eastAsia="方正仿宋_GBK"/>
          <w:color w:val="FF0000"/>
          <w:kern w:val="0"/>
          <w:sz w:val="32"/>
          <w:szCs w:val="32"/>
        </w:rPr>
      </w:pPr>
      <w:r>
        <w:rPr>
          <w:rFonts w:ascii="Times New Roman" w:hAnsi="Times New Roman" w:eastAsia="方正仿宋_GBK"/>
          <w:color w:val="000000"/>
          <w:kern w:val="0"/>
          <w:sz w:val="32"/>
          <w:szCs w:val="32"/>
        </w:rPr>
        <w:t>202</w:t>
      </w:r>
      <w:r>
        <w:rPr>
          <w:rFonts w:hint="default" w:ascii="Times New Roman" w:hAnsi="Times New Roman" w:eastAsia="方正仿宋_GBK"/>
          <w:color w:val="000000"/>
          <w:kern w:val="0"/>
          <w:sz w:val="32"/>
          <w:szCs w:val="32"/>
          <w:lang w:val="en" w:eastAsia="zh-CN"/>
        </w:rPr>
        <w:t>3</w:t>
      </w:r>
      <w:r>
        <w:rPr>
          <w:rFonts w:ascii="Times New Roman" w:hAnsi="Times New Roman" w:eastAsia="方正仿宋_GBK"/>
          <w:color w:val="000000"/>
          <w:kern w:val="0"/>
          <w:sz w:val="32"/>
          <w:szCs w:val="32"/>
        </w:rPr>
        <w:t>年度</w:t>
      </w:r>
      <w:r>
        <w:rPr>
          <w:rFonts w:hint="eastAsia" w:ascii="Times New Roman" w:hAnsi="Times New Roman" w:eastAsia="方正仿宋_GBK"/>
          <w:color w:val="000000"/>
          <w:kern w:val="0"/>
          <w:sz w:val="32"/>
          <w:szCs w:val="32"/>
        </w:rPr>
        <w:t>益阳南县消防救援大队</w:t>
      </w:r>
      <w:r>
        <w:rPr>
          <w:rFonts w:ascii="Times New Roman" w:hAnsi="Times New Roman" w:eastAsia="方正仿宋_GBK"/>
          <w:color w:val="000000"/>
          <w:kern w:val="0"/>
          <w:sz w:val="32"/>
          <w:szCs w:val="32"/>
        </w:rPr>
        <w:t>收、支总计</w:t>
      </w:r>
      <w:r>
        <w:rPr>
          <w:rFonts w:hint="default" w:ascii="Times New Roman" w:hAnsi="Times New Roman" w:eastAsia="方正仿宋_GBK"/>
          <w:color w:val="000000"/>
          <w:kern w:val="0"/>
          <w:sz w:val="32"/>
          <w:szCs w:val="32"/>
          <w:lang w:val="en" w:eastAsia="zh-CN"/>
        </w:rPr>
        <w:t>1686.09</w:t>
      </w:r>
      <w:r>
        <w:rPr>
          <w:rFonts w:ascii="Times New Roman" w:hAnsi="Times New Roman" w:eastAsia="方正仿宋_GBK"/>
          <w:color w:val="000000"/>
          <w:kern w:val="0"/>
          <w:sz w:val="32"/>
          <w:szCs w:val="32"/>
        </w:rPr>
        <w:t>万元，与202</w:t>
      </w:r>
      <w:r>
        <w:rPr>
          <w:rFonts w:hint="default" w:ascii="Times New Roman" w:hAnsi="Times New Roman" w:eastAsia="方正仿宋_GBK"/>
          <w:color w:val="000000"/>
          <w:kern w:val="0"/>
          <w:sz w:val="32"/>
          <w:szCs w:val="32"/>
          <w:lang w:val="en" w:eastAsia="zh-CN"/>
        </w:rPr>
        <w:t>2</w:t>
      </w:r>
      <w:r>
        <w:rPr>
          <w:rFonts w:ascii="Times New Roman" w:hAnsi="Times New Roman" w:eastAsia="方正仿宋_GBK"/>
          <w:color w:val="000000"/>
          <w:kern w:val="0"/>
          <w:sz w:val="32"/>
          <w:szCs w:val="32"/>
        </w:rPr>
        <w:t>年度相比，收、支总计</w:t>
      </w:r>
      <w:r>
        <w:rPr>
          <w:rFonts w:hint="eastAsia" w:ascii="Times New Roman" w:hAnsi="Times New Roman" w:eastAsia="方正仿宋_GBK"/>
          <w:color w:val="000000"/>
          <w:kern w:val="0"/>
          <w:sz w:val="32"/>
          <w:szCs w:val="32"/>
          <w:lang w:eastAsia="zh-CN"/>
        </w:rPr>
        <w:t>增加</w:t>
      </w:r>
      <w:r>
        <w:rPr>
          <w:rFonts w:hint="eastAsia" w:ascii="Times New Roman" w:hAnsi="Times New Roman" w:eastAsia="方正仿宋_GBK"/>
          <w:color w:val="000000"/>
          <w:kern w:val="0"/>
          <w:sz w:val="32"/>
          <w:szCs w:val="32"/>
          <w:lang w:val="en-US" w:eastAsia="zh-CN"/>
        </w:rPr>
        <w:t>520.62</w:t>
      </w:r>
      <w:r>
        <w:rPr>
          <w:rFonts w:ascii="Times New Roman" w:hAnsi="Times New Roman" w:eastAsia="方正仿宋_GBK"/>
          <w:color w:val="000000"/>
          <w:kern w:val="0"/>
          <w:sz w:val="32"/>
          <w:szCs w:val="32"/>
        </w:rPr>
        <w:t>万元，</w:t>
      </w:r>
      <w:r>
        <w:rPr>
          <w:rFonts w:hint="eastAsia" w:ascii="Times New Roman" w:hAnsi="Times New Roman" w:eastAsia="方正仿宋_GBK"/>
          <w:color w:val="000000"/>
          <w:kern w:val="0"/>
          <w:sz w:val="32"/>
          <w:szCs w:val="32"/>
          <w:lang w:val="en-US" w:eastAsia="zh-CN"/>
        </w:rPr>
        <w:t>增加44.67</w:t>
      </w:r>
      <w:r>
        <w:rPr>
          <w:rFonts w:ascii="Times New Roman" w:hAnsi="Times New Roman" w:eastAsia="方正仿宋_GBK"/>
          <w:color w:val="000000"/>
          <w:kern w:val="0"/>
          <w:sz w:val="32"/>
          <w:szCs w:val="32"/>
        </w:rPr>
        <w:t>%，</w:t>
      </w:r>
      <w:r>
        <w:rPr>
          <w:rFonts w:hint="eastAsia" w:ascii="Times New Roman" w:hAnsi="Times New Roman" w:eastAsia="方正仿宋_GBK"/>
          <w:color w:val="000000"/>
          <w:kern w:val="0"/>
          <w:sz w:val="32"/>
          <w:szCs w:val="32"/>
          <w:lang w:eastAsia="zh-CN"/>
        </w:rPr>
        <w:t>增加的主要原因：地方财政年内追加预算</w:t>
      </w:r>
      <w:r>
        <w:rPr>
          <w:rFonts w:hint="eastAsia" w:ascii="Times New Roman" w:hAnsi="Times New Roman" w:eastAsia="方正仿宋_GBK"/>
          <w:color w:val="000000"/>
          <w:kern w:val="0"/>
          <w:sz w:val="32"/>
          <w:szCs w:val="32"/>
          <w:lang w:val="en-US" w:eastAsia="zh-CN"/>
        </w:rPr>
        <w:t>504万元</w:t>
      </w:r>
      <w:r>
        <w:rPr>
          <w:rFonts w:ascii="Times New Roman" w:hAnsi="Times New Roman" w:eastAsia="方正仿宋_GBK"/>
          <w:color w:val="000000"/>
          <w:kern w:val="0"/>
          <w:sz w:val="32"/>
          <w:szCs w:val="32"/>
        </w:rPr>
        <w:t>。</w:t>
      </w:r>
    </w:p>
    <w:p>
      <w:pPr>
        <w:pStyle w:val="2"/>
        <w:spacing w:line="540" w:lineRule="exact"/>
        <w:ind w:firstLine="0" w:firstLineChars="0"/>
        <w:jc w:val="center"/>
        <w:rPr>
          <w:rFonts w:ascii="Times New Roman" w:hAnsi="Times New Roman" w:eastAsia="方正仿宋_GBK"/>
          <w:sz w:val="28"/>
          <w:szCs w:val="28"/>
        </w:rPr>
      </w:pPr>
      <w:r>
        <w:rPr>
          <w:rFonts w:ascii="Times New Roman" w:hAnsi="Times New Roman" w:eastAsia="方正仿宋_GBK"/>
          <w:sz w:val="28"/>
          <w:szCs w:val="28"/>
        </w:rPr>
        <w:t>图1：收、支决算总计变动情况（单位:万元）</w:t>
      </w:r>
    </w:p>
    <w:p>
      <w:pPr>
        <w:jc w:val="center"/>
        <w:rPr>
          <w:rFonts w:ascii="Times New Roman" w:hAnsi="Times New Roman" w:eastAsia="方正黑体_GBK"/>
          <w:sz w:val="32"/>
          <w:szCs w:val="32"/>
        </w:rPr>
      </w:pPr>
      <w:r>
        <w:rPr>
          <w:rFonts w:hint="eastAsia" w:ascii="Times New Roman" w:hAnsi="Times New Roman" w:eastAsia="方正黑体_GBK"/>
          <w:sz w:val="32"/>
          <w:szCs w:val="32"/>
        </w:rPr>
        <w:drawing>
          <wp:inline distT="0" distB="0" distL="114300" distR="114300">
            <wp:extent cx="4570095" cy="2171700"/>
            <wp:effectExtent l="4445" t="4445" r="16510" b="1460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widowControl/>
        <w:spacing w:line="540" w:lineRule="exact"/>
        <w:ind w:firstLine="640" w:firstLineChars="200"/>
        <w:jc w:val="left"/>
        <w:rPr>
          <w:rFonts w:ascii="Times New Roman" w:hAnsi="Times New Roman"/>
          <w:sz w:val="32"/>
          <w:szCs w:val="32"/>
        </w:rPr>
      </w:pPr>
      <w:r>
        <w:rPr>
          <w:rFonts w:ascii="Times New Roman" w:hAnsi="Times New Roman" w:eastAsia="方正黑体_GBK"/>
          <w:sz w:val="32"/>
          <w:szCs w:val="32"/>
        </w:rPr>
        <w:t>二、收入决算情况说明</w:t>
      </w:r>
      <w:r>
        <w:rPr>
          <w:rFonts w:ascii="Times New Roman" w:hAnsi="Times New Roman" w:eastAsia="黑体"/>
          <w:color w:val="000000"/>
          <w:kern w:val="0"/>
          <w:sz w:val="32"/>
          <w:szCs w:val="32"/>
        </w:rPr>
        <w:t xml:space="preserve"> </w:t>
      </w:r>
    </w:p>
    <w:p>
      <w:pPr>
        <w:widowControl/>
        <w:spacing w:line="540" w:lineRule="exact"/>
        <w:ind w:firstLine="640" w:firstLineChars="200"/>
        <w:rPr>
          <w:rFonts w:ascii="Times New Roman" w:hAnsi="Times New Roman" w:eastAsia="方正仿宋_GBK"/>
          <w:kern w:val="0"/>
          <w:sz w:val="32"/>
          <w:szCs w:val="32"/>
        </w:rPr>
      </w:pPr>
      <w:r>
        <w:rPr>
          <w:rFonts w:ascii="Times New Roman" w:hAnsi="Times New Roman" w:eastAsia="方正仿宋_GBK"/>
          <w:color w:val="000000"/>
          <w:kern w:val="0"/>
          <w:sz w:val="32"/>
          <w:szCs w:val="32"/>
        </w:rPr>
        <w:t>本年收入合计</w:t>
      </w:r>
      <w:r>
        <w:rPr>
          <w:rFonts w:hint="eastAsia" w:ascii="Times New Roman" w:hAnsi="Times New Roman" w:eastAsia="方正仿宋_GBK"/>
          <w:color w:val="000000"/>
          <w:kern w:val="0"/>
          <w:sz w:val="32"/>
          <w:szCs w:val="32"/>
          <w:lang w:val="en-US" w:eastAsia="zh-CN"/>
        </w:rPr>
        <w:t>1649.98</w:t>
      </w:r>
      <w:r>
        <w:rPr>
          <w:rFonts w:ascii="Times New Roman" w:hAnsi="Times New Roman" w:eastAsia="方正仿宋_GBK"/>
          <w:color w:val="000000"/>
          <w:kern w:val="0"/>
          <w:sz w:val="32"/>
          <w:szCs w:val="32"/>
        </w:rPr>
        <w:t>万元，其中：财政拨款收</w:t>
      </w:r>
      <w:r>
        <w:rPr>
          <w:rFonts w:hint="eastAsia" w:ascii="Times New Roman" w:hAnsi="Times New Roman" w:eastAsia="方正仿宋_GBK"/>
          <w:color w:val="000000"/>
          <w:kern w:val="0"/>
          <w:sz w:val="32"/>
          <w:szCs w:val="32"/>
          <w:lang w:eastAsia="zh-CN"/>
        </w:rPr>
        <w:t>入</w:t>
      </w:r>
      <w:r>
        <w:rPr>
          <w:rFonts w:hint="eastAsia" w:ascii="Times New Roman" w:hAnsi="Times New Roman" w:eastAsia="方正仿宋_GBK"/>
          <w:color w:val="000000"/>
          <w:kern w:val="0"/>
          <w:sz w:val="32"/>
          <w:szCs w:val="32"/>
          <w:lang w:val="en-US" w:eastAsia="zh-CN"/>
        </w:rPr>
        <w:t>54.6</w:t>
      </w:r>
      <w:r>
        <w:rPr>
          <w:rFonts w:ascii="Times New Roman" w:hAnsi="Times New Roman" w:eastAsia="方正仿宋_GBK"/>
          <w:color w:val="000000"/>
          <w:kern w:val="0"/>
          <w:sz w:val="32"/>
          <w:szCs w:val="32"/>
        </w:rPr>
        <w:t>万元</w:t>
      </w:r>
      <w:r>
        <w:rPr>
          <w:rFonts w:hint="eastAsia" w:ascii="Times New Roman" w:hAnsi="Times New Roman" w:eastAsia="方正仿宋_GBK"/>
          <w:color w:val="000000"/>
          <w:kern w:val="0"/>
          <w:sz w:val="32"/>
          <w:szCs w:val="32"/>
        </w:rPr>
        <w:t>，</w:t>
      </w:r>
      <w:r>
        <w:rPr>
          <w:rFonts w:ascii="Times New Roman" w:hAnsi="Times New Roman" w:eastAsia="方正仿宋_GBK"/>
          <w:color w:val="000000"/>
          <w:kern w:val="0"/>
          <w:sz w:val="32"/>
          <w:szCs w:val="32"/>
        </w:rPr>
        <w:t>占</w:t>
      </w:r>
      <w:r>
        <w:rPr>
          <w:rFonts w:hint="eastAsia" w:ascii="Times New Roman" w:hAnsi="Times New Roman" w:eastAsia="方正仿宋_GBK"/>
          <w:color w:val="000000"/>
          <w:kern w:val="0"/>
          <w:sz w:val="32"/>
          <w:szCs w:val="32"/>
          <w:lang w:val="en-US" w:eastAsia="zh-CN"/>
        </w:rPr>
        <w:t>3.31</w:t>
      </w:r>
      <w:r>
        <w:rPr>
          <w:rFonts w:ascii="Times New Roman" w:hAnsi="Times New Roman" w:eastAsia="方正仿宋_GBK"/>
          <w:color w:val="000000"/>
          <w:kern w:val="0"/>
          <w:sz w:val="32"/>
          <w:szCs w:val="32"/>
        </w:rPr>
        <w:t>%；</w:t>
      </w:r>
      <w:r>
        <w:rPr>
          <w:rFonts w:ascii="Times New Roman" w:hAnsi="Times New Roman" w:eastAsia="方正仿宋_GBK"/>
          <w:kern w:val="0"/>
          <w:sz w:val="32"/>
          <w:szCs w:val="32"/>
        </w:rPr>
        <w:t>其他收入</w:t>
      </w:r>
      <w:r>
        <w:rPr>
          <w:rFonts w:hint="eastAsia" w:ascii="Times New Roman" w:hAnsi="Times New Roman" w:eastAsia="方正仿宋_GBK"/>
          <w:kern w:val="0"/>
          <w:sz w:val="32"/>
          <w:szCs w:val="32"/>
          <w:lang w:val="en-US" w:eastAsia="zh-CN"/>
        </w:rPr>
        <w:t>1595.38</w:t>
      </w:r>
      <w:r>
        <w:rPr>
          <w:rFonts w:ascii="Times New Roman" w:hAnsi="Times New Roman" w:eastAsia="方正仿宋_GBK"/>
          <w:kern w:val="0"/>
          <w:sz w:val="32"/>
          <w:szCs w:val="32"/>
        </w:rPr>
        <w:t>万元</w:t>
      </w:r>
      <w:r>
        <w:rPr>
          <w:rFonts w:ascii="Times New Roman" w:hAnsi="Times New Roman" w:eastAsia="方正仿宋_GBK"/>
          <w:color w:val="000000"/>
          <w:kern w:val="0"/>
          <w:sz w:val="32"/>
          <w:szCs w:val="32"/>
        </w:rPr>
        <w:t>，占</w:t>
      </w:r>
      <w:r>
        <w:rPr>
          <w:rFonts w:hint="eastAsia" w:ascii="Times New Roman" w:hAnsi="Times New Roman" w:eastAsia="方正仿宋_GBK"/>
          <w:color w:val="000000"/>
          <w:kern w:val="0"/>
          <w:sz w:val="32"/>
          <w:szCs w:val="32"/>
          <w:lang w:val="en-US" w:eastAsia="zh-CN"/>
        </w:rPr>
        <w:t>96.69</w:t>
      </w:r>
      <w:r>
        <w:rPr>
          <w:rFonts w:ascii="Times New Roman" w:hAnsi="Times New Roman" w:eastAsia="方正仿宋_GBK"/>
          <w:color w:val="000000"/>
          <w:kern w:val="0"/>
          <w:sz w:val="32"/>
          <w:szCs w:val="32"/>
        </w:rPr>
        <w:t>%。</w:t>
      </w:r>
    </w:p>
    <w:p>
      <w:pPr>
        <w:pStyle w:val="2"/>
        <w:spacing w:line="540" w:lineRule="exact"/>
        <w:ind w:firstLine="0" w:firstLineChars="0"/>
        <w:jc w:val="center"/>
        <w:rPr>
          <w:rFonts w:ascii="Times New Roman" w:hAnsi="Times New Roman" w:eastAsia="方正仿宋_GBK"/>
          <w:sz w:val="28"/>
          <w:szCs w:val="28"/>
        </w:rPr>
      </w:pPr>
      <w:r>
        <w:rPr>
          <w:rFonts w:ascii="Times New Roman" w:hAnsi="Times New Roman" w:eastAsia="方正仿宋_GBK"/>
          <w:sz w:val="28"/>
          <w:szCs w:val="28"/>
        </w:rPr>
        <w:t>图2：收入决算</w:t>
      </w:r>
    </w:p>
    <w:p>
      <w:pPr>
        <w:jc w:val="center"/>
        <w:rPr>
          <w:rFonts w:ascii="Times New Roman" w:hAnsi="Times New Roman" w:eastAsia="方正黑体_GBK"/>
          <w:sz w:val="32"/>
          <w:szCs w:val="32"/>
        </w:rPr>
      </w:pPr>
      <w:r>
        <w:rPr>
          <w:rFonts w:hint="eastAsia" w:ascii="Times New Roman" w:hAnsi="Times New Roman" w:eastAsia="方正黑体_GBK"/>
          <w:sz w:val="32"/>
          <w:szCs w:val="32"/>
        </w:rPr>
        <w:drawing>
          <wp:inline distT="0" distB="0" distL="114300" distR="114300">
            <wp:extent cx="4899660" cy="2397125"/>
            <wp:effectExtent l="4445" t="4445" r="10795" b="1778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2"/>
        <w:spacing w:line="540" w:lineRule="exact"/>
        <w:ind w:firstLine="640"/>
        <w:rPr>
          <w:rFonts w:ascii="Times New Roman" w:hAnsi="Times New Roman" w:eastAsia="方正黑体_GBK"/>
          <w:sz w:val="32"/>
          <w:szCs w:val="32"/>
        </w:rPr>
      </w:pPr>
      <w:r>
        <w:rPr>
          <w:rFonts w:ascii="Times New Roman" w:hAnsi="Times New Roman" w:eastAsia="方正黑体_GBK"/>
          <w:sz w:val="32"/>
          <w:szCs w:val="32"/>
        </w:rPr>
        <w:t xml:space="preserve">三、支出决算情况说明 </w:t>
      </w:r>
    </w:p>
    <w:p>
      <w:pPr>
        <w:widowControl/>
        <w:spacing w:line="500" w:lineRule="exact"/>
        <w:ind w:firstLine="640" w:firstLineChars="200"/>
        <w:rPr>
          <w:rFonts w:ascii="Times New Roman" w:hAnsi="Times New Roman" w:eastAsia="方正仿宋_GBK"/>
          <w:color w:val="000000"/>
          <w:kern w:val="0"/>
          <w:sz w:val="32"/>
          <w:szCs w:val="32"/>
        </w:rPr>
      </w:pPr>
      <w:r>
        <w:rPr>
          <w:rFonts w:ascii="Times New Roman" w:hAnsi="Times New Roman" w:eastAsia="方正仿宋_GBK"/>
          <w:color w:val="000000"/>
          <w:kern w:val="0"/>
          <w:sz w:val="32"/>
          <w:szCs w:val="32"/>
        </w:rPr>
        <w:t>本年支出合计</w:t>
      </w:r>
      <w:r>
        <w:rPr>
          <w:rFonts w:hint="eastAsia" w:ascii="Times New Roman" w:hAnsi="Times New Roman" w:eastAsia="方正仿宋_GBK"/>
          <w:color w:val="000000"/>
          <w:kern w:val="0"/>
          <w:sz w:val="32"/>
          <w:szCs w:val="32"/>
          <w:lang w:val="en-US" w:eastAsia="zh-CN"/>
        </w:rPr>
        <w:t>1362.01</w:t>
      </w:r>
      <w:r>
        <w:rPr>
          <w:rFonts w:ascii="Times New Roman" w:hAnsi="Times New Roman" w:eastAsia="方正仿宋_GBK"/>
          <w:color w:val="000000"/>
          <w:kern w:val="0"/>
          <w:sz w:val="32"/>
          <w:szCs w:val="32"/>
        </w:rPr>
        <w:t>万元，其中：基本支出</w:t>
      </w:r>
      <w:r>
        <w:rPr>
          <w:rFonts w:hint="eastAsia" w:ascii="Times New Roman" w:hAnsi="Times New Roman" w:eastAsia="方正仿宋_GBK"/>
          <w:color w:val="000000"/>
          <w:kern w:val="0"/>
          <w:sz w:val="32"/>
          <w:szCs w:val="32"/>
          <w:lang w:val="en-US" w:eastAsia="zh-CN"/>
        </w:rPr>
        <w:t>694.97</w:t>
      </w:r>
      <w:r>
        <w:rPr>
          <w:rFonts w:ascii="Times New Roman" w:hAnsi="Times New Roman" w:eastAsia="方正仿宋_GBK"/>
          <w:color w:val="000000"/>
          <w:kern w:val="0"/>
          <w:sz w:val="32"/>
          <w:szCs w:val="32"/>
        </w:rPr>
        <w:t>万元</w:t>
      </w:r>
      <w:r>
        <w:rPr>
          <w:rFonts w:hint="eastAsia" w:ascii="Times New Roman" w:hAnsi="Times New Roman" w:eastAsia="方正仿宋_GBK"/>
          <w:color w:val="000000"/>
          <w:kern w:val="0"/>
          <w:sz w:val="32"/>
          <w:szCs w:val="32"/>
        </w:rPr>
        <w:t>，</w:t>
      </w:r>
      <w:r>
        <w:rPr>
          <w:rFonts w:ascii="Times New Roman" w:hAnsi="Times New Roman" w:eastAsia="方正仿宋_GBK"/>
          <w:color w:val="000000"/>
          <w:kern w:val="0"/>
          <w:sz w:val="32"/>
          <w:szCs w:val="32"/>
        </w:rPr>
        <w:t>占</w:t>
      </w:r>
      <w:r>
        <w:rPr>
          <w:rFonts w:hint="eastAsia" w:ascii="Times New Roman" w:hAnsi="Times New Roman" w:eastAsia="方正仿宋_GBK"/>
          <w:color w:val="000000"/>
          <w:kern w:val="0"/>
          <w:sz w:val="32"/>
          <w:szCs w:val="32"/>
          <w:lang w:val="en-US" w:eastAsia="zh-CN"/>
        </w:rPr>
        <w:t>51.03</w:t>
      </w:r>
      <w:r>
        <w:rPr>
          <w:rFonts w:ascii="Times New Roman" w:hAnsi="Times New Roman" w:eastAsia="方正仿宋_GBK"/>
          <w:color w:val="000000"/>
          <w:kern w:val="0"/>
          <w:sz w:val="32"/>
          <w:szCs w:val="32"/>
        </w:rPr>
        <w:t>%；</w:t>
      </w:r>
      <w:r>
        <w:rPr>
          <w:rFonts w:ascii="Times New Roman" w:hAnsi="Times New Roman" w:eastAsia="方正仿宋_GBK"/>
          <w:kern w:val="0"/>
          <w:sz w:val="32"/>
          <w:szCs w:val="32"/>
        </w:rPr>
        <w:t>项目支出</w:t>
      </w:r>
      <w:r>
        <w:rPr>
          <w:rFonts w:hint="eastAsia" w:ascii="Times New Roman" w:hAnsi="Times New Roman" w:eastAsia="方正仿宋_GBK"/>
          <w:kern w:val="0"/>
          <w:sz w:val="32"/>
          <w:szCs w:val="32"/>
          <w:lang w:val="en-US" w:eastAsia="zh-CN"/>
        </w:rPr>
        <w:t>667.04</w:t>
      </w:r>
      <w:r>
        <w:rPr>
          <w:rFonts w:ascii="Times New Roman" w:hAnsi="Times New Roman" w:eastAsia="方正仿宋_GBK"/>
          <w:kern w:val="0"/>
          <w:sz w:val="32"/>
          <w:szCs w:val="32"/>
        </w:rPr>
        <w:t>万元</w:t>
      </w:r>
      <w:r>
        <w:rPr>
          <w:rFonts w:ascii="Times New Roman" w:hAnsi="Times New Roman" w:eastAsia="方正仿宋_GBK"/>
          <w:color w:val="000000"/>
          <w:kern w:val="0"/>
          <w:sz w:val="32"/>
          <w:szCs w:val="32"/>
        </w:rPr>
        <w:t>，占</w:t>
      </w:r>
      <w:r>
        <w:rPr>
          <w:rFonts w:hint="eastAsia" w:ascii="Times New Roman" w:hAnsi="Times New Roman" w:eastAsia="方正仿宋_GBK"/>
          <w:color w:val="000000"/>
          <w:kern w:val="0"/>
          <w:sz w:val="32"/>
          <w:szCs w:val="32"/>
          <w:lang w:val="en-US" w:eastAsia="zh-CN"/>
        </w:rPr>
        <w:t>48.97</w:t>
      </w:r>
      <w:r>
        <w:rPr>
          <w:rFonts w:ascii="Times New Roman" w:hAnsi="Times New Roman" w:eastAsia="方正仿宋_GBK"/>
          <w:color w:val="000000"/>
          <w:kern w:val="0"/>
          <w:sz w:val="32"/>
          <w:szCs w:val="32"/>
        </w:rPr>
        <w:t>%。</w:t>
      </w:r>
    </w:p>
    <w:p>
      <w:pPr>
        <w:pStyle w:val="2"/>
        <w:spacing w:line="500" w:lineRule="exact"/>
        <w:ind w:firstLine="0" w:firstLineChars="0"/>
        <w:jc w:val="center"/>
        <w:rPr>
          <w:rFonts w:ascii="Times New Roman" w:hAnsi="Times New Roman" w:eastAsia="方正仿宋_GBK"/>
          <w:sz w:val="28"/>
          <w:szCs w:val="28"/>
        </w:rPr>
      </w:pPr>
      <w:r>
        <w:rPr>
          <w:rFonts w:ascii="Times New Roman" w:hAnsi="Times New Roman" w:eastAsia="方正仿宋_GBK"/>
          <w:sz w:val="28"/>
          <w:szCs w:val="28"/>
        </w:rPr>
        <w:t>图3：支出决算</w:t>
      </w:r>
    </w:p>
    <w:p>
      <w:pPr>
        <w:pStyle w:val="2"/>
        <w:spacing w:line="500" w:lineRule="exact"/>
        <w:ind w:firstLine="0" w:firstLineChars="0"/>
        <w:jc w:val="center"/>
        <w:rPr>
          <w:rFonts w:ascii="Times New Roman" w:hAnsi="Times New Roman" w:eastAsia="方正仿宋_GBK"/>
          <w:sz w:val="28"/>
          <w:szCs w:val="28"/>
        </w:rPr>
      </w:pPr>
      <w:r>
        <w:rPr>
          <w:rFonts w:ascii="Times New Roman" w:hAnsi="Times New Roman" w:eastAsia="方正仿宋_GBK"/>
          <w:sz w:val="28"/>
          <w:szCs w:val="28"/>
        </w:rPr>
        <w:drawing>
          <wp:anchor distT="0" distB="0" distL="114300" distR="114300" simplePos="0" relativeHeight="251659264" behindDoc="1" locked="0" layoutInCell="1" allowOverlap="1">
            <wp:simplePos x="0" y="0"/>
            <wp:positionH relativeFrom="column">
              <wp:posOffset>248285</wp:posOffset>
            </wp:positionH>
            <wp:positionV relativeFrom="paragraph">
              <wp:posOffset>52070</wp:posOffset>
            </wp:positionV>
            <wp:extent cx="5111750" cy="2604135"/>
            <wp:effectExtent l="4445" t="4445" r="8255" b="20320"/>
            <wp:wrapTight wrapText="bothSides">
              <wp:wrapPolygon>
                <wp:start x="-19" y="-37"/>
                <wp:lineTo x="-19" y="21453"/>
                <wp:lineTo x="21554" y="21453"/>
                <wp:lineTo x="21554" y="-37"/>
                <wp:lineTo x="-19" y="-37"/>
              </wp:wrapPolygon>
            </wp:wrapTight>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pPr>
        <w:widowControl/>
        <w:numPr>
          <w:ilvl w:val="0"/>
          <w:numId w:val="0"/>
        </w:numPr>
        <w:tabs>
          <w:tab w:val="left" w:pos="926"/>
        </w:tabs>
        <w:spacing w:line="540" w:lineRule="exact"/>
        <w:ind w:firstLine="640" w:firstLineChars="200"/>
        <w:jc w:val="left"/>
        <w:rPr>
          <w:rFonts w:ascii="Times New Roman" w:hAnsi="Times New Roman" w:eastAsia="方正黑体_GBK"/>
          <w:sz w:val="32"/>
          <w:szCs w:val="32"/>
        </w:rPr>
      </w:pPr>
      <w:r>
        <w:rPr>
          <w:rFonts w:hint="eastAsia" w:ascii="Times New Roman" w:hAnsi="Times New Roman" w:eastAsia="方正黑体_GBK"/>
          <w:sz w:val="32"/>
          <w:szCs w:val="32"/>
          <w:lang w:val="en-US" w:eastAsia="zh-CN"/>
        </w:rPr>
        <w:t>四、</w:t>
      </w:r>
      <w:r>
        <w:rPr>
          <w:rFonts w:ascii="Times New Roman" w:hAnsi="Times New Roman" w:eastAsia="方正黑体_GBK"/>
          <w:sz w:val="32"/>
          <w:szCs w:val="32"/>
        </w:rPr>
        <w:t>财政拨款收入支出决算总体情况说明</w:t>
      </w:r>
    </w:p>
    <w:p>
      <w:pPr>
        <w:widowControl/>
        <w:spacing w:line="540" w:lineRule="exact"/>
        <w:ind w:firstLine="640" w:firstLineChars="200"/>
        <w:jc w:val="left"/>
        <w:rPr>
          <w:rFonts w:ascii="Times New Roman" w:hAnsi="Times New Roman" w:eastAsia="方正仿宋_GBK"/>
          <w:color w:val="000000"/>
          <w:kern w:val="0"/>
          <w:sz w:val="32"/>
          <w:szCs w:val="32"/>
          <w:highlight w:val="yellow"/>
        </w:rPr>
      </w:pPr>
      <w:r>
        <w:rPr>
          <w:rFonts w:ascii="Times New Roman" w:hAnsi="Times New Roman" w:eastAsia="方正仿宋_GBK"/>
          <w:color w:val="000000"/>
          <w:kern w:val="0"/>
          <w:sz w:val="32"/>
          <w:szCs w:val="32"/>
        </w:rPr>
        <w:t>202</w:t>
      </w:r>
      <w:r>
        <w:rPr>
          <w:rFonts w:hint="eastAsia" w:ascii="Times New Roman" w:hAnsi="Times New Roman" w:eastAsia="方正仿宋_GBK"/>
          <w:color w:val="000000"/>
          <w:kern w:val="0"/>
          <w:sz w:val="32"/>
          <w:szCs w:val="32"/>
          <w:lang w:val="en-US" w:eastAsia="zh-CN"/>
        </w:rPr>
        <w:t>3</w:t>
      </w:r>
      <w:r>
        <w:rPr>
          <w:rFonts w:ascii="Times New Roman" w:hAnsi="Times New Roman" w:eastAsia="方正仿宋_GBK"/>
          <w:color w:val="000000"/>
          <w:kern w:val="0"/>
          <w:sz w:val="32"/>
          <w:szCs w:val="32"/>
        </w:rPr>
        <w:t>年度财政拨款收、支总计</w:t>
      </w:r>
      <w:r>
        <w:rPr>
          <w:rFonts w:hint="eastAsia" w:ascii="Times New Roman" w:hAnsi="Times New Roman" w:eastAsia="方正仿宋_GBK"/>
          <w:color w:val="000000"/>
          <w:kern w:val="0"/>
          <w:sz w:val="32"/>
          <w:szCs w:val="32"/>
          <w:lang w:val="en-US" w:eastAsia="zh-CN"/>
        </w:rPr>
        <w:t>55.34</w:t>
      </w:r>
      <w:r>
        <w:rPr>
          <w:rFonts w:ascii="Times New Roman" w:hAnsi="Times New Roman" w:eastAsia="方正仿宋_GBK"/>
          <w:color w:val="000000"/>
          <w:kern w:val="0"/>
          <w:sz w:val="32"/>
          <w:szCs w:val="32"/>
        </w:rPr>
        <w:t>万元。与202</w:t>
      </w:r>
      <w:r>
        <w:rPr>
          <w:rFonts w:hint="eastAsia" w:ascii="Times New Roman" w:hAnsi="Times New Roman" w:eastAsia="方正仿宋_GBK"/>
          <w:color w:val="000000"/>
          <w:kern w:val="0"/>
          <w:sz w:val="32"/>
          <w:szCs w:val="32"/>
          <w:lang w:val="en-US" w:eastAsia="zh-CN"/>
        </w:rPr>
        <w:t>2</w:t>
      </w:r>
      <w:r>
        <w:rPr>
          <w:rFonts w:ascii="Times New Roman" w:hAnsi="Times New Roman" w:eastAsia="方正仿宋_GBK"/>
          <w:color w:val="000000"/>
          <w:kern w:val="0"/>
          <w:sz w:val="32"/>
          <w:szCs w:val="32"/>
        </w:rPr>
        <w:t>年度相比，财政拨款收、支总计</w:t>
      </w:r>
      <w:r>
        <w:rPr>
          <w:rFonts w:hint="eastAsia" w:ascii="Times New Roman" w:hAnsi="Times New Roman" w:eastAsia="方正仿宋_GBK"/>
          <w:color w:val="000000"/>
          <w:kern w:val="0"/>
          <w:sz w:val="32"/>
          <w:szCs w:val="32"/>
          <w:lang w:val="en-US" w:eastAsia="zh-CN"/>
        </w:rPr>
        <w:t>增加16.16</w:t>
      </w:r>
      <w:r>
        <w:rPr>
          <w:rFonts w:ascii="Times New Roman" w:hAnsi="Times New Roman" w:eastAsia="方正仿宋_GBK"/>
          <w:color w:val="000000"/>
          <w:kern w:val="0"/>
          <w:sz w:val="32"/>
          <w:szCs w:val="32"/>
        </w:rPr>
        <w:t>万元，主要是</w:t>
      </w:r>
      <w:r>
        <w:rPr>
          <w:rFonts w:hint="eastAsia" w:ascii="Times New Roman" w:hAnsi="Times New Roman" w:eastAsia="方正仿宋_GBK"/>
          <w:color w:val="000000"/>
          <w:kern w:val="0"/>
          <w:sz w:val="32"/>
          <w:szCs w:val="32"/>
          <w:lang w:eastAsia="zh-CN"/>
        </w:rPr>
        <w:t>原因是：人员实力增加，伙食费项目预算比去年增加</w:t>
      </w:r>
      <w:r>
        <w:rPr>
          <w:rFonts w:hint="eastAsia" w:ascii="Times New Roman" w:hAnsi="Times New Roman" w:eastAsia="方正仿宋_GBK"/>
          <w:color w:val="000000"/>
          <w:kern w:val="0"/>
          <w:sz w:val="32"/>
          <w:szCs w:val="32"/>
          <w:lang w:val="en-US" w:eastAsia="zh-CN"/>
        </w:rPr>
        <w:t>20万元</w:t>
      </w:r>
      <w:r>
        <w:rPr>
          <w:rFonts w:ascii="Times New Roman" w:hAnsi="Times New Roman" w:eastAsia="方正仿宋_GBK"/>
          <w:color w:val="000000"/>
          <w:kern w:val="0"/>
          <w:sz w:val="32"/>
          <w:szCs w:val="32"/>
        </w:rPr>
        <w:t>。</w:t>
      </w:r>
    </w:p>
    <w:p>
      <w:pPr>
        <w:widowControl/>
        <w:spacing w:line="540" w:lineRule="exact"/>
        <w:jc w:val="center"/>
        <w:rPr>
          <w:rFonts w:ascii="Times New Roman" w:hAnsi="Times New Roman" w:eastAsia="方正仿宋_GBK"/>
          <w:sz w:val="28"/>
          <w:szCs w:val="28"/>
        </w:rPr>
      </w:pPr>
      <w:r>
        <w:rPr>
          <w:rFonts w:ascii="Times New Roman" w:hAnsi="Times New Roman" w:eastAsia="方正仿宋_GBK"/>
          <w:sz w:val="28"/>
          <w:szCs w:val="28"/>
        </w:rPr>
        <w:t>图4：财政拨款收、支决算总计变动情况（单位：万元）</w:t>
      </w:r>
    </w:p>
    <w:p>
      <w:pPr>
        <w:pStyle w:val="2"/>
        <w:ind w:firstLine="560"/>
        <w:rPr>
          <w:rFonts w:ascii="Times New Roman" w:hAnsi="Times New Roman" w:eastAsia="方正仿宋_GBK"/>
          <w:sz w:val="28"/>
          <w:szCs w:val="28"/>
        </w:rPr>
      </w:pPr>
      <w:r>
        <w:rPr>
          <w:rFonts w:ascii="Times New Roman" w:hAnsi="Times New Roman" w:eastAsia="方正仿宋_GBK"/>
          <w:sz w:val="28"/>
          <w:szCs w:val="28"/>
        </w:rPr>
        <w:drawing>
          <wp:anchor distT="0" distB="0" distL="114300" distR="114300" simplePos="0" relativeHeight="251660288" behindDoc="1" locked="0" layoutInCell="1" allowOverlap="1">
            <wp:simplePos x="0" y="0"/>
            <wp:positionH relativeFrom="column">
              <wp:posOffset>349250</wp:posOffset>
            </wp:positionH>
            <wp:positionV relativeFrom="paragraph">
              <wp:posOffset>144780</wp:posOffset>
            </wp:positionV>
            <wp:extent cx="4727575" cy="2063115"/>
            <wp:effectExtent l="4445" t="4445" r="11430" b="8890"/>
            <wp:wrapTight wrapText="bothSides">
              <wp:wrapPolygon>
                <wp:start x="-20" y="-47"/>
                <wp:lineTo x="-20" y="21494"/>
                <wp:lineTo x="21565" y="21494"/>
                <wp:lineTo x="21565" y="-47"/>
                <wp:lineTo x="-20" y="-47"/>
              </wp:wrapPolygon>
            </wp:wrapTight>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pPr>
        <w:pStyle w:val="2"/>
        <w:ind w:firstLine="560"/>
        <w:rPr>
          <w:rFonts w:ascii="Times New Roman" w:hAnsi="Times New Roman" w:eastAsia="方正仿宋_GBK"/>
          <w:sz w:val="28"/>
          <w:szCs w:val="28"/>
        </w:rPr>
      </w:pPr>
    </w:p>
    <w:p>
      <w:pPr>
        <w:pStyle w:val="2"/>
        <w:ind w:firstLine="560"/>
        <w:rPr>
          <w:rFonts w:ascii="Times New Roman" w:hAnsi="Times New Roman" w:eastAsia="方正仿宋_GBK"/>
          <w:sz w:val="28"/>
          <w:szCs w:val="28"/>
        </w:rPr>
      </w:pPr>
    </w:p>
    <w:p>
      <w:pPr>
        <w:pStyle w:val="2"/>
        <w:ind w:firstLine="560"/>
        <w:rPr>
          <w:rFonts w:ascii="Times New Roman" w:hAnsi="Times New Roman" w:eastAsia="方正仿宋_GBK"/>
          <w:sz w:val="28"/>
          <w:szCs w:val="28"/>
        </w:rPr>
      </w:pPr>
    </w:p>
    <w:p>
      <w:pPr>
        <w:pStyle w:val="2"/>
        <w:spacing w:line="620" w:lineRule="exact"/>
        <w:ind w:firstLine="0" w:firstLineChars="0"/>
        <w:rPr>
          <w:rFonts w:ascii="Times New Roman" w:hAnsi="Times New Roman" w:eastAsia="方正黑体_GBK"/>
          <w:sz w:val="32"/>
          <w:szCs w:val="32"/>
        </w:rPr>
      </w:pPr>
    </w:p>
    <w:p>
      <w:pPr>
        <w:pStyle w:val="2"/>
        <w:spacing w:line="620" w:lineRule="exact"/>
        <w:ind w:firstLine="640"/>
        <w:rPr>
          <w:rFonts w:ascii="Times New Roman" w:hAnsi="Times New Roman" w:eastAsia="方正黑体_GBK"/>
          <w:sz w:val="32"/>
          <w:szCs w:val="32"/>
        </w:rPr>
      </w:pPr>
      <w:r>
        <w:rPr>
          <w:rFonts w:ascii="Times New Roman" w:hAnsi="Times New Roman" w:eastAsia="方正黑体_GBK"/>
          <w:sz w:val="32"/>
          <w:szCs w:val="32"/>
        </w:rPr>
        <w:t xml:space="preserve">五、一般公共预算财政拨款支出决算情况说明 </w:t>
      </w:r>
    </w:p>
    <w:p>
      <w:pPr>
        <w:widowControl/>
        <w:spacing w:line="620" w:lineRule="exact"/>
        <w:ind w:firstLine="642" w:firstLineChars="200"/>
        <w:jc w:val="left"/>
        <w:rPr>
          <w:rFonts w:ascii="Times New Roman" w:hAnsi="Times New Roman"/>
          <w:sz w:val="32"/>
          <w:szCs w:val="32"/>
        </w:rPr>
      </w:pPr>
      <w:r>
        <w:rPr>
          <w:rFonts w:ascii="Times New Roman" w:hAnsi="Times New Roman" w:eastAsia="方正楷体_GBK"/>
          <w:b/>
          <w:color w:val="000000"/>
          <w:kern w:val="0"/>
          <w:sz w:val="32"/>
          <w:szCs w:val="32"/>
        </w:rPr>
        <w:t>（一）财政拨款支出决算总体情况</w:t>
      </w:r>
      <w:r>
        <w:rPr>
          <w:rFonts w:ascii="Times New Roman" w:hAnsi="Times New Roman" w:eastAsia="楷体_GB2312"/>
          <w:b/>
          <w:color w:val="000000"/>
          <w:kern w:val="0"/>
          <w:sz w:val="32"/>
          <w:szCs w:val="32"/>
        </w:rPr>
        <w:t xml:space="preserve"> </w:t>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方正仿宋_GBK"/>
          <w:color w:val="000000"/>
          <w:kern w:val="0"/>
          <w:sz w:val="32"/>
          <w:szCs w:val="32"/>
        </w:rPr>
      </w:pPr>
      <w:r>
        <w:rPr>
          <w:rFonts w:ascii="Times New Roman" w:hAnsi="Times New Roman" w:eastAsia="方正仿宋_GBK"/>
          <w:color w:val="000000"/>
          <w:sz w:val="32"/>
          <w:szCs w:val="32"/>
        </w:rPr>
        <w:t>202</w:t>
      </w:r>
      <w:r>
        <w:rPr>
          <w:rFonts w:hint="eastAsia" w:ascii="Times New Roman" w:hAnsi="Times New Roman" w:eastAsia="方正仿宋_GBK"/>
          <w:color w:val="000000"/>
          <w:sz w:val="32"/>
          <w:szCs w:val="32"/>
          <w:lang w:val="en-US" w:eastAsia="zh-CN"/>
        </w:rPr>
        <w:t>3</w:t>
      </w:r>
      <w:r>
        <w:rPr>
          <w:rFonts w:ascii="Times New Roman" w:hAnsi="Times New Roman" w:eastAsia="方正仿宋_GBK"/>
          <w:color w:val="000000"/>
          <w:sz w:val="32"/>
          <w:szCs w:val="32"/>
        </w:rPr>
        <w:t>年度财政拨款支出</w:t>
      </w:r>
      <w:r>
        <w:rPr>
          <w:rFonts w:hint="eastAsia" w:ascii="Times New Roman" w:hAnsi="Times New Roman" w:eastAsia="方正仿宋_GBK"/>
          <w:color w:val="000000"/>
          <w:sz w:val="32"/>
          <w:szCs w:val="32"/>
          <w:lang w:val="en-US" w:eastAsia="zh-CN"/>
        </w:rPr>
        <w:t>54.9</w:t>
      </w:r>
      <w:r>
        <w:rPr>
          <w:rFonts w:ascii="Times New Roman" w:hAnsi="Times New Roman" w:eastAsia="方正仿宋_GBK"/>
          <w:color w:val="000000"/>
          <w:sz w:val="32"/>
          <w:szCs w:val="32"/>
        </w:rPr>
        <w:t>万元，占本年支出的</w:t>
      </w:r>
      <w:r>
        <w:rPr>
          <w:rFonts w:hint="eastAsia" w:ascii="Times New Roman" w:hAnsi="Times New Roman" w:eastAsia="方正仿宋_GBK"/>
          <w:color w:val="000000"/>
          <w:sz w:val="32"/>
          <w:szCs w:val="32"/>
          <w:lang w:val="en-US" w:eastAsia="zh-CN"/>
        </w:rPr>
        <w:t>4.03</w:t>
      </w:r>
      <w:r>
        <w:rPr>
          <w:rFonts w:ascii="Times New Roman" w:hAnsi="Times New Roman" w:eastAsia="方正仿宋_GBK"/>
          <w:sz w:val="32"/>
          <w:szCs w:val="32"/>
        </w:rPr>
        <w:t>%。与202</w:t>
      </w:r>
      <w:r>
        <w:rPr>
          <w:rFonts w:hint="eastAsia" w:ascii="Times New Roman" w:hAnsi="Times New Roman" w:eastAsia="方正仿宋_GBK"/>
          <w:sz w:val="32"/>
          <w:szCs w:val="32"/>
          <w:lang w:val="en-US" w:eastAsia="zh-CN"/>
        </w:rPr>
        <w:t>2</w:t>
      </w:r>
      <w:r>
        <w:rPr>
          <w:rFonts w:ascii="Times New Roman" w:hAnsi="Times New Roman" w:eastAsia="方正仿宋_GBK"/>
          <w:sz w:val="32"/>
          <w:szCs w:val="32"/>
        </w:rPr>
        <w:t>年</w:t>
      </w:r>
      <w:r>
        <w:rPr>
          <w:rFonts w:ascii="Times New Roman" w:hAnsi="Times New Roman" w:eastAsia="方正仿宋_GBK"/>
          <w:color w:val="000000"/>
          <w:sz w:val="32"/>
          <w:szCs w:val="32"/>
        </w:rPr>
        <w:t>度相比，财政拨款支出</w:t>
      </w:r>
      <w:r>
        <w:rPr>
          <w:rFonts w:hint="eastAsia" w:ascii="Times New Roman" w:hAnsi="Times New Roman" w:eastAsia="方正仿宋_GBK"/>
          <w:color w:val="000000"/>
          <w:sz w:val="32"/>
          <w:szCs w:val="32"/>
          <w:lang w:val="en-US" w:eastAsia="zh-CN"/>
        </w:rPr>
        <w:t>增加16.46</w:t>
      </w:r>
      <w:r>
        <w:rPr>
          <w:rFonts w:ascii="Times New Roman" w:hAnsi="Times New Roman" w:eastAsia="方正仿宋_GBK"/>
          <w:color w:val="000000"/>
          <w:sz w:val="32"/>
          <w:szCs w:val="32"/>
        </w:rPr>
        <w:t>万元，</w:t>
      </w:r>
      <w:r>
        <w:rPr>
          <w:rFonts w:hint="eastAsia" w:ascii="Times New Roman" w:hAnsi="Times New Roman" w:eastAsia="方正仿宋_GBK"/>
          <w:color w:val="000000"/>
          <w:sz w:val="32"/>
          <w:szCs w:val="32"/>
          <w:lang w:val="en-US" w:eastAsia="zh-CN"/>
        </w:rPr>
        <w:t>增加42.82</w:t>
      </w:r>
      <w:r>
        <w:rPr>
          <w:rFonts w:hint="eastAsia" w:ascii="Times New Roman" w:hAnsi="Times New Roman" w:eastAsia="方正仿宋_GBK"/>
          <w:color w:val="000000"/>
          <w:sz w:val="32"/>
          <w:szCs w:val="32"/>
        </w:rPr>
        <w:t>%</w:t>
      </w:r>
      <w:r>
        <w:rPr>
          <w:rFonts w:ascii="Times New Roman" w:hAnsi="Times New Roman" w:eastAsia="方正仿宋_GBK"/>
          <w:color w:val="000000"/>
          <w:kern w:val="0"/>
          <w:sz w:val="32"/>
          <w:szCs w:val="32"/>
        </w:rPr>
        <w:t>，主要是</w:t>
      </w:r>
      <w:r>
        <w:rPr>
          <w:rFonts w:hint="eastAsia" w:ascii="Times New Roman" w:hAnsi="Times New Roman" w:eastAsia="方正仿宋_GBK"/>
          <w:color w:val="000000"/>
          <w:kern w:val="0"/>
          <w:sz w:val="32"/>
          <w:szCs w:val="32"/>
        </w:rPr>
        <w:t>202</w:t>
      </w:r>
      <w:r>
        <w:rPr>
          <w:rFonts w:hint="eastAsia" w:ascii="Times New Roman" w:hAnsi="Times New Roman" w:eastAsia="方正仿宋_GBK"/>
          <w:color w:val="000000"/>
          <w:kern w:val="0"/>
          <w:sz w:val="32"/>
          <w:szCs w:val="32"/>
          <w:lang w:val="en-US" w:eastAsia="zh-CN"/>
        </w:rPr>
        <w:t>2</w:t>
      </w:r>
      <w:r>
        <w:rPr>
          <w:rFonts w:hint="eastAsia" w:ascii="Times New Roman" w:hAnsi="Times New Roman" w:eastAsia="方正仿宋_GBK"/>
          <w:color w:val="000000"/>
          <w:kern w:val="0"/>
          <w:sz w:val="32"/>
          <w:szCs w:val="32"/>
        </w:rPr>
        <w:t>年基本支出</w:t>
      </w:r>
      <w:r>
        <w:rPr>
          <w:rFonts w:hint="eastAsia" w:ascii="Times New Roman" w:hAnsi="Times New Roman" w:eastAsia="方正仿宋_GBK"/>
          <w:color w:val="000000"/>
          <w:kern w:val="0"/>
          <w:sz w:val="32"/>
          <w:szCs w:val="32"/>
          <w:lang w:val="en-US" w:eastAsia="zh-CN"/>
        </w:rPr>
        <w:t>减少4.98</w:t>
      </w:r>
      <w:r>
        <w:rPr>
          <w:rFonts w:hint="eastAsia" w:ascii="Times New Roman" w:hAnsi="Times New Roman" w:eastAsia="方正仿宋_GBK"/>
          <w:color w:val="000000"/>
          <w:kern w:val="0"/>
          <w:sz w:val="32"/>
          <w:szCs w:val="32"/>
        </w:rPr>
        <w:t>万元，项目支出</w:t>
      </w:r>
      <w:r>
        <w:rPr>
          <w:rFonts w:hint="eastAsia" w:ascii="Times New Roman" w:hAnsi="Times New Roman" w:eastAsia="方正仿宋_GBK"/>
          <w:color w:val="000000"/>
          <w:kern w:val="0"/>
          <w:sz w:val="32"/>
          <w:szCs w:val="32"/>
          <w:lang w:val="en-US" w:eastAsia="zh-CN"/>
        </w:rPr>
        <w:t>增加21.43</w:t>
      </w:r>
      <w:r>
        <w:rPr>
          <w:rFonts w:hint="eastAsia" w:ascii="Times New Roman" w:hAnsi="Times New Roman" w:eastAsia="方正仿宋_GBK"/>
          <w:color w:val="000000"/>
          <w:kern w:val="0"/>
          <w:sz w:val="32"/>
          <w:szCs w:val="32"/>
        </w:rPr>
        <w:t>万元。</w:t>
      </w:r>
    </w:p>
    <w:p>
      <w:pPr>
        <w:keepNext w:val="0"/>
        <w:keepLines w:val="0"/>
        <w:pageBreakBefore w:val="0"/>
        <w:widowControl/>
        <w:kinsoku/>
        <w:wordWrap/>
        <w:overflowPunct/>
        <w:topLinePunct w:val="0"/>
        <w:autoSpaceDE/>
        <w:autoSpaceDN/>
        <w:bidi w:val="0"/>
        <w:adjustRightInd/>
        <w:snapToGrid/>
        <w:spacing w:line="540" w:lineRule="exact"/>
        <w:ind w:firstLine="1400" w:firstLineChars="500"/>
        <w:textAlignment w:val="auto"/>
        <w:rPr>
          <w:rFonts w:ascii="Times New Roman" w:hAnsi="Times New Roman"/>
        </w:rPr>
      </w:pPr>
      <w:r>
        <w:rPr>
          <w:rFonts w:ascii="Times New Roman" w:hAnsi="Times New Roman" w:eastAsia="方正仿宋_GBK"/>
          <w:sz w:val="28"/>
          <w:szCs w:val="28"/>
        </w:rPr>
        <w:t>图5：财政拨款支出决算变动情况（单位</w:t>
      </w:r>
      <w:r>
        <w:rPr>
          <w:rFonts w:hint="eastAsia" w:ascii="Times New Roman" w:hAnsi="Times New Roman" w:eastAsia="方正仿宋_GBK"/>
          <w:sz w:val="28"/>
          <w:szCs w:val="28"/>
        </w:rPr>
        <w:t>：</w:t>
      </w:r>
      <w:r>
        <w:rPr>
          <w:rFonts w:ascii="Times New Roman" w:hAnsi="Times New Roman" w:eastAsia="方正仿宋_GBK"/>
          <w:sz w:val="28"/>
          <w:szCs w:val="28"/>
        </w:rPr>
        <w:t>万元）</w:t>
      </w:r>
    </w:p>
    <w:p>
      <w:pPr>
        <w:jc w:val="center"/>
      </w:pPr>
      <w:r>
        <w:rPr>
          <w:rFonts w:hint="eastAsia"/>
        </w:rPr>
        <w:drawing>
          <wp:inline distT="0" distB="0" distL="114300" distR="114300">
            <wp:extent cx="4975860" cy="2216150"/>
            <wp:effectExtent l="4445" t="4445" r="10795" b="8255"/>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widowControl/>
        <w:spacing w:line="620" w:lineRule="exact"/>
        <w:ind w:firstLine="642" w:firstLineChars="200"/>
        <w:jc w:val="left"/>
        <w:rPr>
          <w:rFonts w:ascii="Times New Roman" w:hAnsi="Times New Roman" w:eastAsia="方正楷体_GBK"/>
          <w:b/>
          <w:color w:val="000000"/>
          <w:kern w:val="0"/>
          <w:sz w:val="32"/>
          <w:szCs w:val="32"/>
        </w:rPr>
      </w:pPr>
      <w:r>
        <w:rPr>
          <w:rFonts w:ascii="Times New Roman" w:hAnsi="Times New Roman" w:eastAsia="方正楷体_GBK"/>
          <w:b/>
          <w:color w:val="000000"/>
          <w:kern w:val="0"/>
          <w:sz w:val="32"/>
          <w:szCs w:val="32"/>
        </w:rPr>
        <w:t xml:space="preserve">（二）财政拨款支出决算结构情况 </w:t>
      </w:r>
    </w:p>
    <w:p>
      <w:pPr>
        <w:widowControl/>
        <w:spacing w:line="620" w:lineRule="exact"/>
        <w:ind w:firstLine="640" w:firstLineChars="200"/>
        <w:jc w:val="left"/>
      </w:pPr>
      <w:r>
        <w:rPr>
          <w:rFonts w:ascii="Times New Roman" w:hAnsi="Times New Roman" w:eastAsia="方正仿宋_GBK"/>
          <w:color w:val="000000"/>
          <w:sz w:val="32"/>
          <w:szCs w:val="32"/>
        </w:rPr>
        <w:t>202</w:t>
      </w:r>
      <w:r>
        <w:rPr>
          <w:rFonts w:hint="eastAsia" w:ascii="Times New Roman" w:hAnsi="Times New Roman" w:eastAsia="方正仿宋_GBK"/>
          <w:color w:val="000000"/>
          <w:sz w:val="32"/>
          <w:szCs w:val="32"/>
          <w:lang w:val="en-US" w:eastAsia="zh-CN"/>
        </w:rPr>
        <w:t>3</w:t>
      </w:r>
      <w:r>
        <w:rPr>
          <w:rFonts w:ascii="Times New Roman" w:hAnsi="Times New Roman" w:eastAsia="方正仿宋_GBK"/>
          <w:color w:val="000000"/>
          <w:sz w:val="32"/>
          <w:szCs w:val="32"/>
        </w:rPr>
        <w:t>年度财政拨款支出</w:t>
      </w:r>
      <w:r>
        <w:rPr>
          <w:rFonts w:hint="eastAsia" w:ascii="Times New Roman" w:hAnsi="Times New Roman" w:eastAsia="方正仿宋_GBK"/>
          <w:color w:val="000000"/>
          <w:sz w:val="32"/>
          <w:szCs w:val="32"/>
          <w:lang w:val="en-US" w:eastAsia="zh-CN"/>
        </w:rPr>
        <w:t>54.9</w:t>
      </w:r>
      <w:r>
        <w:rPr>
          <w:rFonts w:ascii="Times New Roman" w:hAnsi="Times New Roman" w:eastAsia="方正仿宋_GBK"/>
          <w:color w:val="000000"/>
          <w:sz w:val="32"/>
          <w:szCs w:val="32"/>
        </w:rPr>
        <w:t>万元，主要用于以下方面：</w:t>
      </w:r>
      <w:r>
        <w:rPr>
          <w:rFonts w:ascii="Times New Roman" w:hAnsi="Times New Roman" w:eastAsia="方正仿宋_GBK"/>
          <w:b/>
          <w:bCs/>
          <w:color w:val="000000"/>
          <w:sz w:val="32"/>
          <w:szCs w:val="32"/>
        </w:rPr>
        <w:t>灾害防治及应急管理（类）</w:t>
      </w:r>
      <w:r>
        <w:rPr>
          <w:rFonts w:ascii="Times New Roman" w:hAnsi="Times New Roman" w:eastAsia="方正仿宋_GBK"/>
          <w:color w:val="000000"/>
          <w:sz w:val="32"/>
          <w:szCs w:val="32"/>
        </w:rPr>
        <w:t>支出</w:t>
      </w:r>
      <w:r>
        <w:rPr>
          <w:rFonts w:hint="eastAsia" w:ascii="Times New Roman" w:hAnsi="Times New Roman" w:eastAsia="方正仿宋_GBK"/>
          <w:color w:val="000000"/>
          <w:sz w:val="32"/>
          <w:szCs w:val="32"/>
          <w:lang w:val="en-US" w:eastAsia="zh-CN"/>
        </w:rPr>
        <w:t>54.9</w:t>
      </w:r>
      <w:r>
        <w:rPr>
          <w:rFonts w:ascii="Times New Roman" w:hAnsi="Times New Roman" w:eastAsia="方正仿宋_GBK"/>
          <w:color w:val="000000"/>
          <w:sz w:val="32"/>
          <w:szCs w:val="32"/>
        </w:rPr>
        <w:t>万元，占</w:t>
      </w:r>
      <w:r>
        <w:rPr>
          <w:rFonts w:hint="eastAsia" w:ascii="Times New Roman" w:hAnsi="Times New Roman" w:eastAsia="方正仿宋_GBK"/>
          <w:color w:val="000000"/>
          <w:sz w:val="32"/>
          <w:szCs w:val="32"/>
        </w:rPr>
        <w:t>100</w:t>
      </w:r>
      <w:r>
        <w:rPr>
          <w:rFonts w:ascii="Times New Roman" w:hAnsi="Times New Roman" w:eastAsia="方正仿宋_GBK"/>
          <w:color w:val="000000"/>
          <w:sz w:val="32"/>
          <w:szCs w:val="32"/>
        </w:rPr>
        <w:t>%。</w:t>
      </w:r>
    </w:p>
    <w:p>
      <w:pPr>
        <w:tabs>
          <w:tab w:val="left" w:pos="877"/>
        </w:tabs>
        <w:spacing w:line="540" w:lineRule="exact"/>
        <w:ind w:firstLine="642" w:firstLineChars="200"/>
        <w:jc w:val="left"/>
        <w:rPr>
          <w:rFonts w:ascii="Times New Roman" w:hAnsi="Times New Roman" w:eastAsia="方正楷体_GBK"/>
          <w:b/>
          <w:color w:val="000000"/>
          <w:kern w:val="0"/>
          <w:sz w:val="32"/>
          <w:szCs w:val="32"/>
        </w:rPr>
      </w:pPr>
      <w:r>
        <w:rPr>
          <w:rFonts w:ascii="Times New Roman" w:hAnsi="Times New Roman" w:eastAsia="方正楷体_GBK"/>
          <w:b/>
          <w:color w:val="000000"/>
          <w:kern w:val="0"/>
          <w:sz w:val="32"/>
          <w:szCs w:val="32"/>
        </w:rPr>
        <w:t xml:space="preserve">（三）财政拨款支出决算具体情况 </w:t>
      </w:r>
    </w:p>
    <w:p>
      <w:pPr>
        <w:widowControl/>
        <w:spacing w:line="620" w:lineRule="exact"/>
        <w:ind w:firstLine="640" w:firstLineChars="200"/>
        <w:jc w:val="left"/>
        <w:rPr>
          <w:rFonts w:hint="default" w:ascii="Times New Roman" w:hAnsi="Times New Roman" w:eastAsia="方正仿宋_GBK"/>
          <w:color w:val="FF0000"/>
          <w:kern w:val="0"/>
          <w:sz w:val="32"/>
          <w:szCs w:val="32"/>
          <w:lang w:val="en-US" w:eastAsia="zh-CN"/>
        </w:rPr>
      </w:pPr>
      <w:r>
        <w:rPr>
          <w:rFonts w:ascii="Times New Roman" w:hAnsi="Times New Roman" w:eastAsia="方正仿宋_GBK"/>
          <w:color w:val="auto"/>
          <w:kern w:val="0"/>
          <w:sz w:val="32"/>
          <w:szCs w:val="32"/>
        </w:rPr>
        <w:t>202</w:t>
      </w:r>
      <w:r>
        <w:rPr>
          <w:rFonts w:hint="eastAsia" w:ascii="Times New Roman" w:hAnsi="Times New Roman" w:eastAsia="方正仿宋_GBK"/>
          <w:color w:val="auto"/>
          <w:kern w:val="0"/>
          <w:sz w:val="32"/>
          <w:szCs w:val="32"/>
          <w:lang w:val="en-US" w:eastAsia="zh-CN"/>
        </w:rPr>
        <w:t>3</w:t>
      </w:r>
      <w:r>
        <w:rPr>
          <w:rFonts w:ascii="Times New Roman" w:hAnsi="Times New Roman" w:eastAsia="方正仿宋_GBK"/>
          <w:color w:val="auto"/>
          <w:kern w:val="0"/>
          <w:sz w:val="32"/>
          <w:szCs w:val="32"/>
        </w:rPr>
        <w:t>年度财政拨款支出年初预算为</w:t>
      </w:r>
      <w:r>
        <w:rPr>
          <w:rFonts w:hint="eastAsia" w:ascii="Times New Roman" w:hAnsi="Times New Roman" w:eastAsia="方正仿宋_GBK"/>
          <w:color w:val="auto"/>
          <w:kern w:val="0"/>
          <w:sz w:val="32"/>
          <w:szCs w:val="32"/>
          <w:lang w:val="en-US" w:eastAsia="zh-CN"/>
        </w:rPr>
        <w:t>55.34</w:t>
      </w:r>
      <w:r>
        <w:rPr>
          <w:rFonts w:ascii="Times New Roman" w:hAnsi="Times New Roman" w:eastAsia="方正仿宋_GBK"/>
          <w:color w:val="auto"/>
          <w:kern w:val="0"/>
          <w:sz w:val="32"/>
          <w:szCs w:val="32"/>
        </w:rPr>
        <w:t>万元，支出决算为</w:t>
      </w:r>
      <w:r>
        <w:rPr>
          <w:rFonts w:hint="eastAsia" w:ascii="Times New Roman" w:hAnsi="Times New Roman" w:eastAsia="方正仿宋_GBK"/>
          <w:color w:val="auto"/>
          <w:kern w:val="0"/>
          <w:sz w:val="32"/>
          <w:szCs w:val="32"/>
          <w:lang w:val="en-US" w:eastAsia="zh-CN"/>
        </w:rPr>
        <w:t>54.9</w:t>
      </w:r>
      <w:r>
        <w:rPr>
          <w:rFonts w:ascii="Times New Roman" w:hAnsi="Times New Roman" w:eastAsia="方正仿宋_GBK"/>
          <w:color w:val="auto"/>
          <w:kern w:val="0"/>
          <w:sz w:val="32"/>
          <w:szCs w:val="32"/>
        </w:rPr>
        <w:t>万元，完成年初预算的</w:t>
      </w:r>
      <w:r>
        <w:rPr>
          <w:rFonts w:hint="eastAsia" w:ascii="Times New Roman" w:hAnsi="Times New Roman" w:eastAsia="方正仿宋_GBK"/>
          <w:color w:val="auto"/>
          <w:kern w:val="0"/>
          <w:sz w:val="32"/>
          <w:szCs w:val="32"/>
          <w:lang w:val="en-US" w:eastAsia="zh-CN"/>
        </w:rPr>
        <w:t>99.2</w:t>
      </w:r>
      <w:r>
        <w:rPr>
          <w:rFonts w:ascii="Times New Roman" w:hAnsi="Times New Roman" w:eastAsia="方正仿宋_GBK"/>
          <w:color w:val="auto"/>
          <w:kern w:val="0"/>
          <w:sz w:val="32"/>
          <w:szCs w:val="32"/>
        </w:rPr>
        <w:t>%。</w:t>
      </w:r>
      <w:r>
        <w:rPr>
          <w:rFonts w:hint="eastAsia" w:ascii="Times New Roman" w:hAnsi="Times New Roman" w:eastAsia="方正仿宋_GBK"/>
          <w:color w:val="auto"/>
          <w:kern w:val="0"/>
          <w:sz w:val="32"/>
          <w:szCs w:val="32"/>
        </w:rPr>
        <w:t>全部用于</w:t>
      </w:r>
      <w:r>
        <w:rPr>
          <w:rFonts w:ascii="Times New Roman" w:hAnsi="Times New Roman" w:eastAsia="方正仿宋_GBK"/>
          <w:b/>
          <w:bCs/>
          <w:color w:val="auto"/>
          <w:sz w:val="32"/>
          <w:szCs w:val="32"/>
        </w:rPr>
        <w:t>灾害防治及应急管理（类）支出</w:t>
      </w:r>
      <w:r>
        <w:rPr>
          <w:rFonts w:hint="eastAsia" w:ascii="Times New Roman" w:hAnsi="Times New Roman" w:eastAsia="方正仿宋_GBK"/>
          <w:color w:val="auto"/>
          <w:sz w:val="32"/>
          <w:szCs w:val="32"/>
        </w:rPr>
        <w:t>，</w:t>
      </w:r>
      <w:r>
        <w:rPr>
          <w:rFonts w:hint="eastAsia" w:ascii="Times New Roman" w:hAnsi="Times New Roman" w:eastAsia="方正仿宋_GBK"/>
          <w:color w:val="auto"/>
          <w:sz w:val="32"/>
          <w:szCs w:val="32"/>
          <w:lang w:val="en-US" w:eastAsia="zh-CN"/>
        </w:rPr>
        <w:t>决算数小于年初预算数的主要原因是2023年伙食费项目经费未使用完。</w:t>
      </w:r>
    </w:p>
    <w:p>
      <w:pPr>
        <w:widowControl/>
        <w:spacing w:line="540" w:lineRule="exact"/>
        <w:ind w:left="638" w:leftChars="304"/>
        <w:jc w:val="left"/>
        <w:rPr>
          <w:rFonts w:ascii="Times New Roman" w:hAnsi="Times New Roman" w:eastAsia="方正黑体_GBK"/>
          <w:sz w:val="32"/>
          <w:szCs w:val="32"/>
        </w:rPr>
      </w:pPr>
      <w:r>
        <w:rPr>
          <w:rFonts w:ascii="Times New Roman" w:hAnsi="Times New Roman" w:eastAsia="方正黑体_GBK"/>
          <w:sz w:val="32"/>
          <w:szCs w:val="32"/>
        </w:rPr>
        <w:t>六、一般公共预算财政拨款基本支出决算情况说明</w:t>
      </w:r>
    </w:p>
    <w:p>
      <w:pPr>
        <w:widowControl/>
        <w:spacing w:line="540" w:lineRule="exact"/>
        <w:ind w:firstLine="640" w:firstLineChars="200"/>
        <w:jc w:val="left"/>
        <w:rPr>
          <w:rFonts w:ascii="Times New Roman" w:hAnsi="Times New Roman" w:eastAsia="方正仿宋_GBK"/>
          <w:color w:val="000000"/>
          <w:kern w:val="0"/>
          <w:sz w:val="32"/>
          <w:szCs w:val="32"/>
        </w:rPr>
      </w:pPr>
      <w:r>
        <w:rPr>
          <w:rFonts w:ascii="Times New Roman" w:hAnsi="Times New Roman" w:eastAsia="方正仿宋_GBK"/>
          <w:color w:val="000000"/>
          <w:kern w:val="0"/>
          <w:sz w:val="32"/>
          <w:szCs w:val="32"/>
        </w:rPr>
        <w:t>202</w:t>
      </w:r>
      <w:r>
        <w:rPr>
          <w:rFonts w:hint="eastAsia" w:ascii="Times New Roman" w:hAnsi="Times New Roman" w:eastAsia="方正仿宋_GBK"/>
          <w:color w:val="000000"/>
          <w:kern w:val="0"/>
          <w:sz w:val="32"/>
          <w:szCs w:val="32"/>
          <w:lang w:val="en-US" w:eastAsia="zh-CN"/>
        </w:rPr>
        <w:t>3</w:t>
      </w:r>
      <w:r>
        <w:rPr>
          <w:rFonts w:ascii="Times New Roman" w:hAnsi="Times New Roman" w:eastAsia="方正仿宋_GBK"/>
          <w:color w:val="000000"/>
          <w:kern w:val="0"/>
          <w:sz w:val="32"/>
          <w:szCs w:val="32"/>
        </w:rPr>
        <w:t>年度财政拨款基本支出</w:t>
      </w:r>
      <w:r>
        <w:rPr>
          <w:rFonts w:hint="eastAsia" w:ascii="Times New Roman" w:hAnsi="Times New Roman" w:eastAsia="方正仿宋_GBK"/>
          <w:color w:val="000000"/>
          <w:kern w:val="0"/>
          <w:sz w:val="32"/>
          <w:szCs w:val="32"/>
          <w:lang w:val="en-US" w:eastAsia="zh-CN"/>
        </w:rPr>
        <w:t>12.6</w:t>
      </w:r>
      <w:r>
        <w:rPr>
          <w:rFonts w:ascii="Times New Roman" w:hAnsi="Times New Roman" w:eastAsia="方正仿宋_GBK"/>
          <w:color w:val="000000"/>
          <w:kern w:val="0"/>
          <w:sz w:val="32"/>
          <w:szCs w:val="32"/>
        </w:rPr>
        <w:t>万元，其中：公用经费</w:t>
      </w:r>
      <w:r>
        <w:rPr>
          <w:rFonts w:hint="eastAsia" w:ascii="Times New Roman" w:hAnsi="Times New Roman" w:eastAsia="方正仿宋_GBK"/>
          <w:color w:val="000000"/>
          <w:kern w:val="0"/>
          <w:sz w:val="32"/>
          <w:szCs w:val="32"/>
          <w:lang w:val="en-US" w:eastAsia="zh-CN"/>
        </w:rPr>
        <w:t>12.6</w:t>
      </w:r>
      <w:r>
        <w:rPr>
          <w:rFonts w:ascii="Times New Roman" w:hAnsi="Times New Roman" w:eastAsia="方正仿宋_GBK"/>
          <w:color w:val="000000"/>
          <w:kern w:val="0"/>
          <w:sz w:val="32"/>
          <w:szCs w:val="32"/>
        </w:rPr>
        <w:t>万元，主要</w:t>
      </w:r>
      <w:r>
        <w:rPr>
          <w:rFonts w:hint="eastAsia" w:ascii="Times New Roman" w:hAnsi="Times New Roman" w:eastAsia="方正仿宋_GBK"/>
          <w:color w:val="000000"/>
          <w:kern w:val="0"/>
          <w:sz w:val="32"/>
          <w:szCs w:val="32"/>
          <w:lang w:val="en-US" w:eastAsia="zh-CN"/>
        </w:rPr>
        <w:t>是</w:t>
      </w:r>
      <w:r>
        <w:rPr>
          <w:rFonts w:hint="eastAsia" w:ascii="Times New Roman" w:hAnsi="Times New Roman" w:eastAsia="方正仿宋_GBK"/>
          <w:color w:val="000000"/>
          <w:kern w:val="0"/>
          <w:sz w:val="32"/>
          <w:szCs w:val="32"/>
        </w:rPr>
        <w:t>其他商品和服务支出</w:t>
      </w:r>
      <w:r>
        <w:rPr>
          <w:rFonts w:ascii="Times New Roman" w:hAnsi="Times New Roman" w:eastAsia="方正仿宋_GBK"/>
          <w:color w:val="000000"/>
          <w:kern w:val="0"/>
          <w:sz w:val="32"/>
          <w:szCs w:val="32"/>
        </w:rPr>
        <w:t>。</w:t>
      </w:r>
    </w:p>
    <w:p>
      <w:pPr>
        <w:spacing w:line="540" w:lineRule="exact"/>
        <w:ind w:firstLine="640" w:firstLineChars="200"/>
        <w:jc w:val="left"/>
        <w:rPr>
          <w:rFonts w:ascii="Times New Roman" w:hAnsi="Times New Roman" w:eastAsia="方正黑体_GBK"/>
          <w:sz w:val="32"/>
          <w:szCs w:val="32"/>
        </w:rPr>
      </w:pPr>
      <w:r>
        <w:rPr>
          <w:rFonts w:hint="eastAsia" w:ascii="Times New Roman" w:hAnsi="Times New Roman" w:eastAsia="方正黑体_GBK"/>
          <w:sz w:val="32"/>
          <w:szCs w:val="32"/>
        </w:rPr>
        <w:t>七、</w:t>
      </w:r>
      <w:r>
        <w:rPr>
          <w:rFonts w:ascii="Times New Roman" w:hAnsi="Times New Roman" w:eastAsia="方正黑体_GBK"/>
          <w:sz w:val="32"/>
          <w:szCs w:val="32"/>
        </w:rPr>
        <w:t>一般公共预算财政拨款“三公”经费支出决算情况说明</w:t>
      </w:r>
    </w:p>
    <w:p>
      <w:pPr>
        <w:widowControl/>
        <w:spacing w:line="540" w:lineRule="exact"/>
        <w:ind w:firstLine="642" w:firstLineChars="200"/>
        <w:jc w:val="left"/>
        <w:rPr>
          <w:rFonts w:ascii="Times New Roman" w:hAnsi="Times New Roman" w:eastAsia="方正楷体_GBK"/>
          <w:sz w:val="32"/>
          <w:szCs w:val="32"/>
        </w:rPr>
      </w:pPr>
      <w:r>
        <w:rPr>
          <w:rFonts w:ascii="Times New Roman" w:hAnsi="Times New Roman" w:eastAsia="方正楷体_GBK"/>
          <w:b/>
          <w:color w:val="000000"/>
          <w:kern w:val="0"/>
          <w:sz w:val="32"/>
          <w:szCs w:val="32"/>
        </w:rPr>
        <w:t>（一）“三公”经费财政拨款支出决算总体情况说明</w:t>
      </w:r>
    </w:p>
    <w:p>
      <w:pPr>
        <w:widowControl/>
        <w:spacing w:line="540" w:lineRule="exact"/>
        <w:ind w:firstLine="640" w:firstLineChars="200"/>
        <w:jc w:val="left"/>
        <w:rPr>
          <w:rFonts w:ascii="Times New Roman" w:hAnsi="Times New Roman" w:eastAsia="方正仿宋_GBK"/>
          <w:kern w:val="0"/>
          <w:sz w:val="32"/>
          <w:szCs w:val="32"/>
        </w:rPr>
      </w:pPr>
      <w:r>
        <w:rPr>
          <w:rFonts w:ascii="Times New Roman" w:hAnsi="Times New Roman" w:eastAsia="方正仿宋_GBK"/>
          <w:kern w:val="0"/>
          <w:sz w:val="32"/>
          <w:szCs w:val="32"/>
        </w:rPr>
        <w:t>202</w:t>
      </w:r>
      <w:r>
        <w:rPr>
          <w:rFonts w:hint="eastAsia" w:ascii="Times New Roman" w:hAnsi="Times New Roman" w:eastAsia="方正仿宋_GBK"/>
          <w:kern w:val="0"/>
          <w:sz w:val="32"/>
          <w:szCs w:val="32"/>
          <w:lang w:val="en-US" w:eastAsia="zh-CN"/>
        </w:rPr>
        <w:t>3</w:t>
      </w:r>
      <w:r>
        <w:rPr>
          <w:rFonts w:ascii="Times New Roman" w:hAnsi="Times New Roman" w:eastAsia="方正仿宋_GBK"/>
          <w:kern w:val="0"/>
          <w:sz w:val="32"/>
          <w:szCs w:val="32"/>
        </w:rPr>
        <w:t>年度“三公”经费财政拨款支出预算为</w:t>
      </w:r>
      <w:r>
        <w:rPr>
          <w:rFonts w:hint="eastAsia" w:ascii="Times New Roman" w:hAnsi="Times New Roman" w:eastAsia="方正仿宋_GBK"/>
          <w:kern w:val="0"/>
          <w:sz w:val="32"/>
          <w:szCs w:val="32"/>
        </w:rPr>
        <w:t>0</w:t>
      </w:r>
      <w:r>
        <w:rPr>
          <w:rFonts w:ascii="Times New Roman" w:hAnsi="Times New Roman" w:eastAsia="方正仿宋_GBK"/>
          <w:kern w:val="0"/>
          <w:sz w:val="32"/>
          <w:szCs w:val="32"/>
        </w:rPr>
        <w:t>万元，支出决算为</w:t>
      </w:r>
      <w:r>
        <w:rPr>
          <w:rFonts w:hint="eastAsia" w:ascii="Times New Roman" w:hAnsi="Times New Roman" w:eastAsia="方正仿宋_GBK"/>
          <w:kern w:val="0"/>
          <w:sz w:val="32"/>
          <w:szCs w:val="32"/>
        </w:rPr>
        <w:t>0</w:t>
      </w:r>
      <w:r>
        <w:rPr>
          <w:rFonts w:ascii="Times New Roman" w:hAnsi="Times New Roman" w:eastAsia="方正仿宋_GBK"/>
          <w:kern w:val="0"/>
          <w:sz w:val="32"/>
          <w:szCs w:val="32"/>
        </w:rPr>
        <w:t>万元</w:t>
      </w:r>
      <w:r>
        <w:rPr>
          <w:rFonts w:hint="eastAsia" w:ascii="Times New Roman" w:hAnsi="Times New Roman" w:eastAsia="方正仿宋_GBK"/>
          <w:kern w:val="0"/>
          <w:sz w:val="32"/>
          <w:szCs w:val="32"/>
        </w:rPr>
        <w:t>。</w:t>
      </w:r>
    </w:p>
    <w:p>
      <w:pPr>
        <w:widowControl/>
        <w:spacing w:line="540" w:lineRule="exact"/>
        <w:ind w:firstLine="642" w:firstLineChars="200"/>
        <w:jc w:val="left"/>
        <w:rPr>
          <w:rFonts w:ascii="Times New Roman" w:hAnsi="Times New Roman"/>
          <w:sz w:val="32"/>
          <w:szCs w:val="32"/>
        </w:rPr>
      </w:pPr>
      <w:r>
        <w:rPr>
          <w:rFonts w:ascii="Times New Roman" w:hAnsi="Times New Roman" w:eastAsia="方正楷体_GBK"/>
          <w:b/>
          <w:kern w:val="0"/>
          <w:sz w:val="32"/>
          <w:szCs w:val="32"/>
        </w:rPr>
        <w:t>（二）“三公”经费财政拨款支出决算具体情况说明</w:t>
      </w:r>
      <w:r>
        <w:rPr>
          <w:rFonts w:ascii="Times New Roman" w:hAnsi="Times New Roman" w:eastAsia="楷体_GB2312"/>
          <w:b/>
          <w:kern w:val="0"/>
          <w:sz w:val="32"/>
          <w:szCs w:val="32"/>
        </w:rPr>
        <w:t xml:space="preserve"> </w:t>
      </w:r>
    </w:p>
    <w:p>
      <w:pPr>
        <w:widowControl/>
        <w:spacing w:line="540" w:lineRule="exact"/>
        <w:ind w:firstLine="642" w:firstLineChars="200"/>
        <w:jc w:val="left"/>
        <w:rPr>
          <w:rFonts w:ascii="Times New Roman" w:hAnsi="Times New Roman" w:eastAsia="方正仿宋_GBK"/>
          <w:kern w:val="0"/>
          <w:sz w:val="32"/>
          <w:szCs w:val="32"/>
        </w:rPr>
      </w:pPr>
      <w:r>
        <w:rPr>
          <w:rFonts w:ascii="Times New Roman" w:hAnsi="Times New Roman" w:eastAsia="方正仿宋_GBK"/>
          <w:b/>
          <w:bCs/>
          <w:kern w:val="0"/>
          <w:sz w:val="32"/>
          <w:szCs w:val="32"/>
        </w:rPr>
        <w:t>1.因公出国（境）费</w:t>
      </w:r>
      <w:r>
        <w:rPr>
          <w:rFonts w:ascii="Times New Roman" w:hAnsi="Times New Roman" w:eastAsia="方正仿宋_GBK"/>
          <w:kern w:val="0"/>
          <w:sz w:val="32"/>
          <w:szCs w:val="32"/>
        </w:rPr>
        <w:t>预算为0万元，支出决算</w:t>
      </w:r>
      <w:r>
        <w:rPr>
          <w:rFonts w:hint="eastAsia" w:ascii="Times New Roman" w:hAnsi="Times New Roman" w:eastAsia="方正仿宋_GBK"/>
          <w:kern w:val="0"/>
          <w:sz w:val="32"/>
          <w:szCs w:val="32"/>
        </w:rPr>
        <w:t>0</w:t>
      </w:r>
      <w:r>
        <w:rPr>
          <w:rFonts w:ascii="Times New Roman" w:hAnsi="Times New Roman" w:eastAsia="方正仿宋_GBK"/>
          <w:kern w:val="0"/>
          <w:sz w:val="32"/>
          <w:szCs w:val="32"/>
        </w:rPr>
        <w:t>万元。</w:t>
      </w:r>
    </w:p>
    <w:p>
      <w:pPr>
        <w:widowControl/>
        <w:spacing w:line="540" w:lineRule="exact"/>
        <w:ind w:firstLine="642" w:firstLineChars="200"/>
        <w:jc w:val="left"/>
        <w:rPr>
          <w:rFonts w:ascii="Times New Roman" w:hAnsi="Times New Roman" w:eastAsia="方正仿宋_GBK"/>
          <w:color w:val="FF0000"/>
          <w:kern w:val="0"/>
          <w:sz w:val="32"/>
          <w:szCs w:val="32"/>
        </w:rPr>
      </w:pPr>
      <w:r>
        <w:rPr>
          <w:rFonts w:ascii="Times New Roman" w:hAnsi="Times New Roman" w:eastAsia="方正仿宋_GBK"/>
          <w:b/>
          <w:bCs/>
          <w:kern w:val="0"/>
          <w:sz w:val="32"/>
          <w:szCs w:val="32"/>
        </w:rPr>
        <w:t>2.公务用车购置及运行费</w:t>
      </w:r>
      <w:r>
        <w:rPr>
          <w:rFonts w:ascii="Times New Roman" w:hAnsi="Times New Roman" w:eastAsia="方正仿宋_GBK"/>
          <w:kern w:val="0"/>
          <w:sz w:val="32"/>
          <w:szCs w:val="32"/>
        </w:rPr>
        <w:t>预算为</w:t>
      </w:r>
      <w:r>
        <w:rPr>
          <w:rFonts w:hint="eastAsia" w:ascii="Times New Roman" w:hAnsi="Times New Roman" w:eastAsia="方正仿宋_GBK"/>
          <w:kern w:val="0"/>
          <w:sz w:val="32"/>
          <w:szCs w:val="32"/>
        </w:rPr>
        <w:t>0</w:t>
      </w:r>
      <w:r>
        <w:rPr>
          <w:rFonts w:ascii="Times New Roman" w:hAnsi="Times New Roman" w:eastAsia="方正仿宋_GBK"/>
          <w:kern w:val="0"/>
          <w:sz w:val="32"/>
          <w:szCs w:val="32"/>
        </w:rPr>
        <w:t>万元，支出决算为</w:t>
      </w:r>
      <w:r>
        <w:rPr>
          <w:rFonts w:hint="eastAsia" w:ascii="Times New Roman" w:hAnsi="Times New Roman" w:eastAsia="方正仿宋_GBK"/>
          <w:kern w:val="0"/>
          <w:sz w:val="32"/>
          <w:szCs w:val="32"/>
        </w:rPr>
        <w:t>0万元</w:t>
      </w:r>
      <w:r>
        <w:rPr>
          <w:rFonts w:ascii="Times New Roman" w:hAnsi="Times New Roman" w:eastAsia="方正仿宋_GBK"/>
          <w:kern w:val="0"/>
          <w:sz w:val="32"/>
          <w:szCs w:val="32"/>
        </w:rPr>
        <w:t>。</w:t>
      </w:r>
    </w:p>
    <w:p>
      <w:pPr>
        <w:widowControl/>
        <w:spacing w:line="540" w:lineRule="exact"/>
        <w:ind w:firstLine="642" w:firstLineChars="200"/>
        <w:jc w:val="left"/>
        <w:rPr>
          <w:rFonts w:ascii="Times New Roman" w:hAnsi="Times New Roman" w:eastAsia="方正仿宋_GBK"/>
          <w:color w:val="FF0000"/>
          <w:kern w:val="0"/>
          <w:sz w:val="32"/>
          <w:szCs w:val="32"/>
        </w:rPr>
      </w:pPr>
      <w:r>
        <w:rPr>
          <w:rFonts w:ascii="Times New Roman" w:hAnsi="Times New Roman" w:eastAsia="方正仿宋_GBK"/>
          <w:b/>
          <w:kern w:val="0"/>
          <w:sz w:val="32"/>
          <w:szCs w:val="32"/>
        </w:rPr>
        <w:t>3.</w:t>
      </w:r>
      <w:r>
        <w:rPr>
          <w:rFonts w:ascii="Times New Roman" w:hAnsi="Times New Roman" w:eastAsia="方正仿宋_GBK"/>
          <w:b/>
          <w:bCs/>
          <w:kern w:val="0"/>
          <w:sz w:val="32"/>
          <w:szCs w:val="32"/>
        </w:rPr>
        <w:t>公务接待费</w:t>
      </w:r>
      <w:r>
        <w:rPr>
          <w:rFonts w:ascii="Times New Roman" w:hAnsi="Times New Roman" w:eastAsia="方正仿宋_GBK"/>
          <w:kern w:val="0"/>
          <w:sz w:val="32"/>
          <w:szCs w:val="32"/>
        </w:rPr>
        <w:t>预算为</w:t>
      </w:r>
      <w:r>
        <w:rPr>
          <w:rFonts w:hint="eastAsia" w:ascii="Times New Roman" w:hAnsi="Times New Roman" w:eastAsia="方正仿宋_GBK"/>
          <w:kern w:val="0"/>
          <w:sz w:val="32"/>
          <w:szCs w:val="32"/>
        </w:rPr>
        <w:t>0</w:t>
      </w:r>
      <w:r>
        <w:rPr>
          <w:rFonts w:ascii="Times New Roman" w:hAnsi="Times New Roman" w:eastAsia="方正仿宋_GBK"/>
          <w:kern w:val="0"/>
          <w:sz w:val="32"/>
          <w:szCs w:val="32"/>
        </w:rPr>
        <w:t>万元，支出决算为</w:t>
      </w:r>
      <w:r>
        <w:rPr>
          <w:rFonts w:hint="eastAsia" w:ascii="Times New Roman" w:hAnsi="Times New Roman" w:eastAsia="方正仿宋_GBK"/>
          <w:kern w:val="0"/>
          <w:sz w:val="32"/>
          <w:szCs w:val="32"/>
        </w:rPr>
        <w:t>0</w:t>
      </w:r>
      <w:r>
        <w:rPr>
          <w:rFonts w:ascii="Times New Roman" w:hAnsi="Times New Roman" w:eastAsia="方正仿宋_GBK"/>
          <w:kern w:val="0"/>
          <w:sz w:val="32"/>
          <w:szCs w:val="32"/>
        </w:rPr>
        <w:t>万元。</w:t>
      </w:r>
    </w:p>
    <w:p>
      <w:pPr>
        <w:widowControl/>
        <w:spacing w:line="540" w:lineRule="exact"/>
        <w:ind w:firstLine="640" w:firstLineChars="200"/>
        <w:jc w:val="left"/>
        <w:rPr>
          <w:rFonts w:ascii="Times New Roman" w:hAnsi="Times New Roman" w:eastAsia="方正楷体_GBK"/>
          <w:sz w:val="32"/>
          <w:szCs w:val="32"/>
        </w:rPr>
      </w:pPr>
      <w:r>
        <w:rPr>
          <w:rFonts w:ascii="Times New Roman" w:hAnsi="Times New Roman" w:eastAsia="方正黑体_GBK"/>
          <w:color w:val="000000"/>
          <w:kern w:val="0"/>
          <w:sz w:val="32"/>
          <w:szCs w:val="32"/>
        </w:rPr>
        <w:t xml:space="preserve">八、机关运行经费支出说明 </w:t>
      </w:r>
    </w:p>
    <w:p>
      <w:pPr>
        <w:widowControl/>
        <w:spacing w:line="540" w:lineRule="exact"/>
        <w:ind w:firstLine="640" w:firstLineChars="200"/>
        <w:jc w:val="left"/>
        <w:rPr>
          <w:rFonts w:hint="eastAsia" w:ascii="Times New Roman" w:hAnsi="Times New Roman" w:eastAsia="方正仿宋_GBK"/>
          <w:color w:val="000000"/>
          <w:kern w:val="0"/>
          <w:sz w:val="32"/>
          <w:szCs w:val="32"/>
          <w:highlight w:val="yellow"/>
          <w:lang w:val="en-US" w:eastAsia="zh-CN"/>
        </w:rPr>
      </w:pPr>
      <w:r>
        <w:rPr>
          <w:rFonts w:hint="eastAsia" w:ascii="Times New Roman" w:hAnsi="Times New Roman" w:eastAsia="方正仿宋_GBK"/>
          <w:color w:val="000000"/>
          <w:kern w:val="0"/>
          <w:sz w:val="32"/>
          <w:szCs w:val="32"/>
        </w:rPr>
        <w:t>益阳市南县消防救援大队</w:t>
      </w:r>
      <w:r>
        <w:rPr>
          <w:rFonts w:ascii="Times New Roman" w:hAnsi="Times New Roman" w:eastAsia="方正仿宋_GBK"/>
          <w:color w:val="000000"/>
          <w:kern w:val="0"/>
          <w:sz w:val="32"/>
          <w:szCs w:val="32"/>
        </w:rPr>
        <w:t>202</w:t>
      </w:r>
      <w:r>
        <w:rPr>
          <w:rFonts w:hint="eastAsia" w:ascii="Times New Roman" w:hAnsi="Times New Roman" w:eastAsia="方正仿宋_GBK"/>
          <w:color w:val="000000"/>
          <w:kern w:val="0"/>
          <w:sz w:val="32"/>
          <w:szCs w:val="32"/>
          <w:lang w:val="en-US" w:eastAsia="zh-CN"/>
        </w:rPr>
        <w:t>3</w:t>
      </w:r>
      <w:r>
        <w:rPr>
          <w:rFonts w:ascii="Times New Roman" w:hAnsi="Times New Roman" w:eastAsia="方正仿宋_GBK"/>
          <w:color w:val="000000"/>
          <w:kern w:val="0"/>
          <w:sz w:val="32"/>
          <w:szCs w:val="32"/>
        </w:rPr>
        <w:t>年度机关运行经费</w:t>
      </w:r>
      <w:r>
        <w:rPr>
          <w:rFonts w:hint="eastAsia" w:ascii="Times New Roman" w:hAnsi="Times New Roman" w:eastAsia="方正仿宋_GBK"/>
          <w:color w:val="000000"/>
          <w:kern w:val="0"/>
          <w:sz w:val="32"/>
          <w:szCs w:val="32"/>
        </w:rPr>
        <w:t>支出</w:t>
      </w:r>
      <w:r>
        <w:rPr>
          <w:rFonts w:hint="eastAsia" w:ascii="Times New Roman" w:hAnsi="Times New Roman" w:eastAsia="方正仿宋_GBK"/>
          <w:color w:val="000000"/>
          <w:kern w:val="0"/>
          <w:sz w:val="32"/>
          <w:szCs w:val="32"/>
          <w:lang w:val="en-US" w:eastAsia="zh-CN"/>
        </w:rPr>
        <w:t>12.6</w:t>
      </w:r>
      <w:r>
        <w:rPr>
          <w:rFonts w:ascii="Times New Roman" w:hAnsi="Times New Roman" w:eastAsia="方正仿宋_GBK"/>
          <w:color w:val="000000"/>
          <w:kern w:val="0"/>
          <w:sz w:val="32"/>
          <w:szCs w:val="32"/>
        </w:rPr>
        <w:t>万元，比202</w:t>
      </w:r>
      <w:r>
        <w:rPr>
          <w:rFonts w:hint="eastAsia" w:ascii="Times New Roman" w:hAnsi="Times New Roman" w:eastAsia="方正仿宋_GBK"/>
          <w:color w:val="000000"/>
          <w:kern w:val="0"/>
          <w:sz w:val="32"/>
          <w:szCs w:val="32"/>
          <w:lang w:val="en-US" w:eastAsia="zh-CN"/>
        </w:rPr>
        <w:t>2</w:t>
      </w:r>
      <w:r>
        <w:rPr>
          <w:rFonts w:ascii="Times New Roman" w:hAnsi="Times New Roman" w:eastAsia="方正仿宋_GBK"/>
          <w:color w:val="000000"/>
          <w:kern w:val="0"/>
          <w:sz w:val="32"/>
          <w:szCs w:val="32"/>
        </w:rPr>
        <w:t>年</w:t>
      </w:r>
      <w:r>
        <w:rPr>
          <w:rFonts w:hint="eastAsia" w:ascii="Times New Roman" w:hAnsi="Times New Roman" w:eastAsia="方正仿宋_GBK"/>
          <w:color w:val="000000"/>
          <w:kern w:val="0"/>
          <w:sz w:val="32"/>
          <w:szCs w:val="32"/>
          <w:lang w:val="en-US" w:eastAsia="zh-CN"/>
        </w:rPr>
        <w:t>减少4.98</w:t>
      </w:r>
      <w:r>
        <w:rPr>
          <w:rFonts w:ascii="Times New Roman" w:hAnsi="Times New Roman" w:eastAsia="方正仿宋_GBK"/>
          <w:color w:val="000000"/>
          <w:kern w:val="0"/>
          <w:sz w:val="32"/>
          <w:szCs w:val="32"/>
        </w:rPr>
        <w:t>万元。</w:t>
      </w:r>
      <w:r>
        <w:rPr>
          <w:rFonts w:ascii="Times New Roman" w:hAnsi="Times New Roman" w:eastAsia="方正仿宋_GBK"/>
          <w:color w:val="000000"/>
          <w:kern w:val="0"/>
          <w:sz w:val="32"/>
          <w:szCs w:val="32"/>
          <w:highlight w:val="none"/>
        </w:rPr>
        <w:t>主要原因是</w:t>
      </w:r>
      <w:r>
        <w:rPr>
          <w:rFonts w:hint="eastAsia" w:ascii="Times New Roman" w:hAnsi="Times New Roman" w:eastAsia="方正仿宋_GBK"/>
          <w:color w:val="000000"/>
          <w:kern w:val="0"/>
          <w:sz w:val="32"/>
          <w:szCs w:val="32"/>
          <w:highlight w:val="none"/>
          <w:lang w:eastAsia="zh-CN"/>
        </w:rPr>
        <w:t>批复预算减少。</w:t>
      </w:r>
    </w:p>
    <w:p>
      <w:pPr>
        <w:widowControl/>
        <w:spacing w:line="540" w:lineRule="exact"/>
        <w:ind w:firstLine="640" w:firstLineChars="200"/>
        <w:jc w:val="left"/>
        <w:rPr>
          <w:rFonts w:ascii="Times New Roman" w:hAnsi="Times New Roman" w:eastAsia="方正黑体_GBK"/>
          <w:bCs/>
          <w:color w:val="000000"/>
          <w:kern w:val="0"/>
          <w:sz w:val="32"/>
          <w:szCs w:val="32"/>
        </w:rPr>
      </w:pPr>
      <w:r>
        <w:rPr>
          <w:rFonts w:hint="eastAsia" w:ascii="Times New Roman" w:hAnsi="Times New Roman" w:eastAsia="方正黑体_GBK"/>
          <w:bCs/>
          <w:color w:val="000000"/>
          <w:kern w:val="0"/>
          <w:sz w:val="32"/>
          <w:szCs w:val="32"/>
        </w:rPr>
        <w:t>九、政府采购支出</w:t>
      </w:r>
      <w:r>
        <w:rPr>
          <w:rFonts w:hint="eastAsia" w:ascii="Times New Roman" w:hAnsi="Times New Roman" w:eastAsia="方正黑体_GBK"/>
          <w:bCs/>
          <w:color w:val="000000"/>
          <w:kern w:val="0"/>
          <w:sz w:val="32"/>
          <w:szCs w:val="32"/>
          <w:lang w:val="en-US" w:eastAsia="zh-CN"/>
        </w:rPr>
        <w:t>情况</w:t>
      </w:r>
      <w:r>
        <w:rPr>
          <w:rFonts w:hint="eastAsia" w:ascii="Times New Roman" w:hAnsi="Times New Roman" w:eastAsia="方正黑体_GBK"/>
          <w:bCs/>
          <w:color w:val="000000"/>
          <w:kern w:val="0"/>
          <w:sz w:val="32"/>
          <w:szCs w:val="32"/>
        </w:rPr>
        <w:t>说明</w:t>
      </w:r>
    </w:p>
    <w:p>
      <w:pPr>
        <w:pStyle w:val="2"/>
        <w:spacing w:line="540" w:lineRule="exact"/>
        <w:ind w:firstLine="640"/>
        <w:rPr>
          <w:rFonts w:hint="eastAsia" w:ascii="Times New Roman" w:hAnsi="Times New Roman" w:eastAsia="方正仿宋_GBK"/>
          <w:color w:val="000000"/>
          <w:kern w:val="0"/>
          <w:sz w:val="32"/>
          <w:szCs w:val="32"/>
          <w:lang w:val="en-US" w:eastAsia="zh-CN"/>
        </w:rPr>
      </w:pPr>
      <w:r>
        <w:rPr>
          <w:rFonts w:hint="eastAsia" w:ascii="Times New Roman" w:hAnsi="Times New Roman" w:eastAsia="方正仿宋_GBK"/>
          <w:color w:val="000000"/>
          <w:kern w:val="0"/>
          <w:sz w:val="32"/>
          <w:szCs w:val="32"/>
        </w:rPr>
        <w:t>益阳市南县消防救援大队</w:t>
      </w:r>
      <w:r>
        <w:rPr>
          <w:rFonts w:ascii="Times New Roman" w:hAnsi="Times New Roman" w:eastAsia="方正仿宋_GBK"/>
          <w:color w:val="000000"/>
          <w:kern w:val="0"/>
          <w:sz w:val="32"/>
          <w:szCs w:val="32"/>
        </w:rPr>
        <w:t>202</w:t>
      </w:r>
      <w:r>
        <w:rPr>
          <w:rFonts w:hint="eastAsia" w:ascii="Times New Roman" w:hAnsi="Times New Roman" w:eastAsia="方正仿宋_GBK"/>
          <w:color w:val="000000"/>
          <w:kern w:val="0"/>
          <w:sz w:val="32"/>
          <w:szCs w:val="32"/>
          <w:lang w:val="en-US" w:eastAsia="zh-CN"/>
        </w:rPr>
        <w:t>3</w:t>
      </w:r>
      <w:r>
        <w:rPr>
          <w:rFonts w:ascii="Times New Roman" w:hAnsi="Times New Roman" w:eastAsia="方正仿宋_GBK"/>
          <w:color w:val="000000"/>
          <w:kern w:val="0"/>
          <w:sz w:val="32"/>
          <w:szCs w:val="32"/>
        </w:rPr>
        <w:t>年度政府采购支出总额</w:t>
      </w:r>
      <w:r>
        <w:rPr>
          <w:rFonts w:hint="eastAsia" w:ascii="Times New Roman" w:hAnsi="Times New Roman" w:eastAsia="方正仿宋_GBK"/>
          <w:color w:val="000000"/>
          <w:kern w:val="0"/>
          <w:sz w:val="32"/>
          <w:szCs w:val="32"/>
          <w:lang w:val="en-US" w:eastAsia="zh-CN"/>
        </w:rPr>
        <w:t>115</w:t>
      </w:r>
      <w:r>
        <w:rPr>
          <w:rFonts w:ascii="Times New Roman" w:hAnsi="Times New Roman" w:eastAsia="方正仿宋_GBK"/>
          <w:color w:val="000000"/>
          <w:kern w:val="0"/>
          <w:sz w:val="32"/>
          <w:szCs w:val="32"/>
        </w:rPr>
        <w:t>万元</w:t>
      </w:r>
      <w:r>
        <w:rPr>
          <w:rFonts w:hint="eastAsia" w:ascii="Times New Roman" w:hAnsi="Times New Roman" w:eastAsia="方正仿宋_GBK"/>
          <w:color w:val="000000"/>
          <w:kern w:val="0"/>
          <w:sz w:val="32"/>
          <w:szCs w:val="32"/>
          <w:lang w:eastAsia="zh-CN"/>
        </w:rPr>
        <w:t>。</w:t>
      </w:r>
      <w:r>
        <w:rPr>
          <w:rFonts w:hint="eastAsia" w:ascii="Times New Roman" w:hAnsi="Times New Roman" w:eastAsia="方正仿宋_GBK"/>
          <w:color w:val="000000"/>
          <w:kern w:val="0"/>
          <w:sz w:val="32"/>
          <w:szCs w:val="32"/>
        </w:rPr>
        <w:t xml:space="preserve">其中：政府采购货物支出 </w:t>
      </w:r>
      <w:r>
        <w:rPr>
          <w:rFonts w:hint="eastAsia" w:ascii="Times New Roman" w:hAnsi="Times New Roman" w:eastAsia="方正仿宋_GBK"/>
          <w:color w:val="000000"/>
          <w:kern w:val="0"/>
          <w:sz w:val="32"/>
          <w:szCs w:val="32"/>
          <w:lang w:val="en-US" w:eastAsia="zh-CN"/>
        </w:rPr>
        <w:t>115</w:t>
      </w:r>
      <w:r>
        <w:rPr>
          <w:rFonts w:hint="eastAsia" w:ascii="Times New Roman" w:hAnsi="Times New Roman" w:eastAsia="方正仿宋_GBK"/>
          <w:color w:val="000000"/>
          <w:kern w:val="0"/>
          <w:sz w:val="32"/>
          <w:szCs w:val="32"/>
        </w:rPr>
        <w:t xml:space="preserve"> 万元</w:t>
      </w:r>
      <w:r>
        <w:rPr>
          <w:rFonts w:hint="eastAsia" w:ascii="Times New Roman" w:hAnsi="Times New Roman" w:eastAsia="方正仿宋_GBK"/>
          <w:color w:val="000000"/>
          <w:kern w:val="0"/>
          <w:sz w:val="32"/>
          <w:szCs w:val="32"/>
          <w:lang w:eastAsia="zh-CN"/>
        </w:rPr>
        <w:t>。</w:t>
      </w:r>
    </w:p>
    <w:p>
      <w:pPr>
        <w:widowControl/>
        <w:spacing w:line="540" w:lineRule="exact"/>
        <w:ind w:firstLine="640" w:firstLineChars="200"/>
        <w:jc w:val="left"/>
        <w:rPr>
          <w:rFonts w:ascii="Times New Roman" w:hAnsi="Times New Roman"/>
          <w:bCs/>
          <w:sz w:val="32"/>
          <w:szCs w:val="32"/>
        </w:rPr>
      </w:pPr>
      <w:r>
        <w:rPr>
          <w:rFonts w:hint="eastAsia" w:ascii="Times New Roman" w:hAnsi="Times New Roman" w:eastAsia="方正黑体_GBK"/>
          <w:bCs/>
          <w:color w:val="000000"/>
          <w:kern w:val="0"/>
          <w:sz w:val="32"/>
          <w:szCs w:val="32"/>
        </w:rPr>
        <w:t>十</w:t>
      </w:r>
      <w:r>
        <w:rPr>
          <w:rFonts w:ascii="Times New Roman" w:hAnsi="Times New Roman" w:eastAsia="方正黑体_GBK"/>
          <w:bCs/>
          <w:color w:val="000000"/>
          <w:kern w:val="0"/>
          <w:sz w:val="32"/>
          <w:szCs w:val="32"/>
        </w:rPr>
        <w:t>、国有资产占用情况说明</w:t>
      </w:r>
    </w:p>
    <w:p>
      <w:pPr>
        <w:widowControl/>
        <w:spacing w:line="540" w:lineRule="exact"/>
        <w:ind w:firstLine="640" w:firstLineChars="200"/>
        <w:jc w:val="left"/>
        <w:rPr>
          <w:rFonts w:ascii="Times New Roman" w:hAnsi="Times New Roman" w:eastAsia="方正仿宋_GBK"/>
          <w:kern w:val="0"/>
          <w:sz w:val="32"/>
          <w:szCs w:val="32"/>
        </w:rPr>
      </w:pPr>
      <w:r>
        <w:rPr>
          <w:rFonts w:ascii="Times New Roman" w:hAnsi="Times New Roman" w:eastAsia="方正仿宋_GBK"/>
          <w:color w:val="000000"/>
          <w:kern w:val="0"/>
          <w:sz w:val="32"/>
          <w:szCs w:val="32"/>
        </w:rPr>
        <w:t>截至202</w:t>
      </w:r>
      <w:r>
        <w:rPr>
          <w:rFonts w:hint="eastAsia" w:ascii="Times New Roman" w:hAnsi="Times New Roman" w:eastAsia="方正仿宋_GBK"/>
          <w:color w:val="000000"/>
          <w:kern w:val="0"/>
          <w:sz w:val="32"/>
          <w:szCs w:val="32"/>
          <w:lang w:val="en-US" w:eastAsia="zh-CN"/>
        </w:rPr>
        <w:t>3</w:t>
      </w:r>
      <w:r>
        <w:rPr>
          <w:rFonts w:ascii="Times New Roman" w:hAnsi="Times New Roman" w:eastAsia="方正仿宋_GBK"/>
          <w:color w:val="000000"/>
          <w:kern w:val="0"/>
          <w:sz w:val="32"/>
          <w:szCs w:val="32"/>
        </w:rPr>
        <w:t>年12月31日，</w:t>
      </w:r>
      <w:r>
        <w:rPr>
          <w:rFonts w:hint="eastAsia" w:ascii="Times New Roman" w:hAnsi="Times New Roman" w:eastAsia="方正仿宋_GBK"/>
          <w:color w:val="000000"/>
          <w:kern w:val="0"/>
          <w:sz w:val="32"/>
          <w:szCs w:val="32"/>
        </w:rPr>
        <w:t>益阳市南县消防救援大队</w:t>
      </w:r>
      <w:r>
        <w:rPr>
          <w:rFonts w:ascii="Times New Roman" w:hAnsi="Times New Roman" w:eastAsia="方正仿宋_GBK"/>
          <w:color w:val="000000"/>
          <w:kern w:val="0"/>
          <w:sz w:val="32"/>
          <w:szCs w:val="32"/>
        </w:rPr>
        <w:t>共有车辆</w:t>
      </w:r>
      <w:r>
        <w:rPr>
          <w:rFonts w:hint="eastAsia" w:ascii="Times New Roman" w:hAnsi="Times New Roman" w:eastAsia="方正仿宋_GBK"/>
          <w:color w:val="000000"/>
          <w:kern w:val="0"/>
          <w:sz w:val="32"/>
          <w:szCs w:val="32"/>
          <w:lang w:val="en-US" w:eastAsia="zh-CN"/>
        </w:rPr>
        <w:t>11</w:t>
      </w:r>
      <w:r>
        <w:rPr>
          <w:rFonts w:ascii="Times New Roman" w:hAnsi="Times New Roman" w:eastAsia="方正仿宋_GBK"/>
          <w:color w:val="000000"/>
          <w:kern w:val="0"/>
          <w:sz w:val="32"/>
          <w:szCs w:val="32"/>
        </w:rPr>
        <w:t>辆，其中：机要通信用车</w:t>
      </w:r>
      <w:r>
        <w:rPr>
          <w:rFonts w:hint="eastAsia" w:ascii="Times New Roman" w:hAnsi="Times New Roman" w:eastAsia="方正仿宋_GBK"/>
          <w:color w:val="000000"/>
          <w:kern w:val="0"/>
          <w:sz w:val="32"/>
          <w:szCs w:val="32"/>
        </w:rPr>
        <w:t>0</w:t>
      </w:r>
      <w:r>
        <w:rPr>
          <w:rFonts w:ascii="Times New Roman" w:hAnsi="Times New Roman" w:eastAsia="方正仿宋_GBK"/>
          <w:color w:val="000000"/>
          <w:kern w:val="0"/>
          <w:sz w:val="32"/>
          <w:szCs w:val="32"/>
        </w:rPr>
        <w:t>辆、应急保障用车</w:t>
      </w:r>
      <w:r>
        <w:rPr>
          <w:rFonts w:hint="eastAsia" w:ascii="Times New Roman" w:hAnsi="Times New Roman" w:eastAsia="方正仿宋_GBK"/>
          <w:color w:val="000000"/>
          <w:kern w:val="0"/>
          <w:sz w:val="32"/>
          <w:szCs w:val="32"/>
        </w:rPr>
        <w:t>0</w:t>
      </w:r>
      <w:r>
        <w:rPr>
          <w:rFonts w:ascii="Times New Roman" w:hAnsi="Times New Roman" w:eastAsia="方正仿宋_GBK"/>
          <w:color w:val="000000"/>
          <w:kern w:val="0"/>
          <w:sz w:val="32"/>
          <w:szCs w:val="32"/>
        </w:rPr>
        <w:t>辆、执法执勤用车</w:t>
      </w:r>
      <w:r>
        <w:rPr>
          <w:rFonts w:hint="eastAsia" w:ascii="Times New Roman" w:hAnsi="Times New Roman" w:eastAsia="方正仿宋_GBK"/>
          <w:color w:val="000000"/>
          <w:kern w:val="0"/>
          <w:sz w:val="32"/>
          <w:szCs w:val="32"/>
        </w:rPr>
        <w:t>0</w:t>
      </w:r>
      <w:r>
        <w:rPr>
          <w:rFonts w:ascii="Times New Roman" w:hAnsi="Times New Roman" w:eastAsia="方正仿宋_GBK"/>
          <w:color w:val="000000"/>
          <w:kern w:val="0"/>
          <w:sz w:val="32"/>
          <w:szCs w:val="32"/>
        </w:rPr>
        <w:t>辆、特种专业技术用车</w:t>
      </w:r>
      <w:r>
        <w:rPr>
          <w:rFonts w:hint="eastAsia" w:ascii="Times New Roman" w:hAnsi="Times New Roman" w:eastAsia="方正仿宋_GBK"/>
          <w:color w:val="000000"/>
          <w:kern w:val="0"/>
          <w:sz w:val="32"/>
          <w:szCs w:val="32"/>
          <w:lang w:val="en-US" w:eastAsia="zh-CN"/>
        </w:rPr>
        <w:t>10</w:t>
      </w:r>
      <w:r>
        <w:rPr>
          <w:rFonts w:ascii="Times New Roman" w:hAnsi="Times New Roman" w:eastAsia="方正仿宋_GBK"/>
          <w:color w:val="000000"/>
          <w:kern w:val="0"/>
          <w:sz w:val="32"/>
          <w:szCs w:val="32"/>
        </w:rPr>
        <w:t>辆</w:t>
      </w:r>
      <w:r>
        <w:rPr>
          <w:rFonts w:hint="eastAsia" w:ascii="Times New Roman" w:hAnsi="Times New Roman" w:eastAsia="方正仿宋_GBK"/>
          <w:color w:val="000000"/>
          <w:kern w:val="0"/>
          <w:sz w:val="32"/>
          <w:szCs w:val="32"/>
        </w:rPr>
        <w:t>、</w:t>
      </w:r>
      <w:r>
        <w:rPr>
          <w:rFonts w:ascii="Times New Roman" w:hAnsi="Times New Roman" w:eastAsia="方正仿宋_GBK"/>
          <w:color w:val="000000"/>
          <w:kern w:val="0"/>
          <w:sz w:val="32"/>
          <w:szCs w:val="32"/>
        </w:rPr>
        <w:t>其他用车</w:t>
      </w:r>
      <w:r>
        <w:rPr>
          <w:rFonts w:hint="eastAsia" w:ascii="Times New Roman" w:hAnsi="Times New Roman" w:eastAsia="方正仿宋_GBK"/>
          <w:color w:val="000000"/>
          <w:kern w:val="0"/>
          <w:sz w:val="32"/>
          <w:szCs w:val="32"/>
          <w:lang w:val="en-US" w:eastAsia="zh-CN"/>
        </w:rPr>
        <w:t>1</w:t>
      </w:r>
      <w:r>
        <w:rPr>
          <w:rFonts w:ascii="Times New Roman" w:hAnsi="Times New Roman" w:eastAsia="方正仿宋_GBK"/>
          <w:color w:val="000000"/>
          <w:kern w:val="0"/>
          <w:sz w:val="32"/>
          <w:szCs w:val="32"/>
        </w:rPr>
        <w:t>辆，其他用车主要是消防救援业务用车；单价50万元以上通用设备</w:t>
      </w:r>
      <w:r>
        <w:rPr>
          <w:rFonts w:hint="eastAsia" w:ascii="Times New Roman" w:hAnsi="Times New Roman" w:eastAsia="方正仿宋_GBK"/>
          <w:color w:val="000000"/>
          <w:kern w:val="0"/>
          <w:sz w:val="32"/>
          <w:szCs w:val="32"/>
        </w:rPr>
        <w:t>0</w:t>
      </w:r>
      <w:r>
        <w:rPr>
          <w:rFonts w:ascii="Times New Roman" w:hAnsi="Times New Roman" w:eastAsia="方正仿宋_GBK"/>
          <w:color w:val="000000"/>
          <w:kern w:val="0"/>
          <w:sz w:val="32"/>
          <w:szCs w:val="32"/>
        </w:rPr>
        <w:t>台</w:t>
      </w:r>
      <w:r>
        <w:rPr>
          <w:rFonts w:ascii="Times New Roman" w:hAnsi="Times New Roman" w:eastAsia="方正仿宋_GBK"/>
          <w:kern w:val="0"/>
          <w:sz w:val="32"/>
          <w:szCs w:val="32"/>
        </w:rPr>
        <w:t>（套）</w:t>
      </w:r>
      <w:r>
        <w:rPr>
          <w:rFonts w:hint="eastAsia" w:ascii="Times New Roman" w:hAnsi="Times New Roman" w:eastAsia="方正仿宋_GBK"/>
          <w:kern w:val="0"/>
          <w:sz w:val="32"/>
          <w:szCs w:val="32"/>
        </w:rPr>
        <w:t>，单价100万元以上专用设备0台（套）。</w:t>
      </w:r>
    </w:p>
    <w:p>
      <w:pPr>
        <w:widowControl/>
        <w:spacing w:line="540" w:lineRule="exact"/>
        <w:ind w:firstLine="640" w:firstLineChars="200"/>
        <w:jc w:val="left"/>
        <w:rPr>
          <w:rFonts w:ascii="Times New Roman" w:hAnsi="Times New Roman" w:eastAsia="方正黑体_GBK"/>
          <w:sz w:val="32"/>
          <w:szCs w:val="32"/>
        </w:rPr>
      </w:pPr>
      <w:r>
        <w:rPr>
          <w:rFonts w:hint="eastAsia" w:ascii="Times New Roman" w:hAnsi="Times New Roman" w:eastAsia="方正黑体_GBK"/>
          <w:bCs/>
          <w:color w:val="000000"/>
          <w:kern w:val="0"/>
          <w:sz w:val="32"/>
          <w:szCs w:val="32"/>
        </w:rPr>
        <w:t>十一</w:t>
      </w:r>
      <w:r>
        <w:rPr>
          <w:rFonts w:ascii="Times New Roman" w:hAnsi="Times New Roman" w:eastAsia="方正黑体_GBK"/>
          <w:bCs/>
          <w:color w:val="000000"/>
          <w:kern w:val="0"/>
          <w:sz w:val="32"/>
          <w:szCs w:val="32"/>
        </w:rPr>
        <w:t xml:space="preserve">、预算绩效情况说明 </w:t>
      </w:r>
    </w:p>
    <w:p>
      <w:pPr>
        <w:widowControl/>
        <w:spacing w:line="540" w:lineRule="exact"/>
        <w:ind w:firstLine="642" w:firstLineChars="200"/>
        <w:jc w:val="left"/>
        <w:rPr>
          <w:rFonts w:ascii="Times New Roman" w:hAnsi="Times New Roman" w:eastAsia="方正楷体_GBK"/>
          <w:color w:val="000000"/>
          <w:sz w:val="32"/>
          <w:szCs w:val="32"/>
        </w:rPr>
      </w:pPr>
      <w:r>
        <w:rPr>
          <w:rFonts w:ascii="Times New Roman" w:hAnsi="Times New Roman" w:eastAsia="方正楷体_GBK"/>
          <w:b/>
          <w:color w:val="000000"/>
          <w:kern w:val="0"/>
          <w:sz w:val="32"/>
          <w:szCs w:val="32"/>
        </w:rPr>
        <w:t>（一）预算绩效管理工作开展情况</w:t>
      </w:r>
    </w:p>
    <w:p>
      <w:pPr>
        <w:spacing w:line="540" w:lineRule="exact"/>
        <w:ind w:firstLine="645"/>
        <w:jc w:val="left"/>
        <w:rPr>
          <w:rFonts w:ascii="Times New Roman" w:hAnsi="Times New Roman" w:eastAsia="方正仿宋_GBK"/>
          <w:kern w:val="0"/>
          <w:sz w:val="32"/>
          <w:szCs w:val="32"/>
        </w:rPr>
      </w:pPr>
      <w:r>
        <w:rPr>
          <w:rFonts w:ascii="Times New Roman" w:hAnsi="Times New Roman" w:eastAsia="方正仿宋_GBK"/>
          <w:color w:val="000000"/>
          <w:kern w:val="0"/>
          <w:sz w:val="32"/>
          <w:szCs w:val="32"/>
        </w:rPr>
        <w:t>根据预算绩效管理要求，我</w:t>
      </w:r>
      <w:r>
        <w:rPr>
          <w:rFonts w:hint="eastAsia" w:ascii="Times New Roman" w:hAnsi="Times New Roman" w:eastAsia="方正仿宋_GBK"/>
          <w:color w:val="000000"/>
          <w:kern w:val="0"/>
          <w:sz w:val="32"/>
          <w:szCs w:val="32"/>
        </w:rPr>
        <w:t>支队</w:t>
      </w:r>
      <w:r>
        <w:rPr>
          <w:rFonts w:ascii="Times New Roman" w:hAnsi="Times New Roman" w:eastAsia="方正仿宋_GBK"/>
          <w:color w:val="000000"/>
          <w:kern w:val="0"/>
          <w:sz w:val="32"/>
          <w:szCs w:val="32"/>
        </w:rPr>
        <w:t>组织对202</w:t>
      </w:r>
      <w:r>
        <w:rPr>
          <w:rFonts w:hint="eastAsia" w:ascii="Times New Roman" w:hAnsi="Times New Roman" w:eastAsia="方正仿宋_GBK"/>
          <w:color w:val="000000"/>
          <w:kern w:val="0"/>
          <w:sz w:val="32"/>
          <w:szCs w:val="32"/>
          <w:lang w:val="en-US" w:eastAsia="zh-CN"/>
        </w:rPr>
        <w:t>3</w:t>
      </w:r>
      <w:r>
        <w:rPr>
          <w:rFonts w:ascii="Times New Roman" w:hAnsi="Times New Roman" w:eastAsia="方正仿宋_GBK"/>
          <w:color w:val="000000"/>
          <w:kern w:val="0"/>
          <w:sz w:val="32"/>
          <w:szCs w:val="32"/>
        </w:rPr>
        <w:t>年度一般公共预算项目支出开展绩效自评，其中，一级项目</w:t>
      </w:r>
      <w:r>
        <w:rPr>
          <w:rFonts w:hint="eastAsia" w:ascii="Times New Roman" w:hAnsi="Times New Roman" w:eastAsia="方正仿宋_GBK"/>
          <w:color w:val="000000"/>
          <w:kern w:val="0"/>
          <w:sz w:val="32"/>
          <w:szCs w:val="32"/>
          <w:lang w:val="en-US" w:eastAsia="zh-CN"/>
        </w:rPr>
        <w:t>0</w:t>
      </w:r>
      <w:r>
        <w:rPr>
          <w:rFonts w:ascii="Times New Roman" w:hAnsi="Times New Roman" w:eastAsia="方正仿宋_GBK"/>
          <w:color w:val="000000"/>
          <w:kern w:val="0"/>
          <w:sz w:val="32"/>
          <w:szCs w:val="32"/>
        </w:rPr>
        <w:t>个，二级项目</w:t>
      </w:r>
      <w:r>
        <w:rPr>
          <w:rFonts w:hint="eastAsia" w:ascii="Times New Roman" w:hAnsi="Times New Roman" w:eastAsia="方正仿宋_GBK"/>
          <w:color w:val="000000"/>
          <w:kern w:val="0"/>
          <w:sz w:val="32"/>
          <w:szCs w:val="32"/>
          <w:lang w:val="en-US" w:eastAsia="zh-CN"/>
        </w:rPr>
        <w:t>2</w:t>
      </w:r>
      <w:r>
        <w:rPr>
          <w:rFonts w:ascii="Times New Roman" w:hAnsi="Times New Roman" w:eastAsia="方正仿宋_GBK"/>
          <w:color w:val="000000"/>
          <w:kern w:val="0"/>
          <w:sz w:val="32"/>
          <w:szCs w:val="32"/>
        </w:rPr>
        <w:t>个，共涉及资金</w:t>
      </w:r>
      <w:r>
        <w:rPr>
          <w:rFonts w:hint="eastAsia" w:ascii="Times New Roman" w:hAnsi="Times New Roman" w:eastAsia="方正仿宋_GBK"/>
          <w:color w:val="000000"/>
          <w:kern w:val="0"/>
          <w:sz w:val="32"/>
          <w:szCs w:val="32"/>
          <w:lang w:val="en-US" w:eastAsia="zh-CN"/>
        </w:rPr>
        <w:t>667.05</w:t>
      </w:r>
      <w:r>
        <w:rPr>
          <w:rFonts w:ascii="Times New Roman" w:hAnsi="Times New Roman" w:eastAsia="方正仿宋_GBK"/>
          <w:color w:val="000000"/>
          <w:kern w:val="0"/>
          <w:sz w:val="32"/>
          <w:szCs w:val="32"/>
        </w:rPr>
        <w:t>万元</w:t>
      </w:r>
      <w:r>
        <w:rPr>
          <w:rFonts w:ascii="Times New Roman" w:hAnsi="Times New Roman" w:eastAsia="方正仿宋_GBK"/>
          <w:kern w:val="0"/>
          <w:sz w:val="32"/>
          <w:szCs w:val="32"/>
        </w:rPr>
        <w:t>，占一般公共预算项目支出总额的100%。</w:t>
      </w:r>
    </w:p>
    <w:p>
      <w:pPr>
        <w:spacing w:line="540" w:lineRule="exact"/>
        <w:ind w:firstLine="642" w:firstLineChars="200"/>
        <w:rPr>
          <w:rFonts w:ascii="Times New Roman" w:hAnsi="Times New Roman" w:eastAsia="方正仿宋_GBK"/>
          <w:b/>
          <w:kern w:val="0"/>
          <w:sz w:val="32"/>
          <w:szCs w:val="32"/>
        </w:rPr>
      </w:pPr>
      <w:r>
        <w:rPr>
          <w:rFonts w:hint="eastAsia" w:ascii="Times New Roman" w:hAnsi="Times New Roman" w:eastAsia="方正楷体_GBK"/>
          <w:b/>
          <w:kern w:val="0"/>
          <w:sz w:val="32"/>
          <w:szCs w:val="32"/>
        </w:rPr>
        <w:t>（</w:t>
      </w:r>
      <w:r>
        <w:rPr>
          <w:rFonts w:ascii="Times New Roman" w:hAnsi="Times New Roman" w:eastAsia="方正楷体_GBK"/>
          <w:b/>
          <w:kern w:val="0"/>
          <w:sz w:val="32"/>
          <w:szCs w:val="32"/>
        </w:rPr>
        <w:t>二）部门决算中项目绩效自评结果</w:t>
      </w:r>
    </w:p>
    <w:p>
      <w:pPr>
        <w:pStyle w:val="2"/>
        <w:ind w:firstLine="643"/>
        <w:rPr>
          <w:rFonts w:ascii="Times New Roman" w:hAnsi="Times New Roman" w:eastAsia="方正仿宋_GBK"/>
          <w:color w:val="auto"/>
          <w:sz w:val="32"/>
          <w:szCs w:val="32"/>
        </w:rPr>
      </w:pPr>
      <w:r>
        <w:rPr>
          <w:rFonts w:ascii="Times New Roman" w:hAnsi="Times New Roman" w:eastAsia="方正仿宋_GBK"/>
          <w:b/>
          <w:bCs/>
          <w:color w:val="auto"/>
          <w:sz w:val="32"/>
          <w:szCs w:val="32"/>
        </w:rPr>
        <w:t>1</w:t>
      </w:r>
      <w:r>
        <w:rPr>
          <w:rFonts w:hint="eastAsia" w:ascii="Times New Roman" w:hAnsi="Times New Roman" w:eastAsia="方正仿宋_GBK"/>
          <w:b/>
          <w:bCs/>
          <w:color w:val="auto"/>
          <w:sz w:val="32"/>
          <w:szCs w:val="32"/>
          <w:lang w:eastAsia="zh-CN"/>
        </w:rPr>
        <w:t>.</w:t>
      </w:r>
      <w:r>
        <w:rPr>
          <w:rFonts w:ascii="Times New Roman" w:hAnsi="Times New Roman" w:eastAsia="方正仿宋_GBK"/>
          <w:color w:val="auto"/>
          <w:sz w:val="32"/>
          <w:szCs w:val="32"/>
        </w:rPr>
        <w:t>服装护具及伙食补助项目绩效自评综述：根据年初设定的绩效目标，项目自评得分在90分以上，评价等级为“优”。项目全年预算数</w:t>
      </w:r>
      <w:r>
        <w:rPr>
          <w:rFonts w:hint="eastAsia" w:ascii="Times New Roman" w:hAnsi="Times New Roman" w:eastAsia="方正仿宋_GBK"/>
          <w:color w:val="auto"/>
          <w:sz w:val="32"/>
          <w:szCs w:val="32"/>
          <w:lang w:val="en-US" w:eastAsia="zh-CN"/>
        </w:rPr>
        <w:t>42.74</w:t>
      </w:r>
      <w:r>
        <w:rPr>
          <w:rFonts w:ascii="Times New Roman" w:hAnsi="Times New Roman" w:eastAsia="方正仿宋_GBK"/>
          <w:color w:val="auto"/>
          <w:sz w:val="32"/>
          <w:szCs w:val="32"/>
        </w:rPr>
        <w:t>万元，执行数为</w:t>
      </w:r>
      <w:r>
        <w:rPr>
          <w:rFonts w:hint="eastAsia" w:ascii="Times New Roman" w:hAnsi="Times New Roman" w:eastAsia="方正仿宋_GBK"/>
          <w:color w:val="auto"/>
          <w:sz w:val="32"/>
          <w:szCs w:val="32"/>
          <w:lang w:val="en-US" w:eastAsia="zh-CN"/>
        </w:rPr>
        <w:t>42.3</w:t>
      </w:r>
      <w:r>
        <w:rPr>
          <w:rFonts w:ascii="Times New Roman" w:hAnsi="Times New Roman" w:eastAsia="方正仿宋_GBK"/>
          <w:color w:val="auto"/>
          <w:sz w:val="32"/>
          <w:szCs w:val="32"/>
        </w:rPr>
        <w:t>万元，完成预算的</w:t>
      </w:r>
      <w:r>
        <w:rPr>
          <w:rFonts w:hint="eastAsia" w:ascii="Times New Roman" w:hAnsi="Times New Roman" w:eastAsia="方正仿宋_GBK"/>
          <w:color w:val="auto"/>
          <w:sz w:val="32"/>
          <w:szCs w:val="32"/>
          <w:lang w:val="en-US" w:eastAsia="zh-CN"/>
        </w:rPr>
        <w:t>98.97</w:t>
      </w:r>
      <w:r>
        <w:rPr>
          <w:rFonts w:ascii="Times New Roman" w:hAnsi="Times New Roman" w:eastAsia="方正楷体_GBK"/>
          <w:color w:val="auto"/>
          <w:sz w:val="32"/>
          <w:szCs w:val="32"/>
        </w:rPr>
        <w:t>%</w:t>
      </w:r>
      <w:r>
        <w:rPr>
          <w:rFonts w:ascii="Times New Roman" w:hAnsi="Times New Roman" w:eastAsia="方正仿宋_GBK"/>
          <w:color w:val="auto"/>
          <w:sz w:val="32"/>
          <w:szCs w:val="32"/>
        </w:rPr>
        <w:t>。</w:t>
      </w:r>
      <w:r>
        <w:rPr>
          <w:rFonts w:ascii="Times New Roman" w:hAnsi="Times New Roman" w:eastAsia="方正仿宋_GBK"/>
          <w:b/>
          <w:color w:val="auto"/>
          <w:sz w:val="32"/>
          <w:szCs w:val="32"/>
        </w:rPr>
        <w:t>项目绩效目标完成情况：</w:t>
      </w:r>
      <w:r>
        <w:rPr>
          <w:rFonts w:ascii="Times New Roman" w:hAnsi="Times New Roman" w:eastAsia="方正仿宋_GBK"/>
          <w:color w:val="auto"/>
          <w:sz w:val="32"/>
          <w:szCs w:val="32"/>
        </w:rPr>
        <w:t>按人员实力和伙食费补助标准，保障了消防救援人员</w:t>
      </w:r>
      <w:r>
        <w:rPr>
          <w:rFonts w:hint="eastAsia" w:ascii="Times New Roman" w:hAnsi="Times New Roman" w:eastAsia="方正仿宋_GBK"/>
          <w:color w:val="auto"/>
          <w:sz w:val="32"/>
          <w:szCs w:val="32"/>
        </w:rPr>
        <w:t>饮食</w:t>
      </w:r>
      <w:r>
        <w:rPr>
          <w:rFonts w:ascii="Times New Roman" w:hAnsi="Times New Roman" w:eastAsia="方正仿宋_GBK"/>
          <w:color w:val="auto"/>
          <w:sz w:val="32"/>
          <w:szCs w:val="32"/>
        </w:rPr>
        <w:t>需要。</w:t>
      </w:r>
    </w:p>
    <w:p>
      <w:pPr>
        <w:pStyle w:val="2"/>
        <w:ind w:firstLine="643"/>
        <w:rPr>
          <w:rFonts w:hint="eastAsia" w:ascii="Times New Roman" w:hAnsi="Times New Roman" w:eastAsia="方正仿宋_GBK"/>
          <w:color w:val="auto"/>
          <w:sz w:val="32"/>
          <w:szCs w:val="32"/>
          <w:lang w:val="en-US" w:eastAsia="zh-CN"/>
        </w:rPr>
      </w:pPr>
      <w:r>
        <w:rPr>
          <w:rFonts w:hint="eastAsia" w:ascii="Times New Roman" w:hAnsi="Times New Roman" w:eastAsia="方正仿宋_GBK"/>
          <w:b/>
          <w:bCs/>
          <w:color w:val="auto"/>
          <w:sz w:val="32"/>
          <w:szCs w:val="32"/>
          <w:lang w:val="en-US" w:eastAsia="zh-CN"/>
        </w:rPr>
        <w:t>2.</w:t>
      </w:r>
      <w:r>
        <w:rPr>
          <w:rFonts w:hint="eastAsia" w:ascii="Times New Roman" w:hAnsi="Times New Roman" w:eastAsia="方正仿宋_GBK"/>
          <w:color w:val="auto"/>
          <w:sz w:val="32"/>
          <w:szCs w:val="32"/>
          <w:lang w:val="en-US" w:eastAsia="zh-CN"/>
        </w:rPr>
        <w:t>非财项目绩效自评综述：</w:t>
      </w:r>
      <w:r>
        <w:rPr>
          <w:rFonts w:ascii="Times New Roman" w:hAnsi="Times New Roman" w:eastAsia="方正仿宋_GBK"/>
          <w:color w:val="auto"/>
          <w:sz w:val="32"/>
          <w:szCs w:val="32"/>
        </w:rPr>
        <w:t>根据年初设定的绩效目标，项目自评得分在90分以上，评价等级为“优”。</w:t>
      </w:r>
      <w:r>
        <w:rPr>
          <w:rFonts w:hint="eastAsia" w:ascii="Times New Roman" w:hAnsi="Times New Roman" w:eastAsia="方正仿宋_GBK"/>
          <w:color w:val="auto"/>
          <w:sz w:val="32"/>
          <w:szCs w:val="32"/>
          <w:lang w:eastAsia="zh-CN"/>
        </w:rPr>
        <w:t>项目全年预算数</w:t>
      </w:r>
      <w:r>
        <w:rPr>
          <w:rFonts w:hint="eastAsia" w:ascii="Times New Roman" w:hAnsi="Times New Roman" w:eastAsia="方正仿宋_GBK"/>
          <w:color w:val="auto"/>
          <w:sz w:val="32"/>
          <w:szCs w:val="32"/>
          <w:lang w:val="en-US" w:eastAsia="zh-CN"/>
        </w:rPr>
        <w:t>642.5万元，执行数624.75万元，完成预算的97.23%。</w:t>
      </w:r>
      <w:r>
        <w:rPr>
          <w:rFonts w:hint="eastAsia" w:ascii="Times New Roman" w:hAnsi="Times New Roman" w:eastAsia="方正仿宋_GBK"/>
          <w:b/>
          <w:bCs/>
          <w:color w:val="auto"/>
          <w:sz w:val="32"/>
          <w:szCs w:val="32"/>
          <w:lang w:val="en-US" w:eastAsia="zh-CN"/>
        </w:rPr>
        <w:t>项目绩效目标完成情况：</w:t>
      </w:r>
      <w:r>
        <w:rPr>
          <w:rFonts w:hint="eastAsia" w:ascii="Times New Roman" w:hAnsi="Times New Roman" w:eastAsia="方正仿宋_GBK"/>
          <w:color w:val="auto"/>
          <w:sz w:val="32"/>
          <w:szCs w:val="32"/>
          <w:lang w:val="en-US" w:eastAsia="zh-CN"/>
        </w:rPr>
        <w:t>上缴装备储备金，及时支付消防车尾款。</w:t>
      </w:r>
    </w:p>
    <w:p>
      <w:pPr>
        <w:pStyle w:val="2"/>
        <w:ind w:firstLine="643"/>
        <w:rPr>
          <w:rFonts w:hint="eastAsia" w:ascii="Times New Roman" w:hAnsi="Times New Roman" w:eastAsia="方正楷体_GBK" w:cs="Times New Roman"/>
          <w:b/>
          <w:kern w:val="0"/>
          <w:sz w:val="32"/>
          <w:szCs w:val="32"/>
          <w:lang w:val="en-US" w:eastAsia="zh-CN" w:bidi="ar-SA"/>
        </w:rPr>
      </w:pPr>
      <w:r>
        <w:rPr>
          <w:rFonts w:hint="eastAsia" w:ascii="Times New Roman" w:hAnsi="Times New Roman" w:eastAsia="方正楷体_GBK" w:cs="Times New Roman"/>
          <w:b/>
          <w:kern w:val="0"/>
          <w:sz w:val="32"/>
          <w:szCs w:val="32"/>
          <w:lang w:val="en-US" w:eastAsia="zh-CN" w:bidi="ar-SA"/>
        </w:rPr>
        <w:t>（三）伙食补助费绩效自评表</w:t>
      </w:r>
    </w:p>
    <w:p>
      <w:pPr>
        <w:pStyle w:val="6"/>
      </w:pPr>
    </w:p>
    <w:p/>
    <w:p>
      <w:pPr>
        <w:pStyle w:val="2"/>
      </w:pPr>
    </w:p>
    <w:p>
      <w:pPr>
        <w:pStyle w:val="2"/>
      </w:pPr>
    </w:p>
    <w:p>
      <w:pPr>
        <w:pStyle w:val="2"/>
      </w:pPr>
    </w:p>
    <w:p>
      <w:pPr>
        <w:pStyle w:val="2"/>
      </w:pPr>
    </w:p>
    <w:tbl>
      <w:tblPr>
        <w:tblStyle w:val="14"/>
        <w:tblW w:w="89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6"/>
        <w:gridCol w:w="923"/>
        <w:gridCol w:w="1185"/>
        <w:gridCol w:w="431"/>
        <w:gridCol w:w="1264"/>
        <w:gridCol w:w="923"/>
        <w:gridCol w:w="1445"/>
        <w:gridCol w:w="531"/>
        <w:gridCol w:w="531"/>
        <w:gridCol w:w="624"/>
        <w:gridCol w:w="6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8940" w:type="dxa"/>
            <w:gridSpan w:val="11"/>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伙食补助费项目绩效自评表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jc w:val="center"/>
        </w:trPr>
        <w:tc>
          <w:tcPr>
            <w:tcW w:w="8940" w:type="dxa"/>
            <w:gridSpan w:val="11"/>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（2023年度）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 w:hRule="atLeast"/>
          <w:jc w:val="center"/>
        </w:trPr>
        <w:tc>
          <w:tcPr>
            <w:tcW w:w="416" w:type="dxa"/>
            <w:tcBorders>
              <w:top w:val="nil"/>
              <w:left w:val="nil"/>
              <w:bottom w:val="nil"/>
              <w:right w:val="nil"/>
            </w:tcBorders>
            <w:shd w:val="clear" w:color="auto" w:fill="auto"/>
            <w:noWrap/>
            <w:vAlign w:val="bottom"/>
          </w:tcPr>
          <w:p>
            <w:pPr>
              <w:rPr>
                <w:rFonts w:hint="eastAsia" w:ascii="Arial" w:hAnsi="Arial" w:cs="Arial"/>
                <w:i w:val="0"/>
                <w:color w:val="000000"/>
                <w:sz w:val="20"/>
                <w:szCs w:val="20"/>
                <w:u w:val="none"/>
              </w:rPr>
            </w:pPr>
          </w:p>
        </w:tc>
        <w:tc>
          <w:tcPr>
            <w:tcW w:w="923" w:type="dxa"/>
            <w:tcBorders>
              <w:top w:val="nil"/>
              <w:left w:val="nil"/>
              <w:bottom w:val="nil"/>
              <w:right w:val="nil"/>
            </w:tcBorders>
            <w:shd w:val="clear" w:color="auto" w:fill="auto"/>
            <w:noWrap/>
            <w:vAlign w:val="bottom"/>
          </w:tcPr>
          <w:p>
            <w:pPr>
              <w:rPr>
                <w:rFonts w:hint="default" w:ascii="Arial" w:hAnsi="Arial" w:cs="Arial"/>
                <w:i w:val="0"/>
                <w:color w:val="000000"/>
                <w:sz w:val="20"/>
                <w:szCs w:val="20"/>
                <w:u w:val="none"/>
              </w:rPr>
            </w:pPr>
          </w:p>
        </w:tc>
        <w:tc>
          <w:tcPr>
            <w:tcW w:w="1185" w:type="dxa"/>
            <w:tcBorders>
              <w:top w:val="nil"/>
              <w:left w:val="nil"/>
              <w:bottom w:val="nil"/>
              <w:right w:val="nil"/>
            </w:tcBorders>
            <w:shd w:val="clear" w:color="auto" w:fill="auto"/>
            <w:noWrap/>
            <w:vAlign w:val="bottom"/>
          </w:tcPr>
          <w:p>
            <w:pPr>
              <w:rPr>
                <w:rFonts w:hint="default" w:ascii="Arial" w:hAnsi="Arial" w:cs="Arial"/>
                <w:i w:val="0"/>
                <w:color w:val="000000"/>
                <w:sz w:val="20"/>
                <w:szCs w:val="20"/>
                <w:u w:val="none"/>
              </w:rPr>
            </w:pPr>
          </w:p>
        </w:tc>
        <w:tc>
          <w:tcPr>
            <w:tcW w:w="431" w:type="dxa"/>
            <w:tcBorders>
              <w:top w:val="nil"/>
              <w:left w:val="nil"/>
              <w:bottom w:val="nil"/>
              <w:right w:val="nil"/>
            </w:tcBorders>
            <w:shd w:val="clear" w:color="auto" w:fill="auto"/>
            <w:noWrap/>
            <w:vAlign w:val="bottom"/>
          </w:tcPr>
          <w:p>
            <w:pPr>
              <w:rPr>
                <w:rFonts w:hint="default" w:ascii="Arial" w:hAnsi="Arial" w:cs="Arial"/>
                <w:i w:val="0"/>
                <w:color w:val="000000"/>
                <w:sz w:val="20"/>
                <w:szCs w:val="20"/>
                <w:u w:val="none"/>
              </w:rPr>
            </w:pPr>
          </w:p>
        </w:tc>
        <w:tc>
          <w:tcPr>
            <w:tcW w:w="1264" w:type="dxa"/>
            <w:tcBorders>
              <w:top w:val="nil"/>
              <w:left w:val="nil"/>
              <w:bottom w:val="nil"/>
              <w:right w:val="nil"/>
            </w:tcBorders>
            <w:shd w:val="clear" w:color="auto" w:fill="auto"/>
            <w:noWrap/>
            <w:vAlign w:val="bottom"/>
          </w:tcPr>
          <w:p>
            <w:pPr>
              <w:rPr>
                <w:rFonts w:hint="default" w:ascii="Arial" w:hAnsi="Arial" w:cs="Arial"/>
                <w:i w:val="0"/>
                <w:color w:val="000000"/>
                <w:sz w:val="20"/>
                <w:szCs w:val="20"/>
                <w:u w:val="none"/>
              </w:rPr>
            </w:pPr>
          </w:p>
        </w:tc>
        <w:tc>
          <w:tcPr>
            <w:tcW w:w="923" w:type="dxa"/>
            <w:tcBorders>
              <w:top w:val="nil"/>
              <w:left w:val="nil"/>
              <w:bottom w:val="nil"/>
              <w:right w:val="nil"/>
            </w:tcBorders>
            <w:shd w:val="clear" w:color="auto" w:fill="auto"/>
            <w:noWrap/>
            <w:vAlign w:val="bottom"/>
          </w:tcPr>
          <w:p>
            <w:pPr>
              <w:rPr>
                <w:rFonts w:hint="default" w:ascii="Arial" w:hAnsi="Arial" w:cs="Arial"/>
                <w:i w:val="0"/>
                <w:color w:val="000000"/>
                <w:sz w:val="20"/>
                <w:szCs w:val="20"/>
                <w:u w:val="none"/>
              </w:rPr>
            </w:pPr>
          </w:p>
        </w:tc>
        <w:tc>
          <w:tcPr>
            <w:tcW w:w="1445" w:type="dxa"/>
            <w:tcBorders>
              <w:top w:val="nil"/>
              <w:left w:val="nil"/>
              <w:bottom w:val="nil"/>
              <w:right w:val="nil"/>
            </w:tcBorders>
            <w:shd w:val="clear" w:color="auto" w:fill="auto"/>
            <w:noWrap/>
            <w:vAlign w:val="bottom"/>
          </w:tcPr>
          <w:p>
            <w:pPr>
              <w:rPr>
                <w:rFonts w:hint="default" w:ascii="Arial" w:hAnsi="Arial" w:cs="Arial"/>
                <w:i w:val="0"/>
                <w:color w:val="000000"/>
                <w:sz w:val="20"/>
                <w:szCs w:val="20"/>
                <w:u w:val="none"/>
              </w:rPr>
            </w:pPr>
          </w:p>
        </w:tc>
        <w:tc>
          <w:tcPr>
            <w:tcW w:w="531" w:type="dxa"/>
            <w:tcBorders>
              <w:top w:val="nil"/>
              <w:left w:val="nil"/>
              <w:bottom w:val="nil"/>
              <w:right w:val="nil"/>
            </w:tcBorders>
            <w:shd w:val="clear" w:color="auto" w:fill="auto"/>
            <w:noWrap/>
            <w:vAlign w:val="bottom"/>
          </w:tcPr>
          <w:p>
            <w:pPr>
              <w:rPr>
                <w:rFonts w:hint="default" w:ascii="Arial" w:hAnsi="Arial" w:cs="Arial"/>
                <w:i w:val="0"/>
                <w:color w:val="000000"/>
                <w:sz w:val="20"/>
                <w:szCs w:val="20"/>
                <w:u w:val="none"/>
              </w:rPr>
            </w:pPr>
          </w:p>
        </w:tc>
        <w:tc>
          <w:tcPr>
            <w:tcW w:w="531" w:type="dxa"/>
            <w:tcBorders>
              <w:top w:val="nil"/>
              <w:left w:val="nil"/>
              <w:bottom w:val="nil"/>
              <w:right w:val="nil"/>
            </w:tcBorders>
            <w:shd w:val="clear" w:color="auto" w:fill="auto"/>
            <w:noWrap/>
            <w:vAlign w:val="bottom"/>
          </w:tcPr>
          <w:p>
            <w:pPr>
              <w:rPr>
                <w:rFonts w:hint="default" w:ascii="Arial" w:hAnsi="Arial" w:cs="Arial"/>
                <w:i w:val="0"/>
                <w:color w:val="000000"/>
                <w:sz w:val="20"/>
                <w:szCs w:val="20"/>
                <w:u w:val="none"/>
              </w:rPr>
            </w:pPr>
          </w:p>
        </w:tc>
        <w:tc>
          <w:tcPr>
            <w:tcW w:w="624" w:type="dxa"/>
            <w:tcBorders>
              <w:top w:val="nil"/>
              <w:left w:val="nil"/>
              <w:bottom w:val="nil"/>
              <w:right w:val="nil"/>
            </w:tcBorders>
            <w:shd w:val="clear" w:color="auto" w:fill="auto"/>
            <w:noWrap/>
            <w:vAlign w:val="bottom"/>
          </w:tcPr>
          <w:p>
            <w:pPr>
              <w:rPr>
                <w:rFonts w:hint="default" w:ascii="Arial" w:hAnsi="Arial" w:cs="Arial"/>
                <w:i w:val="0"/>
                <w:color w:val="000000"/>
                <w:sz w:val="20"/>
                <w:szCs w:val="20"/>
                <w:u w:val="none"/>
              </w:rPr>
            </w:pPr>
          </w:p>
        </w:tc>
        <w:tc>
          <w:tcPr>
            <w:tcW w:w="667" w:type="dxa"/>
            <w:tcBorders>
              <w:top w:val="nil"/>
              <w:left w:val="nil"/>
              <w:bottom w:val="nil"/>
              <w:right w:val="nil"/>
            </w:tcBorders>
            <w:shd w:val="clear" w:color="auto" w:fill="auto"/>
            <w:noWrap/>
            <w:vAlign w:val="bottom"/>
          </w:tcPr>
          <w:p>
            <w:pPr>
              <w:rPr>
                <w:rFonts w:hint="default" w:ascii="Arial" w:hAnsi="Arial" w:cs="Arial"/>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8" w:hRule="atLeast"/>
          <w:jc w:val="center"/>
        </w:trPr>
        <w:tc>
          <w:tcPr>
            <w:tcW w:w="13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项目名称</w:t>
            </w:r>
          </w:p>
        </w:tc>
        <w:tc>
          <w:tcPr>
            <w:tcW w:w="760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益阳支队南县大队伙食补助费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8" w:hRule="atLeast"/>
          <w:jc w:val="center"/>
        </w:trPr>
        <w:tc>
          <w:tcPr>
            <w:tcW w:w="13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主管部门</w:t>
            </w:r>
          </w:p>
        </w:tc>
        <w:tc>
          <w:tcPr>
            <w:tcW w:w="28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[225] 消防救援局</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实施单位</w:t>
            </w:r>
          </w:p>
        </w:tc>
        <w:tc>
          <w:tcPr>
            <w:tcW w:w="379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南县消防救援大队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jc w:val="center"/>
        </w:trPr>
        <w:tc>
          <w:tcPr>
            <w:tcW w:w="133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项目资金</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（万元）</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年初预算数</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全年预算数</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全年执行数</w:t>
            </w: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分值</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执行率</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8" w:hRule="atLeast"/>
          <w:jc w:val="center"/>
        </w:trPr>
        <w:tc>
          <w:tcPr>
            <w:tcW w:w="133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年度资金总额：</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42.74</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42.74</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42.30</w:t>
            </w: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99.0%</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jc w:val="center"/>
        </w:trPr>
        <w:tc>
          <w:tcPr>
            <w:tcW w:w="133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其中：财政拨款</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42.00</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42.00</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41.56</w:t>
            </w: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jc w:val="center"/>
        </w:trPr>
        <w:tc>
          <w:tcPr>
            <w:tcW w:w="133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1616"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上年结转</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0.74</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0.74</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0.74</w:t>
            </w: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jc w:val="center"/>
        </w:trPr>
        <w:tc>
          <w:tcPr>
            <w:tcW w:w="133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其他资金 </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0.00</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0.00</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0.00</w:t>
            </w: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8" w:hRule="atLeast"/>
          <w:jc w:val="center"/>
        </w:trPr>
        <w:tc>
          <w:tcPr>
            <w:tcW w:w="4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年</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度</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总</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体</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目</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标</w:t>
            </w:r>
          </w:p>
        </w:tc>
        <w:tc>
          <w:tcPr>
            <w:tcW w:w="472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预期目标</w:t>
            </w:r>
          </w:p>
        </w:tc>
        <w:tc>
          <w:tcPr>
            <w:tcW w:w="379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实际完成情况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9" w:hRule="atLeast"/>
          <w:jc w:val="center"/>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4726"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按照现行伙食费规定要求及保障标准，保障基层消防救援指战员每日伙食需要，厉行勤俭节约，科学调剂伙食，切实提升基层消防救援指战员的满足感、获得感。</w:t>
            </w:r>
          </w:p>
        </w:tc>
        <w:tc>
          <w:tcPr>
            <w:tcW w:w="3798"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预算执行率达到95%。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6" w:hRule="atLeast"/>
          <w:jc w:val="center"/>
        </w:trPr>
        <w:tc>
          <w:tcPr>
            <w:tcW w:w="4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绩</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效</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指</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标</w:t>
            </w:r>
          </w:p>
        </w:tc>
        <w:tc>
          <w:tcPr>
            <w:tcW w:w="923"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一级指标</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二级指标</w:t>
            </w:r>
          </w:p>
        </w:tc>
        <w:tc>
          <w:tcPr>
            <w:tcW w:w="16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三级指标</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年度指标值</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实际完成值</w:t>
            </w: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分值</w:t>
            </w: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得分</w:t>
            </w:r>
          </w:p>
        </w:tc>
        <w:tc>
          <w:tcPr>
            <w:tcW w:w="1291"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偏差原因分析及</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jc w:val="center"/>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923" w:type="dxa"/>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成本指标</w:t>
            </w:r>
          </w:p>
        </w:tc>
        <w:tc>
          <w:tcPr>
            <w:tcW w:w="118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经济成本指标</w:t>
            </w:r>
          </w:p>
        </w:tc>
        <w:tc>
          <w:tcPr>
            <w:tcW w:w="1695"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专款专用率</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≥95百分比</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100.0百分比</w:t>
            </w: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c>
          <w:tcPr>
            <w:tcW w:w="53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20.0</w:t>
            </w:r>
          </w:p>
        </w:tc>
        <w:tc>
          <w:tcPr>
            <w:tcW w:w="12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jc w:val="center"/>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923" w:type="dxa"/>
            <w:vMerge w:val="restart"/>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产出指标</w:t>
            </w:r>
          </w:p>
        </w:tc>
        <w:tc>
          <w:tcPr>
            <w:tcW w:w="118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质量指标</w:t>
            </w:r>
          </w:p>
        </w:tc>
        <w:tc>
          <w:tcPr>
            <w:tcW w:w="1695"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预算执行率</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≥95百分比</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100.0百分比</w:t>
            </w: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53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12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jc w:val="center"/>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923" w:type="dxa"/>
            <w:vMerge w:val="continue"/>
            <w:tcBorders>
              <w:top w:val="single" w:color="000000" w:sz="4" w:space="0"/>
              <w:left w:val="nil"/>
              <w:bottom w:val="nil"/>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118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1695"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食品安全率</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≥100百分比</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100.0百分比</w:t>
            </w: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c>
          <w:tcPr>
            <w:tcW w:w="53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18.0</w:t>
            </w:r>
          </w:p>
        </w:tc>
        <w:tc>
          <w:tcPr>
            <w:tcW w:w="12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jc w:val="center"/>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923" w:type="dxa"/>
            <w:tcBorders>
              <w:top w:val="single" w:color="000000" w:sz="4" w:space="0"/>
              <w:left w:val="nil"/>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效益指标</w:t>
            </w:r>
          </w:p>
        </w:tc>
        <w:tc>
          <w:tcPr>
            <w:tcW w:w="118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社会效益指标</w:t>
            </w:r>
          </w:p>
        </w:tc>
        <w:tc>
          <w:tcPr>
            <w:tcW w:w="1695" w:type="dxa"/>
            <w:gridSpan w:val="2"/>
            <w:tcBorders>
              <w:top w:val="single" w:color="000000" w:sz="4" w:space="0"/>
              <w:left w:val="single" w:color="000000" w:sz="4" w:space="0"/>
              <w:bottom w:val="single" w:color="auto"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保持消防员充沛体力，提升战斗力</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≥95百分比</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100.0百分比</w:t>
            </w: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t>
            </w:r>
          </w:p>
        </w:tc>
        <w:tc>
          <w:tcPr>
            <w:tcW w:w="53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30.0</w:t>
            </w:r>
          </w:p>
        </w:tc>
        <w:tc>
          <w:tcPr>
            <w:tcW w:w="12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 w:hRule="atLeast"/>
          <w:jc w:val="center"/>
        </w:trPr>
        <w:tc>
          <w:tcPr>
            <w:tcW w:w="416"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923"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满意度指标</w:t>
            </w:r>
          </w:p>
        </w:tc>
        <w:tc>
          <w:tcPr>
            <w:tcW w:w="118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服务对象</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满意度指标</w:t>
            </w:r>
          </w:p>
        </w:tc>
        <w:tc>
          <w:tcPr>
            <w:tcW w:w="1695"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消防员对伙食满意度</w:t>
            </w:r>
          </w:p>
        </w:tc>
        <w:tc>
          <w:tcPr>
            <w:tcW w:w="92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≥95百分比</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100.0百分比</w:t>
            </w: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53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12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 w:hRule="atLeast"/>
          <w:jc w:val="center"/>
        </w:trPr>
        <w:tc>
          <w:tcPr>
            <w:tcW w:w="6587" w:type="dxa"/>
            <w:gridSpan w:val="7"/>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总分</w:t>
            </w: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97.8</w:t>
            </w:r>
          </w:p>
        </w:tc>
        <w:tc>
          <w:tcPr>
            <w:tcW w:w="1291" w:type="dxa"/>
            <w:gridSpan w:val="2"/>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jc w:val="center"/>
        </w:trPr>
        <w:tc>
          <w:tcPr>
            <w:tcW w:w="8940"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说明：</w:t>
            </w:r>
          </w:p>
        </w:tc>
      </w:tr>
    </w:tbl>
    <w:p>
      <w:pPr>
        <w:pStyle w:val="2"/>
      </w:pPr>
    </w:p>
    <w:p>
      <w:pPr>
        <w:pStyle w:val="2"/>
      </w:pPr>
    </w:p>
    <w:p>
      <w:pPr>
        <w:pStyle w:val="2"/>
        <w:ind w:left="0" w:leftChars="0" w:firstLine="0" w:firstLineChars="0"/>
      </w:pPr>
    </w:p>
    <w:p>
      <w:pPr>
        <w:spacing w:line="800" w:lineRule="exact"/>
        <w:rPr>
          <w:rFonts w:ascii="方正黑体_GBK" w:hAnsi="方正黑体_GBK" w:eastAsia="方正黑体_GBK" w:cs="方正黑体_GBK"/>
          <w:b/>
          <w:color w:val="000000"/>
          <w:sz w:val="52"/>
          <w:szCs w:val="52"/>
        </w:rPr>
      </w:pPr>
    </w:p>
    <w:p>
      <w:pPr>
        <w:spacing w:line="440" w:lineRule="exact"/>
        <w:ind w:firstLine="420" w:firstLineChars="200"/>
      </w:pPr>
    </w:p>
    <w:p>
      <w:pPr>
        <w:spacing w:line="800" w:lineRule="exact"/>
        <w:ind w:left="2610" w:hanging="2610" w:hangingChars="500"/>
        <w:rPr>
          <w:rFonts w:ascii="方正黑体_GBK" w:hAnsi="方正黑体_GBK" w:eastAsia="方正黑体_GBK" w:cs="方正黑体_GBK"/>
          <w:b/>
          <w:color w:val="000000"/>
          <w:sz w:val="52"/>
          <w:szCs w:val="52"/>
        </w:rPr>
      </w:pPr>
    </w:p>
    <w:p>
      <w:pPr>
        <w:spacing w:line="800" w:lineRule="exact"/>
        <w:ind w:left="2394" w:leftChars="1140"/>
        <w:rPr>
          <w:rFonts w:hint="eastAsia" w:ascii="方正黑体_GBK" w:hAnsi="方正黑体_GBK" w:eastAsia="方正黑体_GBK" w:cs="方正黑体_GBK"/>
          <w:b/>
          <w:color w:val="000000"/>
          <w:sz w:val="48"/>
          <w:szCs w:val="48"/>
        </w:rPr>
      </w:pPr>
    </w:p>
    <w:p>
      <w:pPr>
        <w:spacing w:line="800" w:lineRule="exact"/>
        <w:ind w:left="2394" w:leftChars="1140"/>
        <w:rPr>
          <w:rFonts w:hint="eastAsia" w:ascii="方正黑体_GBK" w:hAnsi="方正黑体_GBK" w:eastAsia="方正黑体_GBK" w:cs="方正黑体_GBK"/>
          <w:b/>
          <w:color w:val="000000"/>
          <w:sz w:val="48"/>
          <w:szCs w:val="48"/>
        </w:rPr>
      </w:pPr>
    </w:p>
    <w:p>
      <w:pPr>
        <w:spacing w:line="800" w:lineRule="exact"/>
        <w:ind w:left="2394" w:leftChars="1140"/>
        <w:rPr>
          <w:rFonts w:hint="eastAsia" w:ascii="方正黑体_GBK" w:hAnsi="方正黑体_GBK" w:eastAsia="方正黑体_GBK" w:cs="方正黑体_GBK"/>
          <w:b/>
          <w:color w:val="000000"/>
          <w:sz w:val="48"/>
          <w:szCs w:val="48"/>
        </w:rPr>
      </w:pPr>
    </w:p>
    <w:p>
      <w:pPr>
        <w:spacing w:line="800" w:lineRule="exact"/>
        <w:ind w:left="2394" w:leftChars="1140"/>
        <w:rPr>
          <w:rFonts w:hint="eastAsia" w:ascii="方正黑体_GBK" w:hAnsi="方正黑体_GBK" w:eastAsia="方正黑体_GBK" w:cs="方正黑体_GBK"/>
          <w:b/>
          <w:color w:val="000000"/>
          <w:sz w:val="48"/>
          <w:szCs w:val="48"/>
        </w:rPr>
      </w:pPr>
    </w:p>
    <w:p>
      <w:pPr>
        <w:spacing w:line="800" w:lineRule="exact"/>
        <w:ind w:left="2394" w:leftChars="1140"/>
        <w:rPr>
          <w:rFonts w:hint="eastAsia" w:ascii="方正黑体_GBK" w:hAnsi="方正黑体_GBK" w:eastAsia="方正黑体_GBK" w:cs="方正黑体_GBK"/>
          <w:b/>
          <w:color w:val="000000"/>
          <w:sz w:val="48"/>
          <w:szCs w:val="48"/>
        </w:rPr>
      </w:pPr>
    </w:p>
    <w:p>
      <w:pPr>
        <w:spacing w:line="800" w:lineRule="exact"/>
        <w:rPr>
          <w:rFonts w:hint="eastAsia" w:ascii="方正黑体_GBK" w:hAnsi="方正黑体_GBK" w:eastAsia="方正黑体_GBK" w:cs="方正黑体_GBK"/>
          <w:b/>
          <w:color w:val="000000"/>
          <w:sz w:val="48"/>
          <w:szCs w:val="48"/>
        </w:rPr>
      </w:pPr>
      <w:bookmarkStart w:id="1" w:name="_GoBack"/>
      <w:bookmarkEnd w:id="1"/>
    </w:p>
    <w:p>
      <w:pPr>
        <w:spacing w:line="800" w:lineRule="exact"/>
        <w:ind w:left="2394" w:leftChars="1140"/>
        <w:rPr>
          <w:rFonts w:ascii="方正黑体_GBK" w:hAnsi="方正黑体_GBK" w:eastAsia="方正黑体_GBK" w:cs="方正黑体_GBK"/>
          <w:b/>
          <w:color w:val="000000"/>
          <w:sz w:val="48"/>
          <w:szCs w:val="48"/>
        </w:rPr>
      </w:pPr>
      <w:r>
        <w:rPr>
          <w:rFonts w:hint="eastAsia" w:ascii="方正黑体_GBK" w:hAnsi="方正黑体_GBK" w:eastAsia="方正黑体_GBK" w:cs="方正黑体_GBK"/>
          <w:b/>
          <w:color w:val="000000"/>
          <w:sz w:val="48"/>
          <w:szCs w:val="48"/>
        </w:rPr>
        <w:t>第四部分</w:t>
      </w:r>
      <w:r>
        <w:rPr>
          <w:rFonts w:hint="eastAsia" w:ascii="方正黑体_GBK" w:hAnsi="方正黑体_GBK" w:eastAsia="方正黑体_GBK" w:cs="方正黑体_GBK"/>
          <w:b/>
          <w:color w:val="000000"/>
          <w:spacing w:val="113"/>
          <w:sz w:val="48"/>
          <w:szCs w:val="48"/>
        </w:rPr>
        <w:t xml:space="preserve"> </w:t>
      </w:r>
      <w:r>
        <w:rPr>
          <w:rFonts w:hint="eastAsia" w:ascii="方正黑体_GBK" w:hAnsi="方正黑体_GBK" w:eastAsia="方正黑体_GBK" w:cs="方正黑体_GBK"/>
          <w:b/>
          <w:color w:val="000000"/>
          <w:sz w:val="48"/>
          <w:szCs w:val="48"/>
        </w:rPr>
        <w:t>名词解释</w:t>
      </w:r>
    </w:p>
    <w:p>
      <w:pPr>
        <w:rPr>
          <w:rFonts w:ascii="Times New Roman" w:hAnsi="Times New Roman"/>
        </w:rPr>
      </w:pPr>
      <w:r>
        <w:rPr>
          <w:rFonts w:ascii="Times New Roman" w:hAnsi="Times New Roman"/>
        </w:rPr>
        <w:br w:type="page"/>
      </w:r>
    </w:p>
    <w:p>
      <w:pPr>
        <w:spacing w:line="540" w:lineRule="exact"/>
        <w:ind w:firstLine="642" w:firstLineChars="200"/>
        <w:rPr>
          <w:rFonts w:ascii="Times New Roman" w:hAnsi="Times New Roman" w:eastAsia="方正仿宋_GBK"/>
          <w:sz w:val="32"/>
          <w:szCs w:val="32"/>
        </w:rPr>
      </w:pPr>
      <w:r>
        <w:rPr>
          <w:rFonts w:ascii="Times New Roman" w:hAnsi="Times New Roman" w:eastAsia="方正仿宋_GBK"/>
          <w:b/>
          <w:sz w:val="32"/>
          <w:szCs w:val="32"/>
        </w:rPr>
        <w:t>（一）一般公共预算财政拨款收入：</w:t>
      </w:r>
      <w:r>
        <w:rPr>
          <w:rFonts w:ascii="Times New Roman" w:hAnsi="Times New Roman" w:eastAsia="方正仿宋_GBK"/>
          <w:sz w:val="32"/>
          <w:szCs w:val="32"/>
        </w:rPr>
        <w:t>指中央财政当年拨付的资金。</w:t>
      </w:r>
    </w:p>
    <w:p>
      <w:pPr>
        <w:widowControl/>
        <w:spacing w:line="540" w:lineRule="exact"/>
        <w:ind w:firstLine="642" w:firstLineChars="200"/>
        <w:rPr>
          <w:rFonts w:ascii="Times New Roman" w:hAnsi="Times New Roman" w:eastAsia="方正仿宋_GBK"/>
          <w:sz w:val="32"/>
          <w:szCs w:val="32"/>
        </w:rPr>
      </w:pPr>
      <w:r>
        <w:rPr>
          <w:rFonts w:ascii="Times New Roman" w:hAnsi="Times New Roman" w:eastAsia="方正仿宋_GBK"/>
          <w:b/>
          <w:sz w:val="32"/>
          <w:szCs w:val="32"/>
        </w:rPr>
        <w:t>（二）其他收入：</w:t>
      </w:r>
      <w:r>
        <w:rPr>
          <w:rFonts w:ascii="Times New Roman" w:hAnsi="Times New Roman" w:eastAsia="方正仿宋_GBK"/>
          <w:sz w:val="32"/>
          <w:szCs w:val="32"/>
        </w:rPr>
        <w:t>指除 “一般公共预算财政拨款收入”、“事业收入”、“事业单位经营收入”等以外的收入。</w:t>
      </w:r>
    </w:p>
    <w:p>
      <w:pPr>
        <w:widowControl/>
        <w:spacing w:line="540" w:lineRule="exact"/>
        <w:ind w:firstLine="642" w:firstLineChars="200"/>
        <w:rPr>
          <w:rFonts w:ascii="Times New Roman" w:hAnsi="Times New Roman" w:eastAsia="方正仿宋_GBK"/>
          <w:sz w:val="32"/>
          <w:szCs w:val="32"/>
        </w:rPr>
      </w:pPr>
      <w:r>
        <w:rPr>
          <w:rFonts w:ascii="Times New Roman" w:hAnsi="Times New Roman" w:eastAsia="方正仿宋_GBK"/>
          <w:b/>
          <w:sz w:val="32"/>
          <w:szCs w:val="32"/>
        </w:rPr>
        <w:t>（</w:t>
      </w:r>
      <w:r>
        <w:rPr>
          <w:rFonts w:hint="eastAsia" w:ascii="Times New Roman" w:hAnsi="Times New Roman" w:eastAsia="方正仿宋_GBK"/>
          <w:b/>
          <w:sz w:val="32"/>
          <w:szCs w:val="32"/>
        </w:rPr>
        <w:t>三</w:t>
      </w:r>
      <w:r>
        <w:rPr>
          <w:rFonts w:ascii="Times New Roman" w:hAnsi="Times New Roman" w:eastAsia="方正仿宋_GBK"/>
          <w:b/>
          <w:sz w:val="32"/>
          <w:szCs w:val="32"/>
        </w:rPr>
        <w:t>）年初结转和结余：</w:t>
      </w:r>
      <w:r>
        <w:rPr>
          <w:rFonts w:ascii="Times New Roman" w:hAnsi="Times New Roman" w:eastAsia="方正仿宋_GBK"/>
          <w:sz w:val="32"/>
          <w:szCs w:val="32"/>
        </w:rPr>
        <w:t>指单位以前年度尚未完成、结转到本年按有关规定继续使用的资金。</w:t>
      </w:r>
    </w:p>
    <w:p>
      <w:pPr>
        <w:widowControl/>
        <w:spacing w:line="540" w:lineRule="exact"/>
        <w:ind w:firstLine="642" w:firstLineChars="200"/>
        <w:rPr>
          <w:rFonts w:ascii="Times New Roman" w:hAnsi="Times New Roman" w:eastAsia="方正仿宋_GBK"/>
        </w:rPr>
      </w:pPr>
      <w:bookmarkStart w:id="0" w:name="OLE_LINK1"/>
      <w:r>
        <w:rPr>
          <w:rFonts w:ascii="Times New Roman" w:hAnsi="Times New Roman" w:eastAsia="方正仿宋_GBK"/>
          <w:b/>
          <w:sz w:val="32"/>
          <w:szCs w:val="32"/>
        </w:rPr>
        <w:t>（</w:t>
      </w:r>
      <w:r>
        <w:rPr>
          <w:rFonts w:hint="eastAsia" w:ascii="Times New Roman" w:hAnsi="Times New Roman" w:eastAsia="方正仿宋_GBK"/>
          <w:b/>
          <w:sz w:val="32"/>
          <w:szCs w:val="32"/>
        </w:rPr>
        <w:t>四</w:t>
      </w:r>
      <w:r>
        <w:rPr>
          <w:rFonts w:ascii="Times New Roman" w:hAnsi="Times New Roman" w:eastAsia="方正仿宋_GBK"/>
          <w:b/>
          <w:sz w:val="32"/>
          <w:szCs w:val="32"/>
        </w:rPr>
        <w:t>）住房保障支出（类）住房改革支出（款）</w:t>
      </w:r>
      <w:bookmarkEnd w:id="0"/>
      <w:r>
        <w:rPr>
          <w:rFonts w:ascii="Times New Roman" w:hAnsi="Times New Roman" w:eastAsia="方正仿宋_GBK"/>
          <w:b/>
          <w:sz w:val="32"/>
          <w:szCs w:val="32"/>
        </w:rPr>
        <w:t>住房公积金（项）</w:t>
      </w:r>
      <w:r>
        <w:rPr>
          <w:rFonts w:ascii="Times New Roman" w:hAnsi="Times New Roman" w:eastAsia="方正仿宋_GBK"/>
          <w:sz w:val="32"/>
          <w:szCs w:val="32"/>
        </w:rPr>
        <w:t>：反映行政事业单位按人力资源和社会保障部、财政部规定的基本工资和津贴补贴以及规定比例为职工缴纳的住房公积金。</w:t>
      </w:r>
    </w:p>
    <w:p>
      <w:pPr>
        <w:widowControl/>
        <w:spacing w:line="540" w:lineRule="exact"/>
        <w:ind w:firstLine="642" w:firstLineChars="200"/>
        <w:rPr>
          <w:rFonts w:ascii="Times New Roman" w:hAnsi="Times New Roman" w:eastAsia="方正仿宋_GBK"/>
          <w:sz w:val="32"/>
          <w:szCs w:val="32"/>
        </w:rPr>
      </w:pPr>
      <w:r>
        <w:rPr>
          <w:rFonts w:ascii="Times New Roman" w:hAnsi="Times New Roman" w:eastAsia="方正仿宋_GBK"/>
          <w:b/>
          <w:sz w:val="32"/>
          <w:szCs w:val="32"/>
        </w:rPr>
        <w:t>（</w:t>
      </w:r>
      <w:r>
        <w:rPr>
          <w:rFonts w:hint="eastAsia" w:ascii="Times New Roman" w:hAnsi="Times New Roman" w:eastAsia="方正仿宋_GBK"/>
          <w:b/>
          <w:sz w:val="32"/>
          <w:szCs w:val="32"/>
        </w:rPr>
        <w:t>五</w:t>
      </w:r>
      <w:r>
        <w:rPr>
          <w:rFonts w:ascii="Times New Roman" w:hAnsi="Times New Roman" w:eastAsia="方正仿宋_GBK"/>
          <w:b/>
          <w:sz w:val="32"/>
          <w:szCs w:val="32"/>
        </w:rPr>
        <w:t>）住房保障支出（类）住房改革支出（款）购房补贴（项）</w:t>
      </w:r>
      <w:r>
        <w:rPr>
          <w:rFonts w:ascii="Times New Roman" w:hAnsi="Times New Roman" w:eastAsia="方正仿宋_GBK"/>
          <w:sz w:val="32"/>
          <w:szCs w:val="32"/>
        </w:rPr>
        <w:t>：反映按房改政策规定，行政事业单位向符合条件职工（含离退休人员）发放的用于购买住房的补贴。</w:t>
      </w:r>
    </w:p>
    <w:p>
      <w:pPr>
        <w:widowControl/>
        <w:spacing w:line="540" w:lineRule="exact"/>
        <w:ind w:firstLine="642" w:firstLineChars="200"/>
        <w:rPr>
          <w:rFonts w:ascii="Times New Roman" w:hAnsi="Times New Roman" w:eastAsia="方正仿宋_GBK"/>
          <w:sz w:val="32"/>
          <w:szCs w:val="32"/>
        </w:rPr>
      </w:pPr>
      <w:r>
        <w:rPr>
          <w:rFonts w:ascii="Times New Roman" w:hAnsi="Times New Roman" w:eastAsia="方正仿宋_GBK"/>
          <w:b/>
          <w:sz w:val="32"/>
          <w:szCs w:val="32"/>
        </w:rPr>
        <w:t>（</w:t>
      </w:r>
      <w:r>
        <w:rPr>
          <w:rFonts w:hint="eastAsia" w:ascii="Times New Roman" w:hAnsi="Times New Roman" w:eastAsia="方正仿宋_GBK"/>
          <w:b/>
          <w:sz w:val="32"/>
          <w:szCs w:val="32"/>
        </w:rPr>
        <w:t>六</w:t>
      </w:r>
      <w:r>
        <w:rPr>
          <w:rFonts w:ascii="Times New Roman" w:hAnsi="Times New Roman" w:eastAsia="方正仿宋_GBK"/>
          <w:b/>
          <w:sz w:val="32"/>
          <w:szCs w:val="32"/>
        </w:rPr>
        <w:t>）灾害防治及应急管理支出（类）消防事务（款）行政运行（项）</w:t>
      </w:r>
      <w:r>
        <w:rPr>
          <w:rFonts w:ascii="Times New Roman" w:hAnsi="Times New Roman" w:eastAsia="方正仿宋_GBK"/>
          <w:sz w:val="32"/>
          <w:szCs w:val="32"/>
        </w:rPr>
        <w:t>：指消防救援局及所属消防救援队伍用于保障机构正常运行、开展日常工作的基本支出。</w:t>
      </w:r>
    </w:p>
    <w:p>
      <w:pPr>
        <w:widowControl/>
        <w:spacing w:line="540" w:lineRule="exact"/>
        <w:ind w:firstLine="642" w:firstLineChars="200"/>
        <w:rPr>
          <w:rFonts w:hint="eastAsia" w:ascii="Times New Roman" w:hAnsi="Times New Roman" w:eastAsia="方正仿宋_GBK"/>
          <w:sz w:val="32"/>
          <w:szCs w:val="32"/>
          <w:lang w:eastAsia="zh-CN"/>
        </w:rPr>
      </w:pPr>
      <w:r>
        <w:rPr>
          <w:rFonts w:ascii="Times New Roman" w:hAnsi="Times New Roman" w:eastAsia="方正仿宋_GBK"/>
          <w:b/>
          <w:sz w:val="32"/>
          <w:szCs w:val="32"/>
        </w:rPr>
        <w:t>（</w:t>
      </w:r>
      <w:r>
        <w:rPr>
          <w:rFonts w:hint="eastAsia" w:ascii="Times New Roman" w:hAnsi="Times New Roman" w:eastAsia="方正仿宋_GBK"/>
          <w:b/>
          <w:sz w:val="32"/>
          <w:szCs w:val="32"/>
        </w:rPr>
        <w:t>七</w:t>
      </w:r>
      <w:r>
        <w:rPr>
          <w:rFonts w:ascii="Times New Roman" w:hAnsi="Times New Roman" w:eastAsia="方正仿宋_GBK"/>
          <w:b/>
          <w:sz w:val="32"/>
          <w:szCs w:val="32"/>
        </w:rPr>
        <w:t>）灾害防治及应急管理支出（类）消防事务（款）消防应急救援（项）</w:t>
      </w:r>
      <w:r>
        <w:rPr>
          <w:rFonts w:ascii="Times New Roman" w:hAnsi="Times New Roman" w:eastAsia="方正仿宋_GBK"/>
          <w:sz w:val="32"/>
          <w:szCs w:val="32"/>
        </w:rPr>
        <w:t>：指消防救援局开展消防应急救援方面的支出。</w:t>
      </w:r>
    </w:p>
    <w:p>
      <w:pPr>
        <w:widowControl/>
        <w:spacing w:line="540" w:lineRule="exact"/>
        <w:ind w:firstLine="642" w:firstLineChars="200"/>
        <w:rPr>
          <w:rFonts w:ascii="Times New Roman" w:hAnsi="Times New Roman" w:eastAsia="方正仿宋_GBK"/>
          <w:sz w:val="32"/>
          <w:szCs w:val="32"/>
        </w:rPr>
      </w:pPr>
      <w:r>
        <w:rPr>
          <w:rFonts w:ascii="Times New Roman" w:hAnsi="Times New Roman" w:eastAsia="方正仿宋_GBK"/>
          <w:b/>
          <w:sz w:val="32"/>
          <w:szCs w:val="32"/>
        </w:rPr>
        <w:t>（</w:t>
      </w:r>
      <w:r>
        <w:rPr>
          <w:rFonts w:hint="eastAsia" w:ascii="Times New Roman" w:hAnsi="Times New Roman" w:eastAsia="方正仿宋_GBK"/>
          <w:b/>
          <w:sz w:val="32"/>
          <w:szCs w:val="32"/>
        </w:rPr>
        <w:t>八</w:t>
      </w:r>
      <w:r>
        <w:rPr>
          <w:rFonts w:ascii="Times New Roman" w:hAnsi="Times New Roman" w:eastAsia="方正仿宋_GBK"/>
          <w:b/>
          <w:sz w:val="32"/>
          <w:szCs w:val="32"/>
        </w:rPr>
        <w:t>）灾害防治及应急管理支出（类）消防事务（款）其他消防事务支出（项）</w:t>
      </w:r>
      <w:r>
        <w:rPr>
          <w:rFonts w:ascii="Times New Roman" w:hAnsi="Times New Roman" w:eastAsia="方正仿宋_GBK"/>
          <w:sz w:val="32"/>
          <w:szCs w:val="32"/>
        </w:rPr>
        <w:t>：指消防救援局部门机动费项目支出及消防产品合格评定中心的各项支出。</w:t>
      </w:r>
    </w:p>
    <w:p>
      <w:pPr>
        <w:widowControl/>
        <w:spacing w:line="540" w:lineRule="exact"/>
        <w:ind w:firstLine="642" w:firstLineChars="200"/>
        <w:rPr>
          <w:rFonts w:ascii="Times New Roman" w:hAnsi="Times New Roman" w:eastAsia="方正仿宋_GBK"/>
          <w:sz w:val="32"/>
          <w:szCs w:val="32"/>
        </w:rPr>
      </w:pPr>
      <w:r>
        <w:rPr>
          <w:rFonts w:ascii="Times New Roman" w:hAnsi="Times New Roman" w:eastAsia="方正仿宋_GBK"/>
          <w:b/>
          <w:sz w:val="32"/>
          <w:szCs w:val="32"/>
        </w:rPr>
        <w:t>（</w:t>
      </w:r>
      <w:r>
        <w:rPr>
          <w:rFonts w:hint="eastAsia" w:ascii="Times New Roman" w:hAnsi="Times New Roman" w:eastAsia="方正仿宋_GBK"/>
          <w:b/>
          <w:sz w:val="32"/>
          <w:szCs w:val="32"/>
        </w:rPr>
        <w:t>九</w:t>
      </w:r>
      <w:r>
        <w:rPr>
          <w:rFonts w:ascii="Times New Roman" w:hAnsi="Times New Roman" w:eastAsia="方正仿宋_GBK"/>
          <w:b/>
          <w:sz w:val="32"/>
          <w:szCs w:val="32"/>
        </w:rPr>
        <w:t>）年末结转和结余：</w:t>
      </w:r>
      <w:r>
        <w:rPr>
          <w:rFonts w:ascii="Times New Roman" w:hAnsi="Times New Roman" w:eastAsia="方正仿宋_GBK"/>
          <w:sz w:val="32"/>
          <w:szCs w:val="32"/>
        </w:rPr>
        <w:t>指单位本年度或以前年度预算安排、因客观条件发生变化未全部执行或未执行，结转到以后年度继续使用的资金，或项目已完成等产生的结余资金。</w:t>
      </w:r>
    </w:p>
    <w:p>
      <w:pPr>
        <w:spacing w:line="540" w:lineRule="exact"/>
        <w:ind w:firstLine="642" w:firstLineChars="200"/>
        <w:rPr>
          <w:rFonts w:ascii="Times New Roman" w:hAnsi="Times New Roman" w:eastAsia="方正仿宋_GBK"/>
          <w:sz w:val="32"/>
          <w:szCs w:val="32"/>
        </w:rPr>
      </w:pPr>
      <w:r>
        <w:rPr>
          <w:rFonts w:ascii="Times New Roman" w:hAnsi="Times New Roman" w:eastAsia="方正仿宋_GBK"/>
          <w:b/>
          <w:sz w:val="32"/>
          <w:szCs w:val="32"/>
        </w:rPr>
        <w:t>（十）基本支出：</w:t>
      </w:r>
      <w:r>
        <w:rPr>
          <w:rFonts w:ascii="Times New Roman" w:hAnsi="Times New Roman" w:eastAsia="方正仿宋_GBK"/>
          <w:sz w:val="32"/>
          <w:szCs w:val="32"/>
        </w:rPr>
        <w:t>指为保障机构正常运转、完成日常工作任务而发生的人员支出和公用支出。</w:t>
      </w:r>
    </w:p>
    <w:p>
      <w:pPr>
        <w:widowControl/>
        <w:spacing w:line="540" w:lineRule="exact"/>
        <w:ind w:firstLine="642" w:firstLineChars="200"/>
        <w:rPr>
          <w:rFonts w:ascii="Times New Roman" w:hAnsi="Times New Roman" w:eastAsia="方正仿宋_GBK"/>
          <w:sz w:val="32"/>
          <w:szCs w:val="32"/>
        </w:rPr>
      </w:pPr>
      <w:r>
        <w:rPr>
          <w:rFonts w:ascii="Times New Roman" w:hAnsi="Times New Roman" w:eastAsia="方正仿宋_GBK"/>
          <w:b/>
          <w:sz w:val="32"/>
          <w:szCs w:val="32"/>
        </w:rPr>
        <w:t>（十</w:t>
      </w:r>
      <w:r>
        <w:rPr>
          <w:rFonts w:hint="eastAsia" w:ascii="Times New Roman" w:hAnsi="Times New Roman" w:eastAsia="方正仿宋_GBK"/>
          <w:b/>
          <w:sz w:val="32"/>
          <w:szCs w:val="32"/>
        </w:rPr>
        <w:t>一</w:t>
      </w:r>
      <w:r>
        <w:rPr>
          <w:rFonts w:ascii="Times New Roman" w:hAnsi="Times New Roman" w:eastAsia="方正仿宋_GBK"/>
          <w:b/>
          <w:sz w:val="32"/>
          <w:szCs w:val="32"/>
        </w:rPr>
        <w:t>）项目支出：</w:t>
      </w:r>
      <w:r>
        <w:rPr>
          <w:rFonts w:ascii="Times New Roman" w:hAnsi="Times New Roman" w:eastAsia="方正仿宋_GBK"/>
          <w:sz w:val="32"/>
          <w:szCs w:val="32"/>
        </w:rPr>
        <w:t>指在基本支出之外为完成特定行政任务和事业发展目标所发生的支出。</w:t>
      </w:r>
    </w:p>
    <w:p>
      <w:pPr>
        <w:spacing w:line="540" w:lineRule="exact"/>
        <w:ind w:firstLine="642" w:firstLineChars="200"/>
        <w:rPr>
          <w:rFonts w:ascii="Times New Roman" w:hAnsi="Times New Roman" w:eastAsia="方正仿宋_GBK"/>
          <w:sz w:val="32"/>
          <w:szCs w:val="32"/>
        </w:rPr>
      </w:pPr>
      <w:r>
        <w:rPr>
          <w:rFonts w:ascii="Times New Roman" w:hAnsi="Times New Roman" w:eastAsia="方正仿宋_GBK"/>
          <w:b/>
          <w:sz w:val="32"/>
          <w:szCs w:val="32"/>
        </w:rPr>
        <w:t>（十二）“三公”经费：</w:t>
      </w:r>
      <w:r>
        <w:rPr>
          <w:rFonts w:ascii="Times New Roman" w:hAnsi="Times New Roman" w:eastAsia="方正仿宋_GBK"/>
          <w:sz w:val="32"/>
          <w:szCs w:val="32"/>
        </w:rPr>
        <w:t>纳入中央财政预决算管理的“三公”经费，是指中央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安全奖励费用等支出；公务接待费反映单位按规定开支的各类公务接待（含外宾接待）支出。</w:t>
      </w:r>
    </w:p>
    <w:p>
      <w:pPr>
        <w:spacing w:line="540" w:lineRule="exact"/>
        <w:ind w:firstLine="642" w:firstLineChars="200"/>
        <w:rPr>
          <w:rFonts w:ascii="Times New Roman" w:hAnsi="Times New Roman" w:eastAsia="方正仿宋_GBK"/>
          <w:sz w:val="32"/>
          <w:szCs w:val="32"/>
        </w:rPr>
      </w:pPr>
      <w:r>
        <w:rPr>
          <w:rFonts w:ascii="Times New Roman" w:hAnsi="Times New Roman" w:eastAsia="方正仿宋_GBK"/>
          <w:b/>
          <w:sz w:val="32"/>
          <w:szCs w:val="32"/>
        </w:rPr>
        <w:t>（十</w:t>
      </w:r>
      <w:r>
        <w:rPr>
          <w:rFonts w:hint="eastAsia" w:ascii="Times New Roman" w:hAnsi="Times New Roman" w:eastAsia="方正仿宋_GBK"/>
          <w:b/>
          <w:sz w:val="32"/>
          <w:szCs w:val="32"/>
        </w:rPr>
        <w:t>三</w:t>
      </w:r>
      <w:r>
        <w:rPr>
          <w:rFonts w:ascii="Times New Roman" w:hAnsi="Times New Roman" w:eastAsia="方正仿宋_GBK"/>
          <w:b/>
          <w:sz w:val="32"/>
          <w:szCs w:val="32"/>
        </w:rPr>
        <w:t>）机关运行经费：</w:t>
      </w:r>
      <w:r>
        <w:rPr>
          <w:rFonts w:ascii="Times New Roman" w:hAnsi="Times New Roman" w:eastAsia="方正仿宋_GBK"/>
          <w:sz w:val="32"/>
          <w:szCs w:val="32"/>
        </w:rPr>
        <w:t>为保障行政单位（包括参照公务员法管理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spacing w:line="540" w:lineRule="exact"/>
        <w:ind w:firstLine="640" w:firstLineChars="200"/>
        <w:rPr>
          <w:rFonts w:ascii="Times New Roman" w:hAnsi="Times New Roman" w:eastAsia="方正仿宋_GBK"/>
          <w:color w:val="000000"/>
          <w:kern w:val="0"/>
          <w:sz w:val="32"/>
          <w:szCs w:val="32"/>
        </w:rPr>
      </w:pPr>
    </w:p>
    <w:sectPr>
      <w:pgSz w:w="11911" w:h="16838"/>
      <w:pgMar w:top="2098" w:right="1474" w:bottom="1984" w:left="1587" w:header="0" w:footer="913"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auto"/>
    <w:pitch w:val="default"/>
    <w:sig w:usb0="00000000" w:usb1="00000000" w:usb2="00000009" w:usb3="00000000" w:csb0="400001FF" w:csb1="FFFF0000"/>
  </w:font>
  <w:font w:name="宋体">
    <w:altName w:val="方正书宋_GBK"/>
    <w:panose1 w:val="02010600030101010101"/>
    <w:charset w:val="86"/>
    <w:family w:val="auto"/>
    <w:pitch w:val="default"/>
    <w:sig w:usb0="00000000" w:usb1="00000000" w:usb2="00000010" w:usb3="00000000" w:csb0="00040001"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仿宋_GBK">
    <w:panose1 w:val="02000000000000000000"/>
    <w:charset w:val="86"/>
    <w:family w:val="script"/>
    <w:pitch w:val="default"/>
    <w:sig w:usb0="00000001" w:usb1="08000000" w:usb2="00000000" w:usb3="00000000" w:csb0="00040000" w:csb1="00000000"/>
  </w:font>
  <w:font w:name="隶书">
    <w:altName w:val="方正隶书_GBK"/>
    <w:panose1 w:val="02010509060101010101"/>
    <w:charset w:val="86"/>
    <w:family w:val="modern"/>
    <w:pitch w:val="default"/>
    <w:sig w:usb0="00000000" w:usb1="00000000" w:usb2="00000000" w:usb3="00000000" w:csb0="00040000" w:csb1="00000000"/>
  </w:font>
  <w:font w:name="方正黑体_GBK">
    <w:panose1 w:val="02000000000000000000"/>
    <w:charset w:val="86"/>
    <w:family w:val="script"/>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方正楷体_GBK">
    <w:panose1 w:val="02000000000000000000"/>
    <w:charset w:val="86"/>
    <w:family w:val="script"/>
    <w:pitch w:val="default"/>
    <w:sig w:usb0="00000001" w:usb1="08000000" w:usb2="00000000" w:usb3="00000000" w:csb0="00040000" w:csb1="00000000"/>
  </w:font>
  <w:font w:name="楷体_GB2312">
    <w:altName w:val="方正楷体_GBK"/>
    <w:panose1 w:val="02010609030101010101"/>
    <w:charset w:val="86"/>
    <w:family w:val="modern"/>
    <w:pitch w:val="default"/>
    <w:sig w:usb0="00000000" w:usb1="00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隶书_GBK">
    <w:panose1 w:val="02000000000000000000"/>
    <w:charset w:val="86"/>
    <w:family w:val="auto"/>
    <w:pitch w:val="default"/>
    <w:sig w:usb0="00000001" w:usb1="08000000" w:usb2="00000000" w:usb3="00000000" w:csb0="00040000" w:csb1="00000000"/>
  </w:font>
  <w:font w:name="Standard Symbols PS">
    <w:panose1 w:val="05050102010706020507"/>
    <w:charset w:val="00"/>
    <w:family w:val="auto"/>
    <w:pitch w:val="default"/>
    <w:sig w:usb0="00000003" w:usb1="00000000" w:usb2="00000000" w:usb3="00000000" w:csb0="00000001" w:csb1="00000000"/>
  </w:font>
  <w:font w:name="Calibri">
    <w:altName w:val="DejaVu Sans"/>
    <w:panose1 w:val="020F0502020204030204"/>
    <w:charset w:val="86"/>
    <w:family w:val="swiss"/>
    <w:pitch w:val="default"/>
    <w:sig w:usb0="00000000" w:usb1="00000000" w:usb2="00000001" w:usb3="00000000" w:csb0="0000019F" w:csb1="00000000"/>
  </w:font>
  <w:font w:name="Microsoft JhengHei">
    <w:altName w:val="URW Bookman"/>
    <w:panose1 w:val="00000000000000000000"/>
    <w:charset w:val="00"/>
    <w:family w:val="swiss"/>
    <w:pitch w:val="default"/>
    <w:sig w:usb0="00000000" w:usb1="00000000" w:usb2="00000000" w:usb3="00000000" w:csb0="00000000" w:csb1="00000000"/>
  </w:font>
  <w:font w:name="URW Bookman">
    <w:panose1 w:val="00000400000000000000"/>
    <w:charset w:val="00"/>
    <w:family w:val="auto"/>
    <w:pitch w:val="default"/>
    <w:sig w:usb0="00000287" w:usb1="00000800" w:usb2="00000000" w:usb3="00000000" w:csb0="6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_x0000_s2049" o:spid="_x0000_s2049" o:spt="202" type="#_x0000_t202" style="position:absolute;left:0pt;margin-left:219.55pt;margin-top:0pt;height:144pt;width:144pt;mso-position-horizontal-relative:margin;mso-wrap-style:none;z-index:251661312;mso-width-relative:page;mso-height-relative:page;" filled="f" stroked="f" coordsize="21600,21600" o:gfxdata="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1qv3rUAAAACAEAAA8AAAAA&#10;AAAAAQAgAAAAIgAAAGRycy9kb3ducmV2LnhtbFBLAQIUABQAAAAIAIdO4kDd5JSnpgEAAD8DAAAO&#10;AAAAAAAAAAEAIAAAACMBAABkcnMvZTJvRG9jLnhtbFBLBQYAAAAABgAGAFkBAAA7BQAAAAA=&#10;">
          <v:path/>
          <v:fill on="f" focussize="0,0"/>
          <v:stroke on="f" joinstyle="miter"/>
          <v:imagedata o:title=""/>
          <o:lock v:ext="edit"/>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rFonts w:hint="eastAsia"/>
      </w:rPr>
      <w:t>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_x0000_s2050" o:spid="_x0000_s2050"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ql5uc8AAAAFAQAADwAAAAAAAAAB&#10;ACAAAAAiAAAAZHJzL2Rvd25yZXYueG1sUEsBAhQAFAAAAAgAh07iQDdPQLinAQAAQQMAAA4AAAAA&#10;AAAAAQAgAAAAHgEAAGRycy9lMm9Eb2MueG1sUEsFBgAAAAAGAAYAWQEAADcFAAAAAA==&#10;">
          <v:path/>
          <v:fill on="f" focussize="0,0"/>
          <v:stroke on="f" joinstyle="miter"/>
          <v:imagedata o:title=""/>
          <o:lock v:ext="edit"/>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1A7A34"/>
    <w:multiLevelType w:val="singleLevel"/>
    <w:tmpl w:val="811A7A34"/>
    <w:lvl w:ilvl="0" w:tentative="0">
      <w:start w:val="2"/>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420"/>
  <w:drawingGridHorizontalSpacing w:val="210"/>
  <w:drawingGridVerticalSpacing w:val="-7946"/>
  <w:displayHorizontalDrawingGridEvery w:val="1"/>
  <w:displayVerticalDrawingGridEvery w:val="1"/>
  <w:noPunctuationKerning w:val="true"/>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TI3Yzc0NTdhYmE3ZDI1NzgxMjlmMjBiYWUyOTcyNzcifQ=="/>
  </w:docVars>
  <w:rsids>
    <w:rsidRoot w:val="00172A27"/>
    <w:rsid w:val="001822A9"/>
    <w:rsid w:val="003C0622"/>
    <w:rsid w:val="005F3383"/>
    <w:rsid w:val="00626D09"/>
    <w:rsid w:val="007F6634"/>
    <w:rsid w:val="00C80052"/>
    <w:rsid w:val="00D86F6C"/>
    <w:rsid w:val="00EB15C6"/>
    <w:rsid w:val="00F0285E"/>
    <w:rsid w:val="00F04667"/>
    <w:rsid w:val="017A3CA0"/>
    <w:rsid w:val="01E70628"/>
    <w:rsid w:val="020446F6"/>
    <w:rsid w:val="022B3A5F"/>
    <w:rsid w:val="0243558C"/>
    <w:rsid w:val="025D4F42"/>
    <w:rsid w:val="029108A9"/>
    <w:rsid w:val="03B767A2"/>
    <w:rsid w:val="03C8221C"/>
    <w:rsid w:val="041B27F3"/>
    <w:rsid w:val="045521C0"/>
    <w:rsid w:val="045A4DC1"/>
    <w:rsid w:val="04815DEB"/>
    <w:rsid w:val="05F908FF"/>
    <w:rsid w:val="060C69B2"/>
    <w:rsid w:val="0630423F"/>
    <w:rsid w:val="06545A68"/>
    <w:rsid w:val="06D94B45"/>
    <w:rsid w:val="076E4805"/>
    <w:rsid w:val="07934A9A"/>
    <w:rsid w:val="07A73103"/>
    <w:rsid w:val="08224979"/>
    <w:rsid w:val="0870174C"/>
    <w:rsid w:val="08B820DA"/>
    <w:rsid w:val="08EB5D6C"/>
    <w:rsid w:val="08FC5C1D"/>
    <w:rsid w:val="091739B7"/>
    <w:rsid w:val="093401BC"/>
    <w:rsid w:val="09CF70D3"/>
    <w:rsid w:val="0A28404C"/>
    <w:rsid w:val="0A7B73A5"/>
    <w:rsid w:val="0AD41965"/>
    <w:rsid w:val="0B5EA944"/>
    <w:rsid w:val="0C2C7782"/>
    <w:rsid w:val="0CC8067C"/>
    <w:rsid w:val="0CD6220B"/>
    <w:rsid w:val="0D0C0D75"/>
    <w:rsid w:val="0D274EAD"/>
    <w:rsid w:val="0D2857B5"/>
    <w:rsid w:val="0D490DFB"/>
    <w:rsid w:val="0D9A1585"/>
    <w:rsid w:val="0D9E70D1"/>
    <w:rsid w:val="0E384F1A"/>
    <w:rsid w:val="0E6C489C"/>
    <w:rsid w:val="0ECB7096"/>
    <w:rsid w:val="0F7C5431"/>
    <w:rsid w:val="0F8E261A"/>
    <w:rsid w:val="10170C63"/>
    <w:rsid w:val="10387BE1"/>
    <w:rsid w:val="11433B37"/>
    <w:rsid w:val="11712ED8"/>
    <w:rsid w:val="11CA47C6"/>
    <w:rsid w:val="11DD2B24"/>
    <w:rsid w:val="123103FC"/>
    <w:rsid w:val="126B5812"/>
    <w:rsid w:val="129A2738"/>
    <w:rsid w:val="1303669E"/>
    <w:rsid w:val="137D703E"/>
    <w:rsid w:val="137F7DA4"/>
    <w:rsid w:val="13871120"/>
    <w:rsid w:val="13A575CC"/>
    <w:rsid w:val="13BC6DB1"/>
    <w:rsid w:val="13C63EB5"/>
    <w:rsid w:val="13D00700"/>
    <w:rsid w:val="13D81914"/>
    <w:rsid w:val="13E41BC5"/>
    <w:rsid w:val="13E74837"/>
    <w:rsid w:val="13EA1CF2"/>
    <w:rsid w:val="14374589"/>
    <w:rsid w:val="1472028F"/>
    <w:rsid w:val="149E2B37"/>
    <w:rsid w:val="14B73B0A"/>
    <w:rsid w:val="150263D1"/>
    <w:rsid w:val="15583096"/>
    <w:rsid w:val="159A6019"/>
    <w:rsid w:val="16022222"/>
    <w:rsid w:val="16394253"/>
    <w:rsid w:val="16BF171B"/>
    <w:rsid w:val="16F748B1"/>
    <w:rsid w:val="16FD1F5B"/>
    <w:rsid w:val="174329DC"/>
    <w:rsid w:val="177C58A4"/>
    <w:rsid w:val="17B516A6"/>
    <w:rsid w:val="17D227B6"/>
    <w:rsid w:val="181F0C21"/>
    <w:rsid w:val="18206366"/>
    <w:rsid w:val="18E66D77"/>
    <w:rsid w:val="19035ED8"/>
    <w:rsid w:val="195C7565"/>
    <w:rsid w:val="1964456E"/>
    <w:rsid w:val="198D33DD"/>
    <w:rsid w:val="19F814C7"/>
    <w:rsid w:val="19FF6E1D"/>
    <w:rsid w:val="1A004959"/>
    <w:rsid w:val="1A740CDF"/>
    <w:rsid w:val="1A863E7C"/>
    <w:rsid w:val="1AFA54F0"/>
    <w:rsid w:val="1BAA0C10"/>
    <w:rsid w:val="1BCA2DB3"/>
    <w:rsid w:val="1BF9521C"/>
    <w:rsid w:val="1C134F27"/>
    <w:rsid w:val="1C4D254D"/>
    <w:rsid w:val="1CBE72FD"/>
    <w:rsid w:val="1D3F2F49"/>
    <w:rsid w:val="1DF03F5B"/>
    <w:rsid w:val="1E245718"/>
    <w:rsid w:val="1EBE051D"/>
    <w:rsid w:val="1EBF68C4"/>
    <w:rsid w:val="1EC57C7E"/>
    <w:rsid w:val="1ECF56B8"/>
    <w:rsid w:val="1EFC1AAE"/>
    <w:rsid w:val="1F0E7F66"/>
    <w:rsid w:val="1F337046"/>
    <w:rsid w:val="1F4D6119"/>
    <w:rsid w:val="1F5C2A6C"/>
    <w:rsid w:val="1F935E1D"/>
    <w:rsid w:val="1F9E20F1"/>
    <w:rsid w:val="20857739"/>
    <w:rsid w:val="20D126A3"/>
    <w:rsid w:val="20F018E1"/>
    <w:rsid w:val="210677A8"/>
    <w:rsid w:val="2136529E"/>
    <w:rsid w:val="214241F2"/>
    <w:rsid w:val="215478D2"/>
    <w:rsid w:val="217463B2"/>
    <w:rsid w:val="21A7621B"/>
    <w:rsid w:val="21C13AD1"/>
    <w:rsid w:val="21D84D67"/>
    <w:rsid w:val="21EC3D1F"/>
    <w:rsid w:val="22782AFE"/>
    <w:rsid w:val="229A2277"/>
    <w:rsid w:val="231D03BB"/>
    <w:rsid w:val="23362DC9"/>
    <w:rsid w:val="233B2E4F"/>
    <w:rsid w:val="23E822B1"/>
    <w:rsid w:val="24950066"/>
    <w:rsid w:val="24E7725D"/>
    <w:rsid w:val="25240D01"/>
    <w:rsid w:val="2591322E"/>
    <w:rsid w:val="25D329E1"/>
    <w:rsid w:val="265956E8"/>
    <w:rsid w:val="269F3FA4"/>
    <w:rsid w:val="27297E8B"/>
    <w:rsid w:val="273904D1"/>
    <w:rsid w:val="277F4712"/>
    <w:rsid w:val="27FB7D9A"/>
    <w:rsid w:val="2813552E"/>
    <w:rsid w:val="28667C49"/>
    <w:rsid w:val="28893B98"/>
    <w:rsid w:val="28912CAC"/>
    <w:rsid w:val="28C12115"/>
    <w:rsid w:val="28DF63F9"/>
    <w:rsid w:val="29220F99"/>
    <w:rsid w:val="29810215"/>
    <w:rsid w:val="29936ADB"/>
    <w:rsid w:val="29A900F9"/>
    <w:rsid w:val="29C60983"/>
    <w:rsid w:val="29EC23D0"/>
    <w:rsid w:val="2A2A638F"/>
    <w:rsid w:val="2A3D718A"/>
    <w:rsid w:val="2A573C22"/>
    <w:rsid w:val="2AE64FA1"/>
    <w:rsid w:val="2AED63FF"/>
    <w:rsid w:val="2B275DB5"/>
    <w:rsid w:val="2B3C416F"/>
    <w:rsid w:val="2B865A6E"/>
    <w:rsid w:val="2BB23A0F"/>
    <w:rsid w:val="2BBF637B"/>
    <w:rsid w:val="2CA46AB0"/>
    <w:rsid w:val="2D08555E"/>
    <w:rsid w:val="2D0B074D"/>
    <w:rsid w:val="2D1E1EC0"/>
    <w:rsid w:val="2D3F3FAC"/>
    <w:rsid w:val="2E044488"/>
    <w:rsid w:val="2E093B7C"/>
    <w:rsid w:val="2E0D724F"/>
    <w:rsid w:val="2FC33FDF"/>
    <w:rsid w:val="2FDD46C3"/>
    <w:rsid w:val="2FDE68C8"/>
    <w:rsid w:val="2FE42778"/>
    <w:rsid w:val="2FFD3E1A"/>
    <w:rsid w:val="300527EC"/>
    <w:rsid w:val="30310162"/>
    <w:rsid w:val="30766328"/>
    <w:rsid w:val="30B5389C"/>
    <w:rsid w:val="30F8634E"/>
    <w:rsid w:val="31046251"/>
    <w:rsid w:val="32080074"/>
    <w:rsid w:val="322140DE"/>
    <w:rsid w:val="323F495B"/>
    <w:rsid w:val="32CC0ADD"/>
    <w:rsid w:val="33A300B2"/>
    <w:rsid w:val="33AC3F3D"/>
    <w:rsid w:val="33C76B68"/>
    <w:rsid w:val="33ED0E7D"/>
    <w:rsid w:val="34453146"/>
    <w:rsid w:val="345C1783"/>
    <w:rsid w:val="351019BA"/>
    <w:rsid w:val="358F3676"/>
    <w:rsid w:val="35986F42"/>
    <w:rsid w:val="35D351EF"/>
    <w:rsid w:val="35DC1B55"/>
    <w:rsid w:val="36464CCC"/>
    <w:rsid w:val="36496A27"/>
    <w:rsid w:val="36601556"/>
    <w:rsid w:val="369A78EA"/>
    <w:rsid w:val="369D1C40"/>
    <w:rsid w:val="36D72ABA"/>
    <w:rsid w:val="36FD52CA"/>
    <w:rsid w:val="37227AF2"/>
    <w:rsid w:val="3786097B"/>
    <w:rsid w:val="37BA75D0"/>
    <w:rsid w:val="37FF6AF6"/>
    <w:rsid w:val="38241A61"/>
    <w:rsid w:val="38B953D5"/>
    <w:rsid w:val="394D1F5B"/>
    <w:rsid w:val="3974080E"/>
    <w:rsid w:val="398F329A"/>
    <w:rsid w:val="3A0C3A08"/>
    <w:rsid w:val="3A11084D"/>
    <w:rsid w:val="3A1855DA"/>
    <w:rsid w:val="3A362F2D"/>
    <w:rsid w:val="3AC20D29"/>
    <w:rsid w:val="3B612347"/>
    <w:rsid w:val="3BA35F48"/>
    <w:rsid w:val="3BDE1B39"/>
    <w:rsid w:val="3C12786E"/>
    <w:rsid w:val="3C9305C5"/>
    <w:rsid w:val="3CD02495"/>
    <w:rsid w:val="3CEC27E0"/>
    <w:rsid w:val="3CF86581"/>
    <w:rsid w:val="3D2E1AD0"/>
    <w:rsid w:val="3D6D19BA"/>
    <w:rsid w:val="3DD76A4D"/>
    <w:rsid w:val="3DE94151"/>
    <w:rsid w:val="3DE96EFA"/>
    <w:rsid w:val="3E1C548D"/>
    <w:rsid w:val="3E242FB4"/>
    <w:rsid w:val="3E247AE6"/>
    <w:rsid w:val="3E4F30A8"/>
    <w:rsid w:val="3E7A46C5"/>
    <w:rsid w:val="3E9C455A"/>
    <w:rsid w:val="3EC127EC"/>
    <w:rsid w:val="3EC7548D"/>
    <w:rsid w:val="3F25A8A2"/>
    <w:rsid w:val="3F2D513B"/>
    <w:rsid w:val="3F330E62"/>
    <w:rsid w:val="3FBBC96A"/>
    <w:rsid w:val="3FC84D85"/>
    <w:rsid w:val="3FD339BE"/>
    <w:rsid w:val="402C5DE3"/>
    <w:rsid w:val="407364E3"/>
    <w:rsid w:val="41161DBB"/>
    <w:rsid w:val="41375C17"/>
    <w:rsid w:val="41B221E6"/>
    <w:rsid w:val="41CF7498"/>
    <w:rsid w:val="41D93A4F"/>
    <w:rsid w:val="4282549D"/>
    <w:rsid w:val="42B775C7"/>
    <w:rsid w:val="42EF0AD2"/>
    <w:rsid w:val="42FA43F0"/>
    <w:rsid w:val="431E45C6"/>
    <w:rsid w:val="43487EAF"/>
    <w:rsid w:val="43776D56"/>
    <w:rsid w:val="44181CE2"/>
    <w:rsid w:val="44300BBD"/>
    <w:rsid w:val="44461A22"/>
    <w:rsid w:val="44E86A3C"/>
    <w:rsid w:val="44FC7D74"/>
    <w:rsid w:val="451E02CA"/>
    <w:rsid w:val="455E1514"/>
    <w:rsid w:val="455E5BAE"/>
    <w:rsid w:val="45C33EF9"/>
    <w:rsid w:val="46405B25"/>
    <w:rsid w:val="46A63BDA"/>
    <w:rsid w:val="47112D5A"/>
    <w:rsid w:val="481F625A"/>
    <w:rsid w:val="482610E5"/>
    <w:rsid w:val="48537EA3"/>
    <w:rsid w:val="486F0BB9"/>
    <w:rsid w:val="48ED508C"/>
    <w:rsid w:val="49566AFF"/>
    <w:rsid w:val="4A2471D4"/>
    <w:rsid w:val="4A3F2D4F"/>
    <w:rsid w:val="4A7D7599"/>
    <w:rsid w:val="4AB12064"/>
    <w:rsid w:val="4AFB4B59"/>
    <w:rsid w:val="4B586C7E"/>
    <w:rsid w:val="4B5B28B0"/>
    <w:rsid w:val="4B775135"/>
    <w:rsid w:val="4BA41A82"/>
    <w:rsid w:val="4C964160"/>
    <w:rsid w:val="4CB67C80"/>
    <w:rsid w:val="4CF91EA6"/>
    <w:rsid w:val="4D326E42"/>
    <w:rsid w:val="4D9977EE"/>
    <w:rsid w:val="4E0D2791"/>
    <w:rsid w:val="4E1E27B3"/>
    <w:rsid w:val="4E29462E"/>
    <w:rsid w:val="4E2F0734"/>
    <w:rsid w:val="4E4756FB"/>
    <w:rsid w:val="4EFA3594"/>
    <w:rsid w:val="4F1D2EA8"/>
    <w:rsid w:val="4F2F2724"/>
    <w:rsid w:val="4F721C9A"/>
    <w:rsid w:val="4F975B89"/>
    <w:rsid w:val="4FB51A13"/>
    <w:rsid w:val="4FBF8EE8"/>
    <w:rsid w:val="4FCE6A55"/>
    <w:rsid w:val="4FEA297F"/>
    <w:rsid w:val="502A3A06"/>
    <w:rsid w:val="50B60EBE"/>
    <w:rsid w:val="510B29CA"/>
    <w:rsid w:val="511C5981"/>
    <w:rsid w:val="513C2963"/>
    <w:rsid w:val="51F30A43"/>
    <w:rsid w:val="520C324C"/>
    <w:rsid w:val="522F03C8"/>
    <w:rsid w:val="52550248"/>
    <w:rsid w:val="525C32E8"/>
    <w:rsid w:val="52C21EE0"/>
    <w:rsid w:val="52FF0B04"/>
    <w:rsid w:val="5354699C"/>
    <w:rsid w:val="53777366"/>
    <w:rsid w:val="54282C3B"/>
    <w:rsid w:val="54823F49"/>
    <w:rsid w:val="5492388D"/>
    <w:rsid w:val="549C075E"/>
    <w:rsid w:val="54BF137C"/>
    <w:rsid w:val="54EC5797"/>
    <w:rsid w:val="5556738B"/>
    <w:rsid w:val="558E7A45"/>
    <w:rsid w:val="559B605D"/>
    <w:rsid w:val="55B9328D"/>
    <w:rsid w:val="55D21458"/>
    <w:rsid w:val="561A3C9D"/>
    <w:rsid w:val="563147E3"/>
    <w:rsid w:val="56332FB1"/>
    <w:rsid w:val="566D55B3"/>
    <w:rsid w:val="56904833"/>
    <w:rsid w:val="58207565"/>
    <w:rsid w:val="585D2567"/>
    <w:rsid w:val="58A77915"/>
    <w:rsid w:val="58B220A5"/>
    <w:rsid w:val="592C585A"/>
    <w:rsid w:val="593413AC"/>
    <w:rsid w:val="59A87336"/>
    <w:rsid w:val="59E533C1"/>
    <w:rsid w:val="5A727442"/>
    <w:rsid w:val="5ABD1400"/>
    <w:rsid w:val="5ACF3C26"/>
    <w:rsid w:val="5C002755"/>
    <w:rsid w:val="5CAC4CC4"/>
    <w:rsid w:val="5CF020AF"/>
    <w:rsid w:val="5D7027BA"/>
    <w:rsid w:val="5DD44014"/>
    <w:rsid w:val="5DFD2600"/>
    <w:rsid w:val="5E2F0985"/>
    <w:rsid w:val="5EAB05DC"/>
    <w:rsid w:val="5EF2E9CA"/>
    <w:rsid w:val="5EFF1EBE"/>
    <w:rsid w:val="5F047294"/>
    <w:rsid w:val="5F1860C7"/>
    <w:rsid w:val="5FE62C52"/>
    <w:rsid w:val="5FF800D7"/>
    <w:rsid w:val="603A0512"/>
    <w:rsid w:val="604F0199"/>
    <w:rsid w:val="60645B52"/>
    <w:rsid w:val="60707AFB"/>
    <w:rsid w:val="60AF6544"/>
    <w:rsid w:val="612545DF"/>
    <w:rsid w:val="6188684F"/>
    <w:rsid w:val="61A249D1"/>
    <w:rsid w:val="61D82DB6"/>
    <w:rsid w:val="62616B3E"/>
    <w:rsid w:val="62CD073C"/>
    <w:rsid w:val="62DE6F40"/>
    <w:rsid w:val="635A096C"/>
    <w:rsid w:val="63975B17"/>
    <w:rsid w:val="63EB6861"/>
    <w:rsid w:val="646A4041"/>
    <w:rsid w:val="64C60066"/>
    <w:rsid w:val="65604101"/>
    <w:rsid w:val="65B04F76"/>
    <w:rsid w:val="65B6730B"/>
    <w:rsid w:val="65E716E5"/>
    <w:rsid w:val="662C27A0"/>
    <w:rsid w:val="67826084"/>
    <w:rsid w:val="67C47D67"/>
    <w:rsid w:val="67FA02D0"/>
    <w:rsid w:val="680C4C52"/>
    <w:rsid w:val="683C5BA4"/>
    <w:rsid w:val="6858797B"/>
    <w:rsid w:val="688E5425"/>
    <w:rsid w:val="68C619F3"/>
    <w:rsid w:val="68D763E7"/>
    <w:rsid w:val="68ED293A"/>
    <w:rsid w:val="690D1465"/>
    <w:rsid w:val="6963331B"/>
    <w:rsid w:val="69633947"/>
    <w:rsid w:val="69DB0FEE"/>
    <w:rsid w:val="6A6866D6"/>
    <w:rsid w:val="6A8A0BC6"/>
    <w:rsid w:val="6B195C36"/>
    <w:rsid w:val="6B224F4B"/>
    <w:rsid w:val="6B5402C5"/>
    <w:rsid w:val="6B770B76"/>
    <w:rsid w:val="6B8B0C8C"/>
    <w:rsid w:val="6B9C21AC"/>
    <w:rsid w:val="6BA7749A"/>
    <w:rsid w:val="6C5C25BE"/>
    <w:rsid w:val="6CF062D3"/>
    <w:rsid w:val="6D594360"/>
    <w:rsid w:val="6D9B170F"/>
    <w:rsid w:val="6DC4607F"/>
    <w:rsid w:val="6DFF0A99"/>
    <w:rsid w:val="6E277047"/>
    <w:rsid w:val="6E605914"/>
    <w:rsid w:val="6E616890"/>
    <w:rsid w:val="6E6D2FC5"/>
    <w:rsid w:val="6E7B6D37"/>
    <w:rsid w:val="6F0C28B8"/>
    <w:rsid w:val="6F683873"/>
    <w:rsid w:val="6F8E13D1"/>
    <w:rsid w:val="6F943310"/>
    <w:rsid w:val="6FB7F979"/>
    <w:rsid w:val="6FB84347"/>
    <w:rsid w:val="708A7B7A"/>
    <w:rsid w:val="70B65454"/>
    <w:rsid w:val="713C209C"/>
    <w:rsid w:val="7155571E"/>
    <w:rsid w:val="715E5B86"/>
    <w:rsid w:val="71756BE9"/>
    <w:rsid w:val="71A1696E"/>
    <w:rsid w:val="71CF14E4"/>
    <w:rsid w:val="725712CC"/>
    <w:rsid w:val="72603BEB"/>
    <w:rsid w:val="72C47DB0"/>
    <w:rsid w:val="72D7641C"/>
    <w:rsid w:val="72FC4191"/>
    <w:rsid w:val="734B7B97"/>
    <w:rsid w:val="738C63B9"/>
    <w:rsid w:val="752128B8"/>
    <w:rsid w:val="75455517"/>
    <w:rsid w:val="754E7A99"/>
    <w:rsid w:val="75876BAC"/>
    <w:rsid w:val="75E25E85"/>
    <w:rsid w:val="762930B4"/>
    <w:rsid w:val="76E144D5"/>
    <w:rsid w:val="76EC5049"/>
    <w:rsid w:val="76F2045F"/>
    <w:rsid w:val="76F53113"/>
    <w:rsid w:val="77334767"/>
    <w:rsid w:val="77350AF4"/>
    <w:rsid w:val="77975353"/>
    <w:rsid w:val="78F72653"/>
    <w:rsid w:val="7953311E"/>
    <w:rsid w:val="797E505C"/>
    <w:rsid w:val="79AB4053"/>
    <w:rsid w:val="79C52CAB"/>
    <w:rsid w:val="79FA75B8"/>
    <w:rsid w:val="7A1C5506"/>
    <w:rsid w:val="7A58164A"/>
    <w:rsid w:val="7B032A3A"/>
    <w:rsid w:val="7B2106F4"/>
    <w:rsid w:val="7B387A16"/>
    <w:rsid w:val="7B4E115C"/>
    <w:rsid w:val="7B5B4DB0"/>
    <w:rsid w:val="7B656E15"/>
    <w:rsid w:val="7BB327E7"/>
    <w:rsid w:val="7BC71922"/>
    <w:rsid w:val="7C3D3992"/>
    <w:rsid w:val="7CD50193"/>
    <w:rsid w:val="7D2F8AB1"/>
    <w:rsid w:val="7D6E48D2"/>
    <w:rsid w:val="7D9B1B07"/>
    <w:rsid w:val="7EA34188"/>
    <w:rsid w:val="7F1364DE"/>
    <w:rsid w:val="7FF81B5F"/>
    <w:rsid w:val="7FFAF8B7"/>
    <w:rsid w:val="8FDF3A27"/>
    <w:rsid w:val="9F4F829D"/>
    <w:rsid w:val="ABEF2477"/>
    <w:rsid w:val="BE5E41AB"/>
    <w:rsid w:val="BFF4739B"/>
    <w:rsid w:val="CCBE6F55"/>
    <w:rsid w:val="DBF66008"/>
    <w:rsid w:val="DEAAD6BD"/>
    <w:rsid w:val="DF6FD8CB"/>
    <w:rsid w:val="DF7F7F55"/>
    <w:rsid w:val="E3F34527"/>
    <w:rsid w:val="E96EB0AA"/>
    <w:rsid w:val="EEA977E3"/>
    <w:rsid w:val="EF7676DB"/>
    <w:rsid w:val="F19E6847"/>
    <w:rsid w:val="F65E56B9"/>
    <w:rsid w:val="FB2FB0D0"/>
    <w:rsid w:val="FEEF512E"/>
    <w:rsid w:val="FF739150"/>
    <w:rsid w:val="FFD2F28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qFormat/>
    <w:uiPriority w:val="9"/>
    <w:pPr>
      <w:keepNext/>
      <w:keepLines/>
      <w:spacing w:before="340" w:after="330" w:line="576" w:lineRule="auto"/>
      <w:outlineLvl w:val="0"/>
    </w:pPr>
    <w:rPr>
      <w:b/>
      <w:kern w:val="44"/>
      <w:sz w:val="44"/>
    </w:rPr>
  </w:style>
  <w:style w:type="paragraph" w:styleId="4">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5">
    <w:name w:val="heading 3"/>
    <w:basedOn w:val="1"/>
    <w:next w:val="1"/>
    <w:unhideWhenUsed/>
    <w:qFormat/>
    <w:uiPriority w:val="0"/>
    <w:pPr>
      <w:keepNext/>
      <w:keepLines/>
      <w:spacing w:before="260" w:after="260" w:line="413" w:lineRule="auto"/>
      <w:outlineLvl w:val="2"/>
    </w:pPr>
    <w:rPr>
      <w:b/>
      <w:sz w:val="32"/>
    </w:rPr>
  </w:style>
  <w:style w:type="paragraph" w:styleId="6">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0"/>
    <w:pPr>
      <w:keepNext/>
      <w:keepLines/>
      <w:spacing w:before="280" w:after="290" w:line="372" w:lineRule="auto"/>
      <w:outlineLvl w:val="4"/>
    </w:pPr>
    <w:rPr>
      <w:b/>
      <w:sz w:val="28"/>
    </w:rPr>
  </w:style>
  <w:style w:type="paragraph" w:styleId="8">
    <w:name w:val="heading 6"/>
    <w:basedOn w:val="1"/>
    <w:next w:val="1"/>
    <w:unhideWhenUsed/>
    <w:qFormat/>
    <w:uiPriority w:val="0"/>
    <w:pPr>
      <w:keepNext/>
      <w:keepLines/>
      <w:spacing w:before="240" w:after="64" w:line="317" w:lineRule="auto"/>
      <w:outlineLvl w:val="5"/>
    </w:pPr>
    <w:rPr>
      <w:rFonts w:ascii="Arial" w:hAnsi="Arial" w:eastAsia="黑体"/>
      <w:b/>
      <w:sz w:val="24"/>
    </w:rPr>
  </w:style>
  <w:style w:type="paragraph" w:styleId="9">
    <w:name w:val="heading 7"/>
    <w:basedOn w:val="1"/>
    <w:next w:val="1"/>
    <w:unhideWhenUsed/>
    <w:qFormat/>
    <w:uiPriority w:val="0"/>
    <w:pPr>
      <w:keepNext/>
      <w:keepLines/>
      <w:spacing w:before="240" w:after="64" w:line="317" w:lineRule="auto"/>
      <w:outlineLvl w:val="6"/>
    </w:pPr>
    <w:rPr>
      <w:b/>
      <w:sz w:val="24"/>
    </w:rPr>
  </w:style>
  <w:style w:type="paragraph" w:styleId="10">
    <w:name w:val="heading 8"/>
    <w:basedOn w:val="1"/>
    <w:next w:val="1"/>
    <w:unhideWhenUsed/>
    <w:qFormat/>
    <w:uiPriority w:val="0"/>
    <w:pPr>
      <w:keepNext/>
      <w:keepLines/>
      <w:spacing w:before="240" w:after="64" w:line="317" w:lineRule="auto"/>
      <w:outlineLvl w:val="7"/>
    </w:pPr>
    <w:rPr>
      <w:rFonts w:ascii="Arial" w:hAnsi="Arial" w:eastAsia="黑体"/>
      <w:sz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spacing w:line="440" w:lineRule="exact"/>
      <w:ind w:firstLine="480" w:firstLineChars="200"/>
    </w:pPr>
  </w:style>
  <w:style w:type="paragraph" w:styleId="11">
    <w:name w:val="Balloon Text"/>
    <w:basedOn w:val="1"/>
    <w:link w:val="18"/>
    <w:qFormat/>
    <w:uiPriority w:val="0"/>
    <w:rPr>
      <w:sz w:val="18"/>
      <w:szCs w:val="18"/>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7">
    <w:name w:val="插入文本样式-插入部门职责文件"/>
    <w:basedOn w:val="1"/>
    <w:qFormat/>
    <w:uiPriority w:val="0"/>
    <w:pPr>
      <w:spacing w:line="500" w:lineRule="exact"/>
      <w:ind w:firstLine="560"/>
      <w:jc w:val="left"/>
    </w:pPr>
    <w:rPr>
      <w:rFonts w:ascii="Times New Roman" w:hAnsi="Times New Roman" w:eastAsia="方正仿宋_GBK"/>
      <w:sz w:val="28"/>
    </w:rPr>
  </w:style>
  <w:style w:type="character" w:customStyle="1" w:styleId="18">
    <w:name w:val="批注框文本 Char"/>
    <w:basedOn w:val="16"/>
    <w:link w:val="11"/>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chart" Target="charts/chart5.xml"/><Relationship Id="rId20" Type="http://schemas.openxmlformats.org/officeDocument/2006/relationships/chart" Target="charts/chart4.xml"/><Relationship Id="rId2" Type="http://schemas.openxmlformats.org/officeDocument/2006/relationships/settings" Target="settings.xml"/><Relationship Id="rId19" Type="http://schemas.openxmlformats.org/officeDocument/2006/relationships/chart" Target="charts/chart3.xml"/><Relationship Id="rId18" Type="http://schemas.openxmlformats.org/officeDocument/2006/relationships/chart" Target="charts/chart2.xml"/><Relationship Id="rId17" Type="http://schemas.openxmlformats.org/officeDocument/2006/relationships/chart" Target="charts/chart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col"/>
        <c:grouping val="clustered"/>
        <c:varyColors val="false"/>
        <c:ser>
          <c:idx val="0"/>
          <c:order val="0"/>
          <c:tx>
            <c:strRef>
              <c:f>Sheet1!$B$1</c:f>
              <c:strCache>
                <c:ptCount val="1"/>
                <c:pt idx="0">
                  <c:v/>
                </c:pt>
              </c:strCache>
            </c:strRef>
          </c:tx>
          <c:spPr>
            <a:solidFill>
              <a:schemeClr val="accent1"/>
            </a:solidFill>
            <a:ln>
              <a:noFill/>
            </a:ln>
            <a:effectLst/>
          </c:spPr>
          <c:invertIfNegative val="false"/>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1165.47</c:v>
                </c:pt>
                <c:pt idx="1">
                  <c:v>1686.09</c:v>
                </c:pt>
              </c:numCache>
            </c:numRef>
          </c:val>
        </c:ser>
        <c:dLbls>
          <c:showLegendKey val="false"/>
          <c:showVal val="true"/>
          <c:showCatName val="false"/>
          <c:showSerName val="false"/>
          <c:showPercent val="false"/>
          <c:showBubbleSize val="false"/>
        </c:dLbls>
        <c:gapWidth val="219"/>
        <c:overlap val="-27"/>
        <c:axId val="155169152"/>
        <c:axId val="155170688"/>
      </c:barChart>
      <c:catAx>
        <c:axId val="155169152"/>
        <c:scaling>
          <c:orientation val="minMax"/>
        </c:scaling>
        <c:delete val="false"/>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155170688"/>
        <c:crosses val="autoZero"/>
        <c:auto val="true"/>
        <c:lblAlgn val="ctr"/>
        <c:lblOffset val="100"/>
        <c:noMultiLvlLbl val="false"/>
      </c:catAx>
      <c:valAx>
        <c:axId val="155170688"/>
        <c:scaling>
          <c:orientation val="minMax"/>
        </c:scaling>
        <c:delete val="false"/>
        <c:axPos val="l"/>
        <c:majorGridlines>
          <c:spPr>
            <a:ln w="9525" cap="flat" cmpd="sng" algn="ctr">
              <a:solidFill>
                <a:schemeClr val="tx1">
                  <a:lumMod val="15000"/>
                  <a:lumOff val="85000"/>
                </a:schemeClr>
              </a:solidFill>
              <a:round/>
            </a:ln>
            <a:effectLst/>
          </c:spPr>
        </c:majorGridlines>
        <c:numFmt formatCode="General" sourceLinked="true"/>
        <c:majorTickMark val="out"/>
        <c:minorTickMark val="none"/>
        <c:tickLblPos val="nextTo"/>
        <c:spPr>
          <a:noFill/>
          <a:ln>
            <a:noFill/>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155169152"/>
        <c:crosses val="autoZero"/>
        <c:crossBetween val="between"/>
      </c:valAx>
      <c:spPr>
        <a:noFill/>
        <a:ln>
          <a:noFill/>
        </a:ln>
        <a:effectLst/>
      </c:spPr>
    </c:plotArea>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false"/>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pieChart>
        <c:varyColors val="true"/>
        <c:ser>
          <c:idx val="0"/>
          <c:order val="0"/>
          <c:tx>
            <c:strRef>
              <c:f>Sheet1!$B$1</c:f>
              <c:strCache>
                <c:ptCount val="1"/>
                <c:pt idx="0">
                  <c:v>列1</c:v>
                </c:pt>
              </c:strCache>
            </c:strRef>
          </c:tx>
          <c:spPr/>
          <c:explosion val="0"/>
          <c:dPt>
            <c:idx val="0"/>
            <c:bubble3D val="false"/>
            <c:spPr>
              <a:solidFill>
                <a:schemeClr val="accent1"/>
              </a:solidFill>
              <a:ln w="19050">
                <a:solidFill>
                  <a:schemeClr val="lt1"/>
                </a:solidFill>
              </a:ln>
              <a:effectLst/>
            </c:spPr>
          </c:dPt>
          <c:dPt>
            <c:idx val="1"/>
            <c:bubble3D val="false"/>
            <c:spPr>
              <a:solidFill>
                <a:schemeClr val="accent2"/>
              </a:solidFill>
              <a:ln w="19050">
                <a:solidFill>
                  <a:schemeClr val="lt1"/>
                </a:solidFill>
              </a:ln>
              <a:effectLst/>
            </c:spPr>
          </c:dPt>
          <c:dLbls>
            <c:dLbl>
              <c:idx val="0"/>
              <c:layout>
                <c:manualLayout>
                  <c:x val="-0.0123284525200537"/>
                  <c:y val="0.236711102356828"/>
                </c:manualLayout>
              </c:layout>
              <c:tx>
                <c:rich>
                  <a:bodyPr rot="0" spcFirstLastPara="0" vertOverflow="ellipsis" vert="horz" wrap="square" lIns="38100" tIns="19050" rIns="38100" bIns="19050" anchor="ctr" anchorCtr="true"/>
                  <a:lstStyle/>
                  <a:p>
                    <a:pPr defTabSz="914400">
                      <a:defRPr lang="zh-CN" sz="900" b="0" i="0" u="none" strike="noStrike" kern="1200" baseline="0">
                        <a:solidFill>
                          <a:schemeClr val="tx1">
                            <a:lumMod val="75000"/>
                            <a:lumOff val="25000"/>
                          </a:schemeClr>
                        </a:solidFill>
                        <a:latin typeface="+mn-lt"/>
                        <a:ea typeface="+mn-ea"/>
                        <a:cs typeface="+mn-cs"/>
                      </a:defRPr>
                    </a:pPr>
                    <a:r>
                      <a:t>财政拨款收入</a:t>
                    </a:r>
                    <a:r>
                      <a:rPr lang="en-US" altLang="zh-CN"/>
                      <a:t>3.31</a:t>
                    </a:r>
                    <a:r>
                      <a:t>%</a:t>
                    </a:r>
                  </a:p>
                </c:rich>
              </c:tx>
              <c:dLblPos val="bestFit"/>
              <c:showLegendKey val="false"/>
              <c:showVal val="false"/>
              <c:showCatName val="false"/>
              <c:showSerName val="false"/>
              <c:showPercent val="true"/>
              <c:showBubbleSize val="false"/>
              <c:extLst>
                <c:ext xmlns:c15="http://schemas.microsoft.com/office/drawing/2012/chart" uri="{CE6537A1-D6FC-4f65-9D91-7224C49458BB}">
                  <c15:layout/>
                </c:ext>
              </c:extLst>
            </c:dLbl>
            <c:dLbl>
              <c:idx val="1"/>
              <c:layout/>
              <c:tx>
                <c:rich>
                  <a:bodyPr rot="0" spcFirstLastPara="0" vertOverflow="ellipsis" vert="horz" wrap="square" lIns="38100" tIns="19050" rIns="38100" bIns="19050" anchor="ctr" anchorCtr="true"/>
                  <a:lstStyle/>
                  <a:p>
                    <a:pPr defTabSz="914400">
                      <a:defRPr lang="zh-CN" sz="900" b="0" i="0" u="none" strike="noStrike" kern="1200" baseline="0">
                        <a:solidFill>
                          <a:schemeClr val="tx1">
                            <a:lumMod val="75000"/>
                            <a:lumOff val="25000"/>
                          </a:schemeClr>
                        </a:solidFill>
                        <a:latin typeface="+mn-lt"/>
                        <a:ea typeface="+mn-ea"/>
                        <a:cs typeface="+mn-cs"/>
                      </a:defRPr>
                    </a:pPr>
                    <a:r>
                      <a:t>其他收入</a:t>
                    </a:r>
                    <a:r>
                      <a:rPr lang="en-US" altLang="zh-CN"/>
                      <a:t>96.69</a:t>
                    </a:r>
                    <a:r>
                      <a:t>%</a:t>
                    </a:r>
                  </a:p>
                </c:rich>
              </c:tx>
              <c:dLblPos val="ctr"/>
              <c:showLegendKey val="false"/>
              <c:showVal val="false"/>
              <c:showCatName val="false"/>
              <c:showSerName val="false"/>
              <c:showPercent val="true"/>
              <c:showBubbleSize val="false"/>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false"/>
            <c:showVal val="false"/>
            <c:showCatName val="false"/>
            <c:showSerName val="false"/>
            <c:showPercent val="true"/>
            <c:showBubbleSize val="false"/>
            <c:showLeaderLines val="tru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Sheet1!$A$2:$A$3</c:f>
              <c:strCache>
                <c:ptCount val="2"/>
                <c:pt idx="0">
                  <c:v>财政拨款收入</c:v>
                </c:pt>
                <c:pt idx="1">
                  <c:v>其他收入</c:v>
                </c:pt>
              </c:strCache>
            </c:strRef>
          </c:cat>
          <c:val>
            <c:numRef>
              <c:f>Sheet1!$B$2:$B$3</c:f>
              <c:numCache>
                <c:formatCode>General</c:formatCode>
                <c:ptCount val="2"/>
                <c:pt idx="0">
                  <c:v>54.6</c:v>
                </c:pt>
                <c:pt idx="1">
                  <c:v>1595.38</c:v>
                </c:pt>
              </c:numCache>
            </c:numRef>
          </c:val>
        </c:ser>
        <c:dLbls>
          <c:showLegendKey val="false"/>
          <c:showVal val="true"/>
          <c:showCatName val="false"/>
          <c:showSerName val="false"/>
          <c:showPercent val="false"/>
          <c:showBubbleSize val="false"/>
          <c:showLeaderLines val="true"/>
        </c:dLbls>
        <c:firstSliceAng val="0"/>
      </c:pieChart>
      <c:spPr>
        <a:noFill/>
        <a:ln>
          <a:noFill/>
        </a:ln>
        <a:effectLst/>
      </c:spPr>
    </c:plotArea>
    <c:plotVisOnly val="true"/>
    <c:dispBlanksAs val="zero"/>
    <c:showDLblsOverMax val="false"/>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false"/>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pieChart>
        <c:varyColors val="true"/>
        <c:ser>
          <c:idx val="0"/>
          <c:order val="0"/>
          <c:tx>
            <c:strRef>
              <c:f>Sheet1!$B$1</c:f>
              <c:strCache>
                <c:ptCount val="1"/>
                <c:pt idx="0">
                  <c:v>销售额</c:v>
                </c:pt>
              </c:strCache>
            </c:strRef>
          </c:tx>
          <c:spPr/>
          <c:explosion val="0"/>
          <c:dPt>
            <c:idx val="0"/>
            <c:bubble3D val="false"/>
            <c:spPr>
              <a:solidFill>
                <a:schemeClr val="accent1"/>
              </a:solidFill>
              <a:ln w="19050">
                <a:solidFill>
                  <a:schemeClr val="lt1"/>
                </a:solidFill>
              </a:ln>
              <a:effectLst/>
            </c:spPr>
          </c:dPt>
          <c:dPt>
            <c:idx val="1"/>
            <c:bubble3D val="false"/>
            <c:spPr>
              <a:solidFill>
                <a:schemeClr val="accent2"/>
              </a:solidFill>
              <a:ln w="19050">
                <a:solidFill>
                  <a:schemeClr val="lt1"/>
                </a:solidFill>
              </a:ln>
              <a:effectLst/>
            </c:spPr>
          </c:dPt>
          <c:dLbls>
            <c:dLbl>
              <c:idx val="0"/>
              <c:layout>
                <c:manualLayout>
                  <c:x val="-0.186519288451258"/>
                  <c:y val="0.0065701918646778"/>
                </c:manualLayout>
              </c:layout>
              <c:tx>
                <c:rich>
                  <a:bodyPr rot="0" spcFirstLastPara="0" vertOverflow="ellipsis" vert="horz" wrap="square" lIns="38100" tIns="19050" rIns="38100" bIns="19050" anchor="ctr" anchorCtr="true"/>
                  <a:lstStyle/>
                  <a:p>
                    <a:pPr defTabSz="914400">
                      <a:defRPr lang="zh-CN" sz="900" b="0" i="0" u="none" strike="noStrike" kern="1200" baseline="0">
                        <a:solidFill>
                          <a:schemeClr val="tx1">
                            <a:lumMod val="75000"/>
                            <a:lumOff val="25000"/>
                          </a:schemeClr>
                        </a:solidFill>
                        <a:latin typeface="+mn-lt"/>
                        <a:ea typeface="+mn-ea"/>
                        <a:cs typeface="+mn-cs"/>
                      </a:defRPr>
                    </a:pPr>
                    <a:r>
                      <a:t>基本支出</a:t>
                    </a:r>
                    <a:r>
                      <a:rPr lang="en-US" altLang="zh-CN"/>
                      <a:t>51.03</a:t>
                    </a:r>
                    <a:r>
                      <a:t>%</a:t>
                    </a:r>
                  </a:p>
                </c:rich>
              </c:tx>
              <c:dLblPos val="bestFit"/>
              <c:showLegendKey val="false"/>
              <c:showVal val="false"/>
              <c:showCatName val="false"/>
              <c:showSerName val="false"/>
              <c:showPercent val="true"/>
              <c:showBubbleSize val="false"/>
              <c:extLst>
                <c:ext xmlns:c15="http://schemas.microsoft.com/office/drawing/2012/chart" uri="{CE6537A1-D6FC-4f65-9D91-7224C49458BB}">
                  <c15:layout/>
                </c:ext>
              </c:extLst>
            </c:dLbl>
            <c:dLbl>
              <c:idx val="1"/>
              <c:layout>
                <c:manualLayout>
                  <c:x val="0.190102933209843"/>
                  <c:y val="0.0377768345313863"/>
                </c:manualLayout>
              </c:layout>
              <c:tx>
                <c:rich>
                  <a:bodyPr rot="0" spcFirstLastPara="0" vertOverflow="ellipsis" vert="horz" wrap="square" lIns="38100" tIns="19050" rIns="38100" bIns="19050" anchor="ctr" anchorCtr="true"/>
                  <a:lstStyle/>
                  <a:p>
                    <a:pPr defTabSz="914400">
                      <a:defRPr lang="zh-CN" sz="900" b="0" i="0" u="none" strike="noStrike" kern="1200" baseline="0">
                        <a:solidFill>
                          <a:schemeClr val="tx1">
                            <a:lumMod val="75000"/>
                            <a:lumOff val="25000"/>
                          </a:schemeClr>
                        </a:solidFill>
                        <a:latin typeface="+mn-lt"/>
                        <a:ea typeface="+mn-ea"/>
                        <a:cs typeface="+mn-cs"/>
                      </a:defRPr>
                    </a:pPr>
                    <a:r>
                      <a:t>项目支出</a:t>
                    </a:r>
                    <a:r>
                      <a:rPr lang="en-US" altLang="zh-CN"/>
                      <a:t>48.97</a:t>
                    </a:r>
                    <a:r>
                      <a:t>%</a:t>
                    </a:r>
                  </a:p>
                </c:rich>
              </c:tx>
              <c:dLblPos val="bestFit"/>
              <c:showLegendKey val="false"/>
              <c:showVal val="false"/>
              <c:showCatName val="false"/>
              <c:showSerName val="false"/>
              <c:showPercent val="true"/>
              <c:showBubbleSize val="false"/>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false"/>
            <c:showVal val="false"/>
            <c:showCatName val="false"/>
            <c:showSerName val="false"/>
            <c:showPercent val="true"/>
            <c:showBubbleSize val="false"/>
            <c:showLeaderLines val="tru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Sheet1!$A$2:$A$3</c:f>
              <c:strCache>
                <c:ptCount val="2"/>
                <c:pt idx="0">
                  <c:v>基本支出</c:v>
                </c:pt>
                <c:pt idx="1">
                  <c:v>项目支出</c:v>
                </c:pt>
              </c:strCache>
            </c:strRef>
          </c:cat>
          <c:val>
            <c:numRef>
              <c:f>Sheet1!$B$2:$B$3</c:f>
              <c:numCache>
                <c:formatCode>General</c:formatCode>
                <c:ptCount val="2"/>
                <c:pt idx="0">
                  <c:v>694.97</c:v>
                </c:pt>
                <c:pt idx="1">
                  <c:v>667.04</c:v>
                </c:pt>
              </c:numCache>
            </c:numRef>
          </c:val>
        </c:ser>
        <c:dLbls>
          <c:showLegendKey val="false"/>
          <c:showVal val="true"/>
          <c:showCatName val="false"/>
          <c:showSerName val="false"/>
          <c:showPercent val="false"/>
          <c:showBubbleSize val="false"/>
          <c:showLeaderLines val="true"/>
        </c:dLbls>
        <c:firstSliceAng val="0"/>
      </c:pieChart>
      <c:spPr>
        <a:noFill/>
        <a:ln>
          <a:noFill/>
        </a:ln>
        <a:effectLst/>
      </c:spPr>
    </c:plotArea>
    <c:plotVisOnly val="true"/>
    <c:dispBlanksAs val="zero"/>
    <c:showDLblsOverMax val="false"/>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false"/>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manualLayout>
          <c:layoutTarget val="inner"/>
          <c:xMode val="edge"/>
          <c:yMode val="edge"/>
          <c:x val="0.0723438549361988"/>
          <c:y val="0.0714065866420437"/>
          <c:w val="0.898106111484218"/>
          <c:h val="0.783441058787319"/>
        </c:manualLayout>
      </c:layout>
      <c:barChart>
        <c:barDir val="col"/>
        <c:grouping val="clustered"/>
        <c:varyColors val="false"/>
        <c:ser>
          <c:idx val="0"/>
          <c:order val="0"/>
          <c:tx>
            <c:strRef>
              <c:f>Sheet1!$B$1</c:f>
              <c:strCache>
                <c:ptCount val="1"/>
                <c:pt idx="0">
                  <c:v>销售额</c:v>
                </c:pt>
              </c:strCache>
            </c:strRef>
          </c:tx>
          <c:spPr>
            <a:solidFill>
              <a:schemeClr val="accent1"/>
            </a:solidFill>
            <a:ln>
              <a:noFill/>
            </a:ln>
            <a:effectLst/>
          </c:spPr>
          <c:invertIfNegative val="false"/>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39.18</c:v>
                </c:pt>
                <c:pt idx="1">
                  <c:v>55.34</c:v>
                </c:pt>
              </c:numCache>
            </c:numRef>
          </c:val>
        </c:ser>
        <c:dLbls>
          <c:showLegendKey val="false"/>
          <c:showVal val="true"/>
          <c:showCatName val="false"/>
          <c:showSerName val="false"/>
          <c:showPercent val="false"/>
          <c:showBubbleSize val="false"/>
        </c:dLbls>
        <c:gapWidth val="219"/>
        <c:overlap val="-27"/>
        <c:axId val="181688192"/>
        <c:axId val="181703040"/>
      </c:barChart>
      <c:catAx>
        <c:axId val="181688192"/>
        <c:scaling>
          <c:orientation val="minMax"/>
        </c:scaling>
        <c:delete val="false"/>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181703040"/>
        <c:crosses val="autoZero"/>
        <c:auto val="true"/>
        <c:lblAlgn val="ctr"/>
        <c:lblOffset val="100"/>
        <c:noMultiLvlLbl val="false"/>
      </c:catAx>
      <c:valAx>
        <c:axId val="181703040"/>
        <c:scaling>
          <c:orientation val="minMax"/>
        </c:scaling>
        <c:delete val="false"/>
        <c:axPos val="l"/>
        <c:majorGridlines>
          <c:spPr>
            <a:ln w="9525" cap="flat" cmpd="sng" algn="ctr">
              <a:solidFill>
                <a:schemeClr val="tx1">
                  <a:lumMod val="15000"/>
                  <a:lumOff val="85000"/>
                </a:schemeClr>
              </a:solidFill>
              <a:round/>
            </a:ln>
            <a:effectLst/>
          </c:spPr>
        </c:majorGridlines>
        <c:numFmt formatCode="General" sourceLinked="true"/>
        <c:majorTickMark val="out"/>
        <c:minorTickMark val="none"/>
        <c:tickLblPos val="nextTo"/>
        <c:spPr>
          <a:noFill/>
          <a:ln>
            <a:noFill/>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181688192"/>
        <c:crosses val="autoZero"/>
        <c:crossBetween val="between"/>
      </c:valAx>
      <c:spPr>
        <a:noFill/>
        <a:ln>
          <a:noFill/>
        </a:ln>
        <a:effectLst/>
      </c:spPr>
    </c:plotArea>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false"/>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col"/>
        <c:grouping val="clustered"/>
        <c:varyColors val="false"/>
        <c:ser>
          <c:idx val="0"/>
          <c:order val="0"/>
          <c:tx>
            <c:strRef>
              <c:f>Sheet1!$B$1</c:f>
              <c:strCache>
                <c:ptCount val="1"/>
                <c:pt idx="0">
                  <c:v/>
                </c:pt>
              </c:strCache>
            </c:strRef>
          </c:tx>
          <c:spPr>
            <a:solidFill>
              <a:schemeClr val="accent1"/>
            </a:solidFill>
            <a:ln>
              <a:noFill/>
            </a:ln>
            <a:effectLst/>
          </c:spPr>
          <c:invertIfNegative val="false"/>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38.44</c:v>
                </c:pt>
                <c:pt idx="1">
                  <c:v>54.9</c:v>
                </c:pt>
              </c:numCache>
            </c:numRef>
          </c:val>
        </c:ser>
        <c:dLbls>
          <c:showLegendKey val="false"/>
          <c:showVal val="true"/>
          <c:showCatName val="false"/>
          <c:showSerName val="false"/>
          <c:showPercent val="false"/>
          <c:showBubbleSize val="false"/>
        </c:dLbls>
        <c:gapWidth val="290"/>
        <c:overlap val="-52"/>
        <c:axId val="184273920"/>
        <c:axId val="184276480"/>
      </c:barChart>
      <c:catAx>
        <c:axId val="184273920"/>
        <c:scaling>
          <c:orientation val="minMax"/>
        </c:scaling>
        <c:delete val="false"/>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184276480"/>
        <c:crosses val="autoZero"/>
        <c:auto val="true"/>
        <c:lblAlgn val="ctr"/>
        <c:lblOffset val="100"/>
        <c:noMultiLvlLbl val="false"/>
      </c:catAx>
      <c:valAx>
        <c:axId val="184276480"/>
        <c:scaling>
          <c:orientation val="minMax"/>
        </c:scaling>
        <c:delete val="false"/>
        <c:axPos val="l"/>
        <c:majorGridlines>
          <c:spPr>
            <a:ln w="9525" cap="flat" cmpd="sng" algn="ctr">
              <a:solidFill>
                <a:schemeClr val="tx1">
                  <a:lumMod val="15000"/>
                  <a:lumOff val="85000"/>
                </a:schemeClr>
              </a:solidFill>
              <a:round/>
            </a:ln>
            <a:effectLst/>
          </c:spPr>
        </c:majorGridlines>
        <c:numFmt formatCode="General" sourceLinked="true"/>
        <c:majorTickMark val="out"/>
        <c:minorTickMark val="none"/>
        <c:tickLblPos val="nextTo"/>
        <c:spPr>
          <a:noFill/>
          <a:ln>
            <a:noFill/>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184273920"/>
        <c:crosses val="autoZero"/>
        <c:crossBetween val="between"/>
      </c:valAx>
      <c:spPr>
        <a:noFill/>
        <a:ln>
          <a:noFill/>
        </a:ln>
        <a:effectLst/>
      </c:spPr>
    </c:plotArea>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false"/>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25</Pages>
  <Words>3271</Words>
  <Characters>3501</Characters>
  <Lines>4</Lines>
  <Paragraphs>7</Paragraphs>
  <TotalTime>3</TotalTime>
  <ScaleCrop>false</ScaleCrop>
  <LinksUpToDate>false</LinksUpToDate>
  <CharactersWithSpaces>3545</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2022-08-21T10:58:00Z</dcterms:created>
  <dc:creator>Administrator</dc:creator>
  <cp:lastModifiedBy>user</cp:lastModifiedBy>
  <cp:lastPrinted>2023-09-01T09:02:00Z</cp:lastPrinted>
  <dcterms:modified xsi:type="dcterms:W3CDTF">2024-08-14T15:56:17Z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KSOSaveFontToCloudKey">
    <vt:lpwstr>286058643_btnclosed</vt:lpwstr>
  </property>
  <property fmtid="{D5CDD505-2E9C-101B-9397-08002B2CF9AE}" pid="4" name="ICV">
    <vt:lpwstr>659089F1B2A84B3BB2A6B31048D1F306</vt:lpwstr>
  </property>
</Properties>
</file>