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9763C">
      <w:pPr>
        <w:spacing w:before="205" w:line="226" w:lineRule="auto"/>
        <w:rPr>
          <w:rFonts w:ascii="黑体" w:hAnsi="黑体" w:eastAsia="黑体" w:cs="黑体"/>
          <w:sz w:val="63"/>
          <w:szCs w:val="63"/>
        </w:rPr>
      </w:pPr>
      <w:r>
        <w:rPr>
          <w:rFonts w:ascii="黑体" w:hAnsi="黑体" w:eastAsia="黑体" w:cs="黑体"/>
          <w:b/>
          <w:bCs/>
          <w:spacing w:val="62"/>
          <w:sz w:val="63"/>
          <w:szCs w:val="63"/>
        </w:rPr>
        <w:t>附件1</w:t>
      </w:r>
    </w:p>
    <w:p w14:paraId="4A31DE88">
      <w:pPr>
        <w:spacing w:before="27"/>
      </w:pPr>
    </w:p>
    <w:p w14:paraId="554E2DDD">
      <w:pPr>
        <w:spacing w:before="27"/>
      </w:pPr>
    </w:p>
    <w:p w14:paraId="1F09DA26">
      <w:pPr>
        <w:spacing w:before="26"/>
      </w:pPr>
    </w:p>
    <w:p w14:paraId="17558DFE">
      <w:pPr>
        <w:spacing w:before="26"/>
      </w:pPr>
    </w:p>
    <w:p w14:paraId="1AC3B5FD">
      <w:pPr>
        <w:sectPr>
          <w:pgSz w:w="22267" w:h="31680"/>
          <w:pgMar w:top="2692" w:right="2722" w:bottom="0" w:left="3051" w:header="0" w:footer="0" w:gutter="0"/>
          <w:cols w:equalWidth="0" w:num="1">
            <w:col w:w="16493"/>
          </w:cols>
        </w:sectPr>
      </w:pPr>
    </w:p>
    <w:p w14:paraId="7CAAEFD0">
      <w:pPr>
        <w:spacing w:before="271" w:line="188" w:lineRule="auto"/>
        <w:ind w:left="784" w:right="291" w:firstLine="21"/>
        <w:rPr>
          <w:rFonts w:ascii="宋体" w:hAnsi="宋体" w:eastAsia="宋体" w:cs="宋体"/>
          <w:sz w:val="137"/>
          <w:szCs w:val="137"/>
        </w:rPr>
      </w:pPr>
      <w:r>
        <w:rPr>
          <w:rFonts w:ascii="宋体" w:hAnsi="宋体" w:eastAsia="宋体" w:cs="宋体"/>
          <w:b/>
          <w:bCs/>
          <w:spacing w:val="-106"/>
          <w:w w:val="75"/>
          <w:sz w:val="135"/>
          <w:szCs w:val="135"/>
        </w:rPr>
        <w:t>国家发展</w:t>
      </w:r>
      <w:r>
        <w:rPr>
          <w:rFonts w:ascii="宋体" w:hAnsi="宋体" w:eastAsia="宋体" w:cs="宋体"/>
          <w:b/>
          <w:bCs/>
          <w:color w:val="5F2FC0"/>
          <w:spacing w:val="-106"/>
          <w:w w:val="75"/>
          <w:sz w:val="135"/>
          <w:szCs w:val="135"/>
        </w:rPr>
        <w:t>和</w:t>
      </w:r>
      <w:r>
        <w:rPr>
          <w:rFonts w:ascii="宋体" w:hAnsi="宋体" w:eastAsia="宋体" w:cs="宋体"/>
          <w:b/>
          <w:bCs/>
          <w:spacing w:val="-106"/>
          <w:w w:val="75"/>
          <w:sz w:val="135"/>
          <w:szCs w:val="135"/>
        </w:rPr>
        <w:t>改革委员会办公</w:t>
      </w:r>
      <w:r>
        <w:rPr>
          <w:rFonts w:ascii="宋体" w:hAnsi="宋体" w:eastAsia="宋体" w:cs="宋体"/>
          <w:b/>
          <w:bCs/>
          <w:color w:val="5F2FC0"/>
          <w:spacing w:val="-106"/>
          <w:w w:val="75"/>
          <w:sz w:val="135"/>
          <w:szCs w:val="135"/>
        </w:rPr>
        <w:t>厅</w:t>
      </w:r>
      <w:r>
        <w:rPr>
          <w:rFonts w:ascii="宋体" w:hAnsi="宋体" w:eastAsia="宋体" w:cs="宋体"/>
          <w:color w:val="5F2FC0"/>
          <w:spacing w:val="127"/>
          <w:sz w:val="135"/>
          <w:szCs w:val="135"/>
        </w:rPr>
        <w:t xml:space="preserve"> </w:t>
      </w:r>
      <w:r>
        <w:rPr>
          <w:rFonts w:ascii="宋体" w:hAnsi="宋体" w:eastAsia="宋体" w:cs="宋体"/>
          <w:b/>
          <w:bCs/>
          <w:spacing w:val="-112"/>
          <w:w w:val="75"/>
          <w:sz w:val="137"/>
          <w:szCs w:val="137"/>
        </w:rPr>
        <w:t>国家市场监督管理总局办公厅</w:t>
      </w:r>
    </w:p>
    <w:p w14:paraId="47B10F65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8644C9C">
      <w:pPr>
        <w:pStyle w:val="2"/>
        <w:spacing w:line="260" w:lineRule="auto"/>
      </w:pPr>
    </w:p>
    <w:p w14:paraId="27BE7C40">
      <w:pPr>
        <w:pStyle w:val="2"/>
        <w:spacing w:line="261" w:lineRule="auto"/>
      </w:pPr>
    </w:p>
    <w:p w14:paraId="5E98B31C">
      <w:pPr>
        <w:spacing w:before="446" w:line="220" w:lineRule="auto"/>
        <w:rPr>
          <w:rFonts w:ascii="宋体" w:hAnsi="宋体" w:eastAsia="宋体" w:cs="宋体"/>
          <w:sz w:val="137"/>
          <w:szCs w:val="137"/>
        </w:rPr>
      </w:pPr>
      <w:r>
        <w:rPr>
          <w:rFonts w:ascii="宋体" w:hAnsi="宋体" w:eastAsia="宋体" w:cs="宋体"/>
          <w:b/>
          <w:bCs/>
          <w:spacing w:val="-76"/>
          <w:sz w:val="137"/>
          <w:szCs w:val="137"/>
        </w:rPr>
        <w:t>文件</w:t>
      </w:r>
    </w:p>
    <w:p w14:paraId="64DE7F18">
      <w:pPr>
        <w:spacing w:line="220" w:lineRule="auto"/>
        <w:rPr>
          <w:rFonts w:ascii="宋体" w:hAnsi="宋体" w:eastAsia="宋体" w:cs="宋体"/>
          <w:sz w:val="137"/>
          <w:szCs w:val="137"/>
        </w:rPr>
        <w:sectPr>
          <w:type w:val="continuous"/>
          <w:pgSz w:w="22267" w:h="31680"/>
          <w:pgMar w:top="2692" w:right="2722" w:bottom="0" w:left="3051" w:header="0" w:footer="0" w:gutter="0"/>
          <w:cols w:equalWidth="0" w:num="2">
            <w:col w:w="13194" w:space="100"/>
            <w:col w:w="3199"/>
          </w:cols>
        </w:sectPr>
      </w:pPr>
    </w:p>
    <w:p w14:paraId="04829316">
      <w:pPr>
        <w:pStyle w:val="2"/>
        <w:spacing w:line="250" w:lineRule="auto"/>
      </w:pPr>
    </w:p>
    <w:p w14:paraId="2FBA84B2">
      <w:pPr>
        <w:pStyle w:val="2"/>
        <w:spacing w:line="250" w:lineRule="auto"/>
      </w:pPr>
    </w:p>
    <w:p w14:paraId="0690579A">
      <w:pPr>
        <w:pStyle w:val="2"/>
        <w:spacing w:line="250" w:lineRule="auto"/>
      </w:pPr>
    </w:p>
    <w:p w14:paraId="6376F1A5">
      <w:pPr>
        <w:pStyle w:val="2"/>
        <w:spacing w:line="250" w:lineRule="auto"/>
      </w:pPr>
    </w:p>
    <w:p w14:paraId="6C4198F7">
      <w:pPr>
        <w:pStyle w:val="2"/>
        <w:spacing w:line="250" w:lineRule="auto"/>
      </w:pPr>
    </w:p>
    <w:p w14:paraId="325A043B">
      <w:pPr>
        <w:spacing w:before="182" w:line="219" w:lineRule="auto"/>
        <w:ind w:left="4857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13"/>
          <w:sz w:val="56"/>
          <w:szCs w:val="56"/>
        </w:rPr>
        <w:t>发改办价格〔2024〕537号</w:t>
      </w:r>
    </w:p>
    <w:p w14:paraId="00C16A8C">
      <w:pPr>
        <w:pStyle w:val="2"/>
        <w:spacing w:line="441" w:lineRule="auto"/>
      </w:pPr>
    </w:p>
    <w:p w14:paraId="4A485588">
      <w:pPr>
        <w:spacing w:before="1" w:line="69" w:lineRule="exact"/>
        <w:ind w:firstLine="534"/>
      </w:pPr>
      <w:r>
        <w:rPr>
          <w:position w:val="-1"/>
        </w:rPr>
        <w:drawing>
          <wp:inline distT="0" distB="0" distL="0" distR="0">
            <wp:extent cx="10133330" cy="438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3591" cy="4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19B7B">
      <w:pPr>
        <w:pStyle w:val="2"/>
        <w:spacing w:line="265" w:lineRule="auto"/>
      </w:pPr>
    </w:p>
    <w:p w14:paraId="07E224EE">
      <w:pPr>
        <w:pStyle w:val="2"/>
        <w:spacing w:line="265" w:lineRule="auto"/>
      </w:pPr>
    </w:p>
    <w:p w14:paraId="61434CCD">
      <w:pPr>
        <w:pStyle w:val="2"/>
        <w:spacing w:line="265" w:lineRule="auto"/>
      </w:pPr>
    </w:p>
    <w:p w14:paraId="18516202">
      <w:pPr>
        <w:pStyle w:val="2"/>
        <w:spacing w:line="265" w:lineRule="auto"/>
      </w:pPr>
    </w:p>
    <w:p w14:paraId="495F194E">
      <w:pPr>
        <w:pStyle w:val="2"/>
        <w:spacing w:line="266" w:lineRule="auto"/>
      </w:pPr>
    </w:p>
    <w:p w14:paraId="43992807">
      <w:pPr>
        <w:pStyle w:val="2"/>
        <w:spacing w:line="266" w:lineRule="auto"/>
      </w:pPr>
    </w:p>
    <w:p w14:paraId="30D92AD8">
      <w:pPr>
        <w:spacing w:before="244" w:line="282" w:lineRule="auto"/>
        <w:ind w:left="2368" w:right="397" w:hanging="2088"/>
        <w:rPr>
          <w:rFonts w:ascii="仿宋" w:hAnsi="仿宋" w:eastAsia="仿宋" w:cs="仿宋"/>
          <w:sz w:val="75"/>
          <w:szCs w:val="75"/>
        </w:rPr>
      </w:pPr>
      <w:r>
        <w:rPr>
          <w:rFonts w:ascii="宋体" w:hAnsi="宋体" w:eastAsia="宋体" w:cs="宋体"/>
          <w:b/>
          <w:bCs/>
          <w:spacing w:val="-5"/>
          <w:sz w:val="75"/>
          <w:szCs w:val="75"/>
        </w:rPr>
        <w:t>国家发展改革委办公厅市场监管总局办公厅关于</w:t>
      </w:r>
      <w:r>
        <w:rPr>
          <w:rFonts w:ascii="宋体" w:hAnsi="宋体" w:eastAsia="宋体" w:cs="宋体"/>
          <w:spacing w:val="2"/>
          <w:sz w:val="75"/>
          <w:szCs w:val="75"/>
        </w:rPr>
        <w:t xml:space="preserve"> </w:t>
      </w:r>
      <w:r>
        <w:rPr>
          <w:rFonts w:ascii="仿宋" w:hAnsi="仿宋" w:eastAsia="仿宋" w:cs="仿宋"/>
          <w:b/>
          <w:bCs/>
          <w:spacing w:val="-23"/>
          <w:sz w:val="75"/>
          <w:szCs w:val="75"/>
        </w:rPr>
        <w:t>规范电动自行车充电收费行为的通知</w:t>
      </w:r>
    </w:p>
    <w:p w14:paraId="0F802948">
      <w:pPr>
        <w:pStyle w:val="2"/>
        <w:spacing w:line="270" w:lineRule="auto"/>
      </w:pPr>
    </w:p>
    <w:p w14:paraId="5A0C6AAC">
      <w:pPr>
        <w:pStyle w:val="2"/>
        <w:spacing w:line="270" w:lineRule="auto"/>
      </w:pPr>
    </w:p>
    <w:p w14:paraId="2A8A24AE">
      <w:pPr>
        <w:pStyle w:val="2"/>
        <w:spacing w:line="271" w:lineRule="auto"/>
      </w:pPr>
    </w:p>
    <w:p w14:paraId="78D3CDBE">
      <w:pPr>
        <w:spacing w:before="189" w:line="329" w:lineRule="auto"/>
        <w:ind w:left="269" w:right="265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10"/>
          <w:sz w:val="58"/>
          <w:szCs w:val="58"/>
        </w:rPr>
        <w:t>各省、自治区、直辖市、新疆生产建设兵团发展</w:t>
      </w:r>
      <w:r>
        <w:rPr>
          <w:rFonts w:ascii="仿宋" w:hAnsi="仿宋" w:eastAsia="仿宋" w:cs="仿宋"/>
          <w:spacing w:val="-11"/>
          <w:sz w:val="58"/>
          <w:szCs w:val="58"/>
        </w:rPr>
        <w:t>改革委、市场监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21"/>
          <w:sz w:val="58"/>
          <w:szCs w:val="58"/>
        </w:rPr>
        <w:t>管局(厅、委),国家电网有限公司、中国南方电网有限责</w:t>
      </w:r>
      <w:r>
        <w:rPr>
          <w:rFonts w:ascii="仿宋" w:hAnsi="仿宋" w:eastAsia="仿宋" w:cs="仿宋"/>
          <w:spacing w:val="20"/>
          <w:sz w:val="58"/>
          <w:szCs w:val="58"/>
        </w:rPr>
        <w:t>任公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"/>
          <w:sz w:val="58"/>
          <w:szCs w:val="58"/>
        </w:rPr>
        <w:t>司、内蒙古电力(集团)有限责任公司：</w:t>
      </w:r>
    </w:p>
    <w:p w14:paraId="39BA3CF8">
      <w:pPr>
        <w:spacing w:before="305" w:line="324" w:lineRule="auto"/>
        <w:ind w:right="35" w:firstLine="1120" w:firstLineChars="200"/>
        <w:jc w:val="both"/>
        <w:rPr>
          <w:rFonts w:ascii="仿宋" w:hAnsi="仿宋" w:eastAsia="仿宋" w:cs="仿宋"/>
          <w:spacing w:val="-31"/>
          <w:sz w:val="58"/>
          <w:szCs w:val="58"/>
        </w:rPr>
      </w:pPr>
      <w:r>
        <w:rPr>
          <w:rFonts w:ascii="仿宋" w:hAnsi="仿宋" w:eastAsia="仿宋" w:cs="仿宋"/>
          <w:spacing w:val="-10"/>
          <w:sz w:val="58"/>
          <w:szCs w:val="58"/>
        </w:rPr>
        <w:t>电动自行车是群众日常出行重要交通工具。引导电动自行车户外充电，是消除安全隐患、保障用电安全的重要措施。</w:t>
      </w:r>
      <w:r>
        <w:rPr>
          <w:rFonts w:ascii="仿宋" w:hAnsi="仿宋" w:eastAsia="仿宋" w:cs="仿宋"/>
          <w:spacing w:val="-11"/>
          <w:sz w:val="58"/>
          <w:szCs w:val="58"/>
        </w:rPr>
        <w:t>但目前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0"/>
          <w:sz w:val="58"/>
          <w:szCs w:val="58"/>
        </w:rPr>
        <w:t>部分地区充电收费行为不规范、充电费用偏高，影响了群</w:t>
      </w:r>
      <w:r>
        <w:rPr>
          <w:rFonts w:ascii="仿宋" w:hAnsi="仿宋" w:eastAsia="仿宋" w:cs="仿宋"/>
          <w:spacing w:val="-11"/>
          <w:sz w:val="58"/>
          <w:szCs w:val="58"/>
        </w:rPr>
        <w:t>众户外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0"/>
          <w:sz w:val="58"/>
          <w:szCs w:val="58"/>
        </w:rPr>
        <w:t>充电积极性。为贯彻落实国务院关于做好电动自行车</w:t>
      </w:r>
      <w:r>
        <w:rPr>
          <w:rFonts w:ascii="仿宋" w:hAnsi="仿宋" w:eastAsia="仿宋" w:cs="仿宋"/>
          <w:spacing w:val="-11"/>
          <w:sz w:val="58"/>
          <w:szCs w:val="58"/>
        </w:rPr>
        <w:t>安全隐患整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0"/>
          <w:sz w:val="58"/>
          <w:szCs w:val="58"/>
        </w:rPr>
        <w:t>治工作有关要求，规范充电收费行为，引导充电服务收费</w:t>
      </w:r>
      <w:r>
        <w:rPr>
          <w:rFonts w:ascii="仿宋" w:hAnsi="仿宋" w:eastAsia="仿宋" w:cs="仿宋"/>
          <w:spacing w:val="-11"/>
          <w:sz w:val="58"/>
          <w:szCs w:val="58"/>
        </w:rPr>
        <w:t>标准合</w:t>
      </w:r>
      <w:r>
        <w:rPr>
          <w:rFonts w:ascii="仿宋" w:hAnsi="仿宋" w:eastAsia="仿宋" w:cs="仿宋"/>
          <w:spacing w:val="-31"/>
          <w:sz w:val="58"/>
          <w:szCs w:val="58"/>
        </w:rPr>
        <w:t>理形成，推动降低群众充电负担，现就有关事项通知如下。</w:t>
      </w:r>
    </w:p>
    <w:p w14:paraId="244233EE">
      <w:pPr>
        <w:spacing w:before="305" w:line="324" w:lineRule="auto"/>
        <w:ind w:right="35" w:firstLine="1061" w:firstLineChars="200"/>
        <w:jc w:val="both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b/>
          <w:bCs/>
          <w:spacing w:val="-36"/>
          <w:sz w:val="60"/>
          <w:szCs w:val="60"/>
        </w:rPr>
        <w:t>一、</w:t>
      </w:r>
      <w:r>
        <w:rPr>
          <w:rFonts w:ascii="黑体" w:hAnsi="黑体" w:eastAsia="黑体" w:cs="黑体"/>
          <w:b/>
          <w:bCs/>
          <w:spacing w:val="-36"/>
          <w:sz w:val="60"/>
          <w:szCs w:val="60"/>
        </w:rPr>
        <w:t>充电费用实行价费分离，严格明码标价</w:t>
      </w:r>
      <w:r>
        <w:rPr>
          <w:rFonts w:ascii="仿宋" w:hAnsi="仿宋" w:eastAsia="仿宋" w:cs="仿宋"/>
          <w:spacing w:val="-36"/>
          <w:sz w:val="60"/>
          <w:szCs w:val="60"/>
        </w:rPr>
        <w:t>。电动</w:t>
      </w:r>
      <w:r>
        <w:rPr>
          <w:rFonts w:ascii="仿宋" w:hAnsi="仿宋" w:eastAsia="仿宋" w:cs="仿宋"/>
          <w:spacing w:val="-37"/>
          <w:sz w:val="60"/>
          <w:szCs w:val="60"/>
        </w:rPr>
        <w:t>自行车户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外充电设施充电费用主要包括充电电费和服务费，充电电费和服</w:t>
      </w:r>
      <w:r>
        <w:rPr>
          <w:rFonts w:ascii="仿宋" w:hAnsi="仿宋" w:eastAsia="仿宋" w:cs="仿宋"/>
          <w:spacing w:val="7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务费应分别标示、分别计价。对暂不具备电量单独计量条件的充</w:t>
      </w:r>
      <w:r>
        <w:rPr>
          <w:rFonts w:ascii="仿宋" w:hAnsi="仿宋" w:eastAsia="仿宋" w:cs="仿宋"/>
          <w:spacing w:val="18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电设施，各地发展改革部门要会同相关部门结合实际明确升级改</w:t>
      </w:r>
      <w:r>
        <w:rPr>
          <w:rFonts w:ascii="仿宋" w:hAnsi="仿宋" w:eastAsia="仿宋" w:cs="仿宋"/>
          <w:spacing w:val="5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10"/>
          <w:sz w:val="60"/>
          <w:szCs w:val="60"/>
        </w:rPr>
        <w:t>造时间节点，要求充电设施运营单位原则上自2025年1月1日起</w:t>
      </w:r>
      <w:r>
        <w:rPr>
          <w:rFonts w:ascii="仿宋" w:hAnsi="仿宋" w:eastAsia="仿宋" w:cs="仿宋"/>
          <w:spacing w:val="15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53"/>
          <w:sz w:val="60"/>
          <w:szCs w:val="60"/>
        </w:rPr>
        <w:t>全面实现充电电量单独计量。</w:t>
      </w:r>
    </w:p>
    <w:p w14:paraId="63F91AF7">
      <w:pPr>
        <w:spacing w:before="188" w:line="224" w:lineRule="auto"/>
        <w:rPr>
          <w:rFonts w:ascii="宋体" w:hAnsi="宋体" w:eastAsia="宋体" w:cs="宋体"/>
          <w:sz w:val="58"/>
          <w:szCs w:val="58"/>
        </w:rPr>
        <w:sectPr>
          <w:type w:val="continuous"/>
          <w:pgSz w:w="22267" w:h="31680"/>
          <w:pgMar w:top="2692" w:right="2722" w:bottom="0" w:left="3051" w:header="0" w:footer="0" w:gutter="0"/>
          <w:cols w:equalWidth="0" w:num="1">
            <w:col w:w="16493"/>
          </w:cols>
        </w:sectPr>
      </w:pPr>
    </w:p>
    <w:p w14:paraId="664232EE">
      <w:pPr>
        <w:spacing w:before="163" w:line="326" w:lineRule="auto"/>
        <w:ind w:right="44" w:firstLine="1084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spacing w:val="-10"/>
          <w:sz w:val="58"/>
          <w:szCs w:val="58"/>
        </w:rPr>
        <w:t>充电设施运营单位应按照明码标价有关规定，在充电场所、</w:t>
      </w:r>
      <w:r>
        <w:rPr>
          <w:rFonts w:ascii="仿宋" w:hAnsi="仿宋" w:eastAsia="仿宋" w:cs="仿宋"/>
          <w:spacing w:val="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手机应用程序、微信公众号等醒目位置分别标示充电电价、服务</w:t>
      </w:r>
      <w:r>
        <w:rPr>
          <w:rFonts w:ascii="仿宋" w:hAnsi="仿宋" w:eastAsia="仿宋" w:cs="仿宋"/>
          <w:spacing w:val="5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费项目与收费标准，不得收取任何未予标明的费用。鼓励充电设</w:t>
      </w:r>
      <w:r>
        <w:rPr>
          <w:rFonts w:ascii="仿宋" w:hAnsi="仿宋" w:eastAsia="仿宋" w:cs="仿宋"/>
          <w:spacing w:val="9"/>
          <w:sz w:val="58"/>
          <w:szCs w:val="58"/>
        </w:rPr>
        <w:t xml:space="preserve"> 施运营单位采用图片、动画等生动易懂方式展示收费方式和水 </w:t>
      </w:r>
      <w:r>
        <w:rPr>
          <w:rFonts w:ascii="仿宋" w:hAnsi="仿宋" w:eastAsia="仿宋" w:cs="仿宋"/>
          <w:spacing w:val="-35"/>
          <w:sz w:val="58"/>
          <w:szCs w:val="58"/>
        </w:rPr>
        <w:t>平，便于用户快速准确理解。</w:t>
      </w:r>
    </w:p>
    <w:p w14:paraId="5AB64089">
      <w:pPr>
        <w:spacing w:before="172" w:line="335" w:lineRule="auto"/>
        <w:ind w:firstLine="1093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-108"/>
          <w:w w:val="80"/>
          <w:sz w:val="58"/>
          <w:szCs w:val="58"/>
        </w:rPr>
        <w:t>二</w:t>
      </w:r>
      <w:r>
        <w:rPr>
          <w:rFonts w:ascii="仿宋" w:hAnsi="仿宋" w:eastAsia="仿宋" w:cs="仿宋"/>
          <w:spacing w:val="-119"/>
          <w:sz w:val="58"/>
          <w:szCs w:val="58"/>
        </w:rPr>
        <w:t xml:space="preserve"> </w:t>
      </w:r>
      <w:r>
        <w:rPr>
          <w:rFonts w:ascii="仿宋" w:hAnsi="仿宋" w:eastAsia="仿宋" w:cs="仿宋"/>
          <w:b/>
          <w:bCs/>
          <w:spacing w:val="-108"/>
          <w:w w:val="80"/>
          <w:sz w:val="58"/>
          <w:szCs w:val="58"/>
        </w:rPr>
        <w:t>、</w:t>
      </w:r>
      <w:r>
        <w:rPr>
          <w:rFonts w:ascii="黑体" w:hAnsi="黑体" w:eastAsia="黑体" w:cs="黑体"/>
          <w:b/>
          <w:bCs/>
          <w:spacing w:val="-2"/>
          <w:sz w:val="58"/>
          <w:szCs w:val="58"/>
        </w:rPr>
        <w:t>严格落实有关电价政策</w:t>
      </w:r>
      <w:r>
        <w:rPr>
          <w:rFonts w:ascii="仿宋" w:hAnsi="仿宋" w:eastAsia="仿宋" w:cs="仿宋"/>
          <w:b/>
          <w:bCs/>
          <w:spacing w:val="-2"/>
          <w:sz w:val="58"/>
          <w:szCs w:val="58"/>
        </w:rPr>
        <w:t>。</w:t>
      </w:r>
      <w:r>
        <w:rPr>
          <w:rFonts w:ascii="仿宋" w:hAnsi="仿宋" w:eastAsia="仿宋" w:cs="仿宋"/>
          <w:spacing w:val="-2"/>
          <w:sz w:val="58"/>
          <w:szCs w:val="58"/>
        </w:rPr>
        <w:t>居民住宅小区内的电动自行车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充电设施用电，电网企业向充电设施运营单位、充电设施运营单</w:t>
      </w:r>
      <w:r>
        <w:rPr>
          <w:rFonts w:ascii="仿宋" w:hAnsi="仿宋" w:eastAsia="仿宋" w:cs="仿宋"/>
          <w:spacing w:val="9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0"/>
          <w:sz w:val="58"/>
          <w:szCs w:val="58"/>
        </w:rPr>
        <w:t>位向用户，均应按居民合表用户电价计收充电电费；涉及非</w:t>
      </w:r>
      <w:r>
        <w:rPr>
          <w:rFonts w:ascii="仿宋" w:hAnsi="仿宋" w:eastAsia="仿宋" w:cs="仿宋"/>
          <w:spacing w:val="-11"/>
          <w:sz w:val="58"/>
          <w:szCs w:val="58"/>
        </w:rPr>
        <w:t>电网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0"/>
          <w:sz w:val="58"/>
          <w:szCs w:val="58"/>
        </w:rPr>
        <w:t>直供电的，对电动自行车充电设施用电电量，电网企业向非</w:t>
      </w:r>
      <w:r>
        <w:rPr>
          <w:rFonts w:ascii="仿宋" w:hAnsi="仿宋" w:eastAsia="仿宋" w:cs="仿宋"/>
          <w:spacing w:val="-11"/>
          <w:sz w:val="58"/>
          <w:szCs w:val="58"/>
        </w:rPr>
        <w:t>电网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供电主体、非电网供电主体向充电设施运营单位、充电设施运营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单位向用户，也应按居民合表用户电价计收充电电费。居民住宅</w:t>
      </w:r>
      <w:r>
        <w:rPr>
          <w:rFonts w:ascii="仿宋" w:hAnsi="仿宋" w:eastAsia="仿宋" w:cs="仿宋"/>
          <w:spacing w:val="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小区以外的电动自行车充电设施用电，按其所在场所电价政策执</w:t>
      </w:r>
      <w:r>
        <w:rPr>
          <w:rFonts w:ascii="仿宋" w:hAnsi="仿宋" w:eastAsia="仿宋" w:cs="仿宋"/>
          <w:spacing w:val="16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29"/>
          <w:sz w:val="58"/>
          <w:szCs w:val="58"/>
        </w:rPr>
        <w:t>行。</w:t>
      </w:r>
    </w:p>
    <w:p w14:paraId="17598F16">
      <w:pPr>
        <w:spacing w:before="182" w:line="351" w:lineRule="auto"/>
        <w:ind w:right="49" w:firstLine="1069" w:firstLineChars="200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b/>
          <w:bCs/>
          <w:spacing w:val="-34"/>
          <w:sz w:val="60"/>
          <w:szCs w:val="60"/>
        </w:rPr>
        <w:t>三、</w:t>
      </w:r>
      <w:r>
        <w:rPr>
          <w:rFonts w:ascii="黑体" w:hAnsi="黑体" w:eastAsia="黑体" w:cs="黑体"/>
          <w:b/>
          <w:bCs/>
          <w:spacing w:val="-34"/>
          <w:sz w:val="60"/>
          <w:szCs w:val="60"/>
        </w:rPr>
        <w:t>充电服务费实行市场调节</w:t>
      </w:r>
      <w:r>
        <w:rPr>
          <w:rFonts w:ascii="仿宋" w:hAnsi="仿宋" w:eastAsia="仿宋" w:cs="仿宋"/>
          <w:b/>
          <w:bCs/>
          <w:spacing w:val="-34"/>
          <w:sz w:val="60"/>
          <w:szCs w:val="60"/>
        </w:rPr>
        <w:t>。</w:t>
      </w:r>
      <w:r>
        <w:rPr>
          <w:rFonts w:ascii="仿宋" w:hAnsi="仿宋" w:eastAsia="仿宋" w:cs="仿宋"/>
          <w:spacing w:val="-34"/>
          <w:sz w:val="60"/>
          <w:szCs w:val="60"/>
        </w:rPr>
        <w:t>充电设施运营单位应充分考</w:t>
      </w:r>
      <w:r>
        <w:rPr>
          <w:rFonts w:ascii="仿宋" w:hAnsi="仿宋" w:eastAsia="仿宋" w:cs="仿宋"/>
          <w:spacing w:val="-12"/>
          <w:sz w:val="58"/>
          <w:szCs w:val="58"/>
        </w:rPr>
        <w:t>虑户外充电设施的公共服务属性和民生属性，按照弥补成本、合</w:t>
      </w:r>
      <w:r>
        <w:rPr>
          <w:rFonts w:ascii="仿宋" w:hAnsi="仿宋" w:eastAsia="仿宋" w:cs="仿宋"/>
          <w:spacing w:val="-30"/>
          <w:sz w:val="56"/>
          <w:szCs w:val="56"/>
        </w:rPr>
        <w:t>理收益、诚实信用原则，结合市场供需状况，合理制定充电服务费标</w:t>
      </w:r>
      <w:r>
        <w:rPr>
          <w:rFonts w:ascii="仿宋" w:hAnsi="仿宋" w:eastAsia="仿宋" w:cs="仿宋"/>
          <w:spacing w:val="6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30"/>
          <w:sz w:val="56"/>
          <w:szCs w:val="56"/>
        </w:rPr>
        <w:t>准。单次充电结束后，充电设施运营单位应当通过微信公众号、小程</w:t>
      </w:r>
      <w:r>
        <w:rPr>
          <w:rFonts w:ascii="仿宋" w:hAnsi="仿宋" w:eastAsia="仿宋" w:cs="仿宋"/>
          <w:spacing w:val="13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11"/>
          <w:sz w:val="56"/>
          <w:szCs w:val="56"/>
        </w:rPr>
        <w:t>序等方式，向用户推送计费模式、充电时长、</w:t>
      </w:r>
      <w:r>
        <w:rPr>
          <w:rFonts w:ascii="仿宋" w:hAnsi="仿宋" w:eastAsia="仿宋" w:cs="仿宋"/>
          <w:spacing w:val="-12"/>
          <w:sz w:val="56"/>
          <w:szCs w:val="56"/>
        </w:rPr>
        <w:t>收费金额等信息。各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12"/>
          <w:sz w:val="56"/>
          <w:szCs w:val="56"/>
        </w:rPr>
        <w:t>地应鼓励市场竞争，不得以行政手段指定充电设施运营单</w:t>
      </w:r>
      <w:r>
        <w:rPr>
          <w:rFonts w:ascii="仿宋" w:hAnsi="仿宋" w:eastAsia="仿宋" w:cs="仿宋"/>
          <w:spacing w:val="-13"/>
          <w:sz w:val="56"/>
          <w:szCs w:val="56"/>
        </w:rPr>
        <w:t>位。</w:t>
      </w:r>
    </w:p>
    <w:p w14:paraId="1F83D404">
      <w:pPr>
        <w:spacing w:before="27" w:line="329" w:lineRule="auto"/>
        <w:ind w:firstLine="1136"/>
        <w:rPr>
          <w:rFonts w:ascii="仿宋" w:hAnsi="仿宋" w:eastAsia="仿宋" w:cs="仿宋"/>
          <w:sz w:val="58"/>
          <w:szCs w:val="58"/>
        </w:rPr>
      </w:pPr>
      <w:r>
        <w:rPr>
          <w:rFonts w:hint="eastAsia" w:ascii="仿宋" w:hAnsi="仿宋" w:eastAsia="仿宋" w:cs="仿宋"/>
          <w:b/>
          <w:bCs/>
          <w:spacing w:val="-129"/>
          <w:w w:val="78"/>
          <w:sz w:val="60"/>
          <w:szCs w:val="60"/>
          <w:lang w:eastAsia="zh-CN"/>
        </w:rPr>
        <w:t>四</w:t>
      </w:r>
      <w:r>
        <w:rPr>
          <w:rFonts w:ascii="仿宋" w:hAnsi="仿宋" w:eastAsia="仿宋" w:cs="仿宋"/>
          <w:b/>
          <w:bCs/>
          <w:spacing w:val="-129"/>
          <w:w w:val="78"/>
          <w:sz w:val="60"/>
          <w:szCs w:val="60"/>
        </w:rPr>
        <w:t>、</w:t>
      </w:r>
      <w:r>
        <w:rPr>
          <w:rFonts w:ascii="黑体" w:hAnsi="黑体" w:eastAsia="黑体" w:cs="黑体"/>
          <w:b/>
          <w:bCs/>
          <w:spacing w:val="30"/>
          <w:sz w:val="60"/>
          <w:szCs w:val="60"/>
        </w:rPr>
        <w:t>推动降低充电服务费</w:t>
      </w:r>
      <w:r>
        <w:rPr>
          <w:rFonts w:ascii="仿宋" w:hAnsi="仿宋" w:eastAsia="仿宋" w:cs="仿宋"/>
          <w:b/>
          <w:bCs/>
          <w:spacing w:val="30"/>
          <w:sz w:val="60"/>
          <w:szCs w:val="60"/>
        </w:rPr>
        <w:t>。</w:t>
      </w:r>
      <w:r>
        <w:rPr>
          <w:rFonts w:ascii="仿宋" w:hAnsi="仿宋" w:eastAsia="仿宋" w:cs="仿宋"/>
          <w:spacing w:val="30"/>
          <w:sz w:val="60"/>
          <w:szCs w:val="60"/>
        </w:rPr>
        <w:t>具备运营能力的街道办、居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10"/>
          <w:sz w:val="60"/>
          <w:szCs w:val="60"/>
        </w:rPr>
        <w:t>(村)委会、小区产权单位、业主委员会以及</w:t>
      </w:r>
      <w:r>
        <w:rPr>
          <w:rFonts w:ascii="仿宋" w:hAnsi="仿宋" w:eastAsia="仿宋" w:cs="仿宋"/>
          <w:spacing w:val="-11"/>
          <w:sz w:val="60"/>
          <w:szCs w:val="60"/>
        </w:rPr>
        <w:t>由其委托的物业服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4"/>
          <w:sz w:val="60"/>
          <w:szCs w:val="60"/>
        </w:rPr>
        <w:t>务企业，可在保障安全的前提下自建充电设施，并从低确定充电</w:t>
      </w:r>
      <w:r>
        <w:rPr>
          <w:rFonts w:ascii="仿宋" w:hAnsi="仿宋" w:eastAsia="仿宋" w:cs="仿宋"/>
          <w:spacing w:val="5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14"/>
          <w:sz w:val="58"/>
          <w:szCs w:val="58"/>
        </w:rPr>
        <w:t>服务费。对第三方建设运营的充电设施，倡导小区产权单位、业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4"/>
          <w:sz w:val="58"/>
          <w:szCs w:val="58"/>
        </w:rPr>
        <w:t>主委员会、物业服务企业等不收或少收场地租赁费用、不参与或</w:t>
      </w:r>
      <w:r>
        <w:rPr>
          <w:rFonts w:ascii="仿宋" w:hAnsi="仿宋" w:eastAsia="仿宋" w:cs="仿宋"/>
          <w:spacing w:val="1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4"/>
          <w:sz w:val="58"/>
          <w:szCs w:val="58"/>
        </w:rPr>
        <w:t>降低收入分成，将让利空间用于降低充电服务费。物业服务企业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0"/>
          <w:sz w:val="58"/>
          <w:szCs w:val="58"/>
        </w:rPr>
        <w:t>等管理单位接受委托与充电设施运营单位签订运营合作协议时，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6"/>
          <w:sz w:val="58"/>
          <w:szCs w:val="58"/>
        </w:rPr>
        <w:t>应与业主充分沟通，遴选优质充电设施运营单位，合理确定充电</w:t>
      </w:r>
      <w:r>
        <w:rPr>
          <w:rFonts w:ascii="仿宋" w:hAnsi="仿宋" w:eastAsia="仿宋" w:cs="仿宋"/>
          <w:spacing w:val="1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服务费标准。物业服务企业等管理单位应积极协助做好充电设施</w:t>
      </w:r>
      <w:r>
        <w:rPr>
          <w:rFonts w:ascii="仿宋" w:hAnsi="仿宋" w:eastAsia="仿宋" w:cs="仿宋"/>
          <w:spacing w:val="1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3"/>
          <w:sz w:val="58"/>
          <w:szCs w:val="58"/>
        </w:rPr>
        <w:t>选址、建设安装、接电报装等工作。</w:t>
      </w:r>
    </w:p>
    <w:p w14:paraId="232C65D1">
      <w:pPr>
        <w:spacing w:before="100" w:line="314" w:lineRule="auto"/>
        <w:ind w:right="37" w:firstLine="1136"/>
        <w:rPr>
          <w:rFonts w:ascii="仿宋" w:hAnsi="仿宋" w:eastAsia="仿宋" w:cs="仿宋"/>
          <w:spacing w:val="-33"/>
          <w:sz w:val="58"/>
          <w:szCs w:val="58"/>
        </w:rPr>
      </w:pPr>
      <w:r>
        <w:rPr>
          <w:rFonts w:ascii="仿宋" w:hAnsi="仿宋" w:eastAsia="仿宋" w:cs="仿宋"/>
          <w:spacing w:val="-12"/>
          <w:sz w:val="58"/>
          <w:szCs w:val="58"/>
        </w:rPr>
        <w:t>鼓励具备条件的地方通过给予充电设施建设运营补贴、更好</w:t>
      </w:r>
      <w:r>
        <w:rPr>
          <w:rFonts w:ascii="仿宋" w:hAnsi="仿宋" w:eastAsia="仿宋" w:cs="仿宋"/>
          <w:spacing w:val="13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4"/>
          <w:sz w:val="58"/>
          <w:szCs w:val="58"/>
        </w:rPr>
        <w:t>发挥国企作用等方式，降低充电设施建设运营成本。有关方面签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订运营合作协议时，签约运营期限可与设备折旧年限适当衔接，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"/>
          <w:sz w:val="58"/>
          <w:szCs w:val="58"/>
        </w:rPr>
        <w:t>倡导签订5年及以上运营合作协议，稳定充电设施运营单位投资</w:t>
      </w:r>
      <w:r>
        <w:rPr>
          <w:rFonts w:ascii="仿宋" w:hAnsi="仿宋" w:eastAsia="仿宋" w:cs="仿宋"/>
          <w:spacing w:val="1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2"/>
          <w:sz w:val="58"/>
          <w:szCs w:val="58"/>
        </w:rPr>
        <w:t>预期、摊薄资产折旧成本，为降低充电服务费创造</w:t>
      </w:r>
      <w:r>
        <w:rPr>
          <w:rFonts w:ascii="仿宋" w:hAnsi="仿宋" w:eastAsia="仿宋" w:cs="仿宋"/>
          <w:spacing w:val="-33"/>
          <w:sz w:val="58"/>
          <w:szCs w:val="58"/>
        </w:rPr>
        <w:t>条件。</w:t>
      </w:r>
    </w:p>
    <w:p w14:paraId="2377875D">
      <w:pPr>
        <w:spacing w:before="188" w:line="330" w:lineRule="auto"/>
        <w:ind w:right="29" w:firstLine="1101" w:firstLineChars="200"/>
        <w:jc w:val="both"/>
        <w:rPr>
          <w:rFonts w:ascii="仿宋" w:hAnsi="仿宋" w:eastAsia="仿宋" w:cs="仿宋"/>
          <w:sz w:val="58"/>
          <w:szCs w:val="58"/>
        </w:rPr>
      </w:pPr>
      <w:r>
        <w:rPr>
          <w:rFonts w:ascii="仿宋" w:hAnsi="仿宋" w:eastAsia="仿宋" w:cs="仿宋"/>
          <w:b/>
          <w:bCs/>
          <w:spacing w:val="-16"/>
          <w:sz w:val="58"/>
          <w:szCs w:val="58"/>
        </w:rPr>
        <w:t>五、</w:t>
      </w:r>
      <w:r>
        <w:rPr>
          <w:rFonts w:ascii="黑体" w:hAnsi="黑体" w:eastAsia="黑体" w:cs="黑体"/>
          <w:b/>
          <w:bCs/>
          <w:spacing w:val="-16"/>
          <w:sz w:val="58"/>
          <w:szCs w:val="58"/>
        </w:rPr>
        <w:t>推动充电设施由电网直接供电</w:t>
      </w:r>
      <w:r>
        <w:rPr>
          <w:rFonts w:ascii="仿宋" w:hAnsi="仿宋" w:eastAsia="仿宋" w:cs="仿宋"/>
          <w:b/>
          <w:bCs/>
          <w:spacing w:val="-16"/>
          <w:sz w:val="58"/>
          <w:szCs w:val="58"/>
        </w:rPr>
        <w:t>。</w:t>
      </w:r>
      <w:r>
        <w:rPr>
          <w:rFonts w:ascii="仿宋" w:hAnsi="仿宋" w:eastAsia="仿宋" w:cs="仿宋"/>
          <w:spacing w:val="-16"/>
          <w:sz w:val="58"/>
          <w:szCs w:val="58"/>
        </w:rPr>
        <w:t>电网企业应按照“能改</w:t>
      </w:r>
      <w:r>
        <w:rPr>
          <w:rFonts w:ascii="仿宋" w:hAnsi="仿宋" w:eastAsia="仿宋" w:cs="仿宋"/>
          <w:spacing w:val="11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4"/>
          <w:sz w:val="58"/>
          <w:szCs w:val="58"/>
        </w:rPr>
        <w:t>尽改”的原则，对具备条件的充电设施加快改造，尽快实现向电</w:t>
      </w:r>
      <w:r>
        <w:rPr>
          <w:rFonts w:ascii="仿宋" w:hAnsi="仿宋" w:eastAsia="仿宋" w:cs="仿宋"/>
          <w:spacing w:val="5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动自行车充电设施运营单位直接供电。现有居民</w:t>
      </w:r>
      <w:r>
        <w:rPr>
          <w:rFonts w:ascii="仿宋" w:hAnsi="仿宋" w:eastAsia="仿宋" w:cs="仿宋"/>
          <w:spacing w:val="-12"/>
          <w:sz w:val="58"/>
          <w:szCs w:val="58"/>
        </w:rPr>
        <w:t>住宅小区尚未实现电网企业直接供电的，鼓励产权单位向电</w:t>
      </w:r>
      <w:r>
        <w:rPr>
          <w:rFonts w:ascii="仿宋" w:hAnsi="仿宋" w:eastAsia="仿宋" w:cs="仿宋"/>
          <w:spacing w:val="-13"/>
          <w:sz w:val="58"/>
          <w:szCs w:val="58"/>
        </w:rPr>
        <w:t>网企业整体移交供电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8"/>
          <w:sz w:val="58"/>
          <w:szCs w:val="58"/>
        </w:rPr>
        <w:t>设施，为电网企业向充电设施直接供电创造条件；2025年1月1</w:t>
      </w:r>
      <w:r>
        <w:rPr>
          <w:rFonts w:ascii="仿宋" w:hAnsi="仿宋" w:eastAsia="仿宋" w:cs="仿宋"/>
          <w:spacing w:val="1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6"/>
          <w:sz w:val="58"/>
          <w:szCs w:val="58"/>
        </w:rPr>
        <w:t>日以后新建居民住宅小区的充电设施，原则上应当由电网企业直</w:t>
      </w:r>
      <w:r>
        <w:rPr>
          <w:rFonts w:ascii="仿宋" w:hAnsi="仿宋" w:eastAsia="仿宋" w:cs="仿宋"/>
          <w:spacing w:val="17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4"/>
          <w:sz w:val="58"/>
          <w:szCs w:val="58"/>
        </w:rPr>
        <w:t>接供电，避免因转供推高充电成本。</w:t>
      </w:r>
    </w:p>
    <w:p w14:paraId="0F3DD5EF">
      <w:pPr>
        <w:spacing w:before="204" w:line="322" w:lineRule="auto"/>
        <w:ind w:firstLine="1155"/>
        <w:jc w:val="both"/>
        <w:rPr>
          <w:rFonts w:ascii="仿宋" w:hAnsi="仿宋" w:eastAsia="仿宋" w:cs="仿宋"/>
          <w:spacing w:val="-38"/>
          <w:sz w:val="58"/>
          <w:szCs w:val="58"/>
        </w:rPr>
      </w:pPr>
      <w:r>
        <w:rPr>
          <w:rFonts w:ascii="仿宋" w:hAnsi="仿宋" w:eastAsia="仿宋" w:cs="仿宋"/>
          <w:b/>
          <w:bCs/>
          <w:spacing w:val="-13"/>
          <w:sz w:val="58"/>
          <w:szCs w:val="58"/>
        </w:rPr>
        <w:t>六、</w:t>
      </w:r>
      <w:r>
        <w:rPr>
          <w:rFonts w:ascii="黑体" w:hAnsi="黑体" w:eastAsia="黑体" w:cs="黑体"/>
          <w:b/>
          <w:bCs/>
          <w:spacing w:val="-13"/>
          <w:sz w:val="58"/>
          <w:szCs w:val="58"/>
        </w:rPr>
        <w:t>依法加强监管</w:t>
      </w:r>
      <w:r>
        <w:rPr>
          <w:rFonts w:ascii="仿宋" w:hAnsi="仿宋" w:eastAsia="仿宋" w:cs="仿宋"/>
          <w:b/>
          <w:bCs/>
          <w:spacing w:val="-13"/>
          <w:sz w:val="58"/>
          <w:szCs w:val="58"/>
        </w:rPr>
        <w:t>。</w:t>
      </w:r>
      <w:r>
        <w:rPr>
          <w:rFonts w:ascii="仿宋" w:hAnsi="仿宋" w:eastAsia="仿宋" w:cs="仿宋"/>
          <w:spacing w:val="-13"/>
          <w:sz w:val="58"/>
          <w:szCs w:val="58"/>
        </w:rPr>
        <w:t>各地要结合当地实际及时制定和完善相</w:t>
      </w:r>
      <w:r>
        <w:rPr>
          <w:rFonts w:ascii="仿宋" w:hAnsi="仿宋" w:eastAsia="仿宋" w:cs="仿宋"/>
          <w:spacing w:val="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关价费政策，加大对充电设施运营单位合理确定服务费，以及产</w:t>
      </w:r>
      <w:r>
        <w:rPr>
          <w:rFonts w:ascii="仿宋" w:hAnsi="仿宋" w:eastAsia="仿宋" w:cs="仿宋"/>
          <w:spacing w:val="8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权单位、物业服务企业等管理单位主动让利等工作的引导力度，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注重运用联合约谈、提醒等方式方法，不断规范充电收费行为。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2"/>
          <w:sz w:val="58"/>
          <w:szCs w:val="58"/>
        </w:rPr>
        <w:t>市场监管部门要结合相关投诉举报和人民群</w:t>
      </w:r>
      <w:r>
        <w:rPr>
          <w:rFonts w:ascii="仿宋" w:hAnsi="仿宋" w:eastAsia="仿宋" w:cs="仿宋"/>
          <w:spacing w:val="-13"/>
          <w:sz w:val="58"/>
          <w:szCs w:val="58"/>
        </w:rPr>
        <w:t>众反映，加大监督检</w:t>
      </w:r>
      <w:r>
        <w:rPr>
          <w:rFonts w:ascii="仿宋" w:hAnsi="仿宋" w:eastAsia="仿宋" w:cs="仿宋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1"/>
          <w:sz w:val="58"/>
          <w:szCs w:val="58"/>
        </w:rPr>
        <w:t>查力度，依法查处不执行政府定价、不按规定明码标价等违法行</w:t>
      </w:r>
      <w:r>
        <w:rPr>
          <w:rFonts w:ascii="仿宋" w:hAnsi="仿宋" w:eastAsia="仿宋" w:cs="仿宋"/>
          <w:spacing w:val="2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13"/>
          <w:sz w:val="58"/>
          <w:szCs w:val="58"/>
        </w:rPr>
        <w:t>为。相关行业协会要加强行业自律，自觉规范充电收费行为，共</w:t>
      </w:r>
      <w:r>
        <w:rPr>
          <w:rFonts w:ascii="仿宋" w:hAnsi="仿宋" w:eastAsia="仿宋" w:cs="仿宋"/>
          <w:spacing w:val="14"/>
          <w:sz w:val="58"/>
          <w:szCs w:val="58"/>
        </w:rPr>
        <w:t xml:space="preserve"> </w:t>
      </w:r>
      <w:r>
        <w:rPr>
          <w:rFonts w:ascii="仿宋" w:hAnsi="仿宋" w:eastAsia="仿宋" w:cs="仿宋"/>
          <w:spacing w:val="-38"/>
          <w:sz w:val="58"/>
          <w:szCs w:val="58"/>
        </w:rPr>
        <w:t>同维护良好市场秩序。</w:t>
      </w:r>
    </w:p>
    <w:p w14:paraId="1870EE6E">
      <w:pPr>
        <w:spacing w:before="204" w:line="322" w:lineRule="auto"/>
        <w:ind w:firstLine="1155"/>
        <w:jc w:val="both"/>
        <w:rPr>
          <w:rFonts w:ascii="仿宋" w:hAnsi="仿宋" w:eastAsia="仿宋" w:cs="仿宋"/>
          <w:sz w:val="60"/>
          <w:szCs w:val="60"/>
        </w:rPr>
      </w:pPr>
      <w:bookmarkStart w:id="0" w:name="_GoBack"/>
      <w:bookmarkEnd w:id="0"/>
      <w:r>
        <w:rPr>
          <w:rFonts w:ascii="仿宋" w:hAnsi="仿宋" w:eastAsia="仿宋" w:cs="仿宋"/>
          <w:spacing w:val="-31"/>
          <w:sz w:val="60"/>
          <w:szCs w:val="60"/>
        </w:rPr>
        <w:t>各地要高度重视规范电动自行车充电收费行</w:t>
      </w:r>
      <w:r>
        <w:rPr>
          <w:rFonts w:ascii="仿宋" w:hAnsi="仿宋" w:eastAsia="仿宋" w:cs="仿宋"/>
          <w:spacing w:val="-32"/>
          <w:sz w:val="60"/>
          <w:szCs w:val="60"/>
        </w:rPr>
        <w:t>为、推动降低充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4"/>
          <w:sz w:val="60"/>
          <w:szCs w:val="60"/>
        </w:rPr>
        <w:t>电收费对引导群众户外充电、保障用电安全的重要作用，加强组</w:t>
      </w:r>
      <w:r>
        <w:rPr>
          <w:rFonts w:ascii="仿宋" w:hAnsi="仿宋" w:eastAsia="仿宋" w:cs="仿宋"/>
          <w:spacing w:val="3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织领导，强化政策落实，并做好政策宣传解读。</w:t>
      </w:r>
      <w:r>
        <w:rPr>
          <w:rFonts w:ascii="仿宋" w:hAnsi="仿宋" w:eastAsia="仿宋" w:cs="仿宋"/>
          <w:spacing w:val="-33"/>
          <w:sz w:val="60"/>
          <w:szCs w:val="60"/>
        </w:rPr>
        <w:t>各地相关部门要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加强协同联动，研究采取行之有效的政策措施，推动降低</w:t>
      </w:r>
      <w:r>
        <w:rPr>
          <w:rFonts w:ascii="仿宋" w:hAnsi="仿宋" w:eastAsia="仿宋" w:cs="仿宋"/>
          <w:spacing w:val="-33"/>
          <w:sz w:val="60"/>
          <w:szCs w:val="60"/>
        </w:rPr>
        <w:t>户外充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55"/>
          <w:sz w:val="60"/>
          <w:szCs w:val="60"/>
        </w:rPr>
        <w:t>电服务费，让群众能承担、愿意用。</w:t>
      </w:r>
    </w:p>
    <w:p w14:paraId="23597440">
      <w:pPr>
        <w:pStyle w:val="2"/>
        <w:spacing w:line="254" w:lineRule="auto"/>
      </w:pPr>
    </w:p>
    <w:p w14:paraId="556022FF">
      <w:pPr>
        <w:pStyle w:val="2"/>
        <w:spacing w:line="254" w:lineRule="auto"/>
      </w:pPr>
    </w:p>
    <w:p w14:paraId="64DA3F1F">
      <w:pPr>
        <w:pStyle w:val="2"/>
        <w:spacing w:line="254" w:lineRule="auto"/>
      </w:pPr>
    </w:p>
    <w:p w14:paraId="3095962E">
      <w:pPr>
        <w:pStyle w:val="2"/>
        <w:spacing w:line="254" w:lineRule="auto"/>
      </w:pPr>
    </w:p>
    <w:p w14:paraId="3B408278">
      <w:pPr>
        <w:pStyle w:val="2"/>
        <w:spacing w:line="254" w:lineRule="auto"/>
      </w:pPr>
    </w:p>
    <w:p w14:paraId="79C40673">
      <w:pPr>
        <w:pStyle w:val="2"/>
        <w:spacing w:line="254" w:lineRule="auto"/>
      </w:pPr>
    </w:p>
    <w:p w14:paraId="76EAFE86">
      <w:pPr>
        <w:pStyle w:val="2"/>
        <w:spacing w:line="254" w:lineRule="auto"/>
      </w:pPr>
    </w:p>
    <w:p w14:paraId="4DC382E9">
      <w:pPr>
        <w:pStyle w:val="2"/>
        <w:spacing w:line="254" w:lineRule="auto"/>
      </w:pPr>
    </w:p>
    <w:p w14:paraId="00463381">
      <w:pPr>
        <w:pStyle w:val="2"/>
        <w:spacing w:line="254" w:lineRule="auto"/>
      </w:pPr>
    </w:p>
    <w:p w14:paraId="3EF9DB82">
      <w:pPr>
        <w:pStyle w:val="2"/>
        <w:spacing w:line="255" w:lineRule="auto"/>
      </w:pPr>
    </w:p>
    <w:p w14:paraId="7DCD460B">
      <w:pPr>
        <w:pStyle w:val="2"/>
        <w:spacing w:line="255" w:lineRule="auto"/>
      </w:pPr>
    </w:p>
    <w:p w14:paraId="1D5D3F9D">
      <w:pPr>
        <w:spacing w:before="205" w:line="224" w:lineRule="auto"/>
        <w:rPr>
          <w:rFonts w:ascii="楷体" w:hAnsi="楷体" w:eastAsia="楷体" w:cs="楷体"/>
          <w:spacing w:val="15"/>
          <w:sz w:val="60"/>
          <w:szCs w:val="60"/>
        </w:rPr>
      </w:pPr>
      <w:r>
        <w:rPr>
          <w:rFonts w:ascii="楷体" w:hAnsi="楷体" w:eastAsia="楷体" w:cs="楷体"/>
          <w:spacing w:val="16"/>
          <w:sz w:val="63"/>
          <w:szCs w:val="63"/>
        </w:rPr>
        <w:t>国家</w:t>
      </w:r>
      <w:r>
        <w:rPr>
          <w:rFonts w:ascii="楷体" w:hAnsi="楷体" w:eastAsia="楷体" w:cs="楷体"/>
          <w:spacing w:val="-166"/>
          <w:sz w:val="63"/>
          <w:szCs w:val="63"/>
        </w:rPr>
        <w:t xml:space="preserve"> </w:t>
      </w:r>
      <w:r>
        <w:rPr>
          <w:rFonts w:ascii="楷体" w:hAnsi="楷体" w:eastAsia="楷体" w:cs="楷体"/>
          <w:spacing w:val="16"/>
          <w:sz w:val="63"/>
          <w:szCs w:val="63"/>
        </w:rPr>
        <w:t xml:space="preserve">发展改革委办公厅 </w:t>
      </w:r>
      <w:r>
        <w:rPr>
          <w:rFonts w:hint="eastAsia" w:ascii="楷体" w:hAnsi="楷体" w:eastAsia="楷体" w:cs="楷体"/>
          <w:spacing w:val="16"/>
          <w:sz w:val="63"/>
          <w:szCs w:val="63"/>
          <w:lang w:val="en-US" w:eastAsia="zh-CN"/>
        </w:rPr>
        <w:t xml:space="preserve"> </w:t>
      </w:r>
      <w:r>
        <w:rPr>
          <w:rFonts w:ascii="楷体" w:hAnsi="楷体" w:eastAsia="楷体" w:cs="楷体"/>
          <w:spacing w:val="16"/>
          <w:sz w:val="63"/>
          <w:szCs w:val="63"/>
        </w:rPr>
        <w:t xml:space="preserve"> </w:t>
      </w:r>
      <w:r>
        <w:rPr>
          <w:rFonts w:hint="eastAsia" w:ascii="楷体" w:hAnsi="楷体" w:eastAsia="楷体" w:cs="楷体"/>
          <w:spacing w:val="16"/>
          <w:sz w:val="63"/>
          <w:szCs w:val="63"/>
          <w:lang w:val="en-US" w:eastAsia="zh-CN"/>
        </w:rPr>
        <w:t xml:space="preserve">  </w:t>
      </w:r>
      <w:r>
        <w:rPr>
          <w:rFonts w:ascii="楷体" w:hAnsi="楷体" w:eastAsia="楷体" w:cs="楷体"/>
          <w:spacing w:val="16"/>
          <w:sz w:val="60"/>
          <w:szCs w:val="60"/>
        </w:rPr>
        <w:t>市</w:t>
      </w:r>
      <w:r>
        <w:rPr>
          <w:rFonts w:ascii="楷体" w:hAnsi="楷体" w:eastAsia="楷体" w:cs="楷体"/>
          <w:spacing w:val="-43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6"/>
          <w:sz w:val="60"/>
          <w:szCs w:val="60"/>
        </w:rPr>
        <w:t>场</w:t>
      </w:r>
      <w:r>
        <w:rPr>
          <w:rFonts w:ascii="楷体" w:hAnsi="楷体" w:eastAsia="楷体" w:cs="楷体"/>
          <w:spacing w:val="-63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6"/>
          <w:sz w:val="60"/>
          <w:szCs w:val="60"/>
        </w:rPr>
        <w:t xml:space="preserve">监 管 </w:t>
      </w:r>
      <w:r>
        <w:rPr>
          <w:rFonts w:ascii="楷体" w:hAnsi="楷体" w:eastAsia="楷体" w:cs="楷体"/>
          <w:spacing w:val="15"/>
          <w:sz w:val="60"/>
          <w:szCs w:val="60"/>
        </w:rPr>
        <w:t>总</w:t>
      </w:r>
      <w:r>
        <w:rPr>
          <w:rFonts w:ascii="楷体" w:hAnsi="楷体" w:eastAsia="楷体" w:cs="楷体"/>
          <w:spacing w:val="-77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5"/>
          <w:sz w:val="60"/>
          <w:szCs w:val="60"/>
        </w:rPr>
        <w:t>局 办</w:t>
      </w:r>
      <w:r>
        <w:rPr>
          <w:rFonts w:ascii="楷体" w:hAnsi="楷体" w:eastAsia="楷体" w:cs="楷体"/>
          <w:spacing w:val="-85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5"/>
          <w:sz w:val="60"/>
          <w:szCs w:val="60"/>
        </w:rPr>
        <w:t>公</w:t>
      </w:r>
      <w:r>
        <w:rPr>
          <w:rFonts w:ascii="楷体" w:hAnsi="楷体" w:eastAsia="楷体" w:cs="楷体"/>
          <w:spacing w:val="-80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5"/>
          <w:sz w:val="60"/>
          <w:szCs w:val="60"/>
        </w:rPr>
        <w:t>厅</w:t>
      </w:r>
    </w:p>
    <w:p w14:paraId="35CDBBDC">
      <w:pPr>
        <w:spacing w:before="205" w:line="224" w:lineRule="auto"/>
        <w:ind w:left="389"/>
        <w:rPr>
          <w:rFonts w:hint="default" w:ascii="楷体" w:hAnsi="楷体" w:eastAsia="楷体" w:cs="楷体"/>
          <w:spacing w:val="15"/>
          <w:sz w:val="60"/>
          <w:szCs w:val="60"/>
          <w:lang w:val="en-US" w:eastAsia="zh-CN"/>
        </w:rPr>
      </w:pPr>
      <w:r>
        <w:rPr>
          <w:rFonts w:hint="eastAsia" w:ascii="楷体" w:hAnsi="楷体" w:eastAsia="楷体" w:cs="楷体"/>
          <w:spacing w:val="15"/>
          <w:sz w:val="60"/>
          <w:szCs w:val="60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spacing w:val="16"/>
          <w:sz w:val="60"/>
          <w:szCs w:val="60"/>
          <w:lang w:val="en-US" w:eastAsia="zh-CN"/>
        </w:rPr>
        <w:t xml:space="preserve"> 2024年6月11日</w:t>
      </w:r>
    </w:p>
    <w:p w14:paraId="5C5A6632">
      <w:pPr>
        <w:spacing w:before="100" w:line="314" w:lineRule="auto"/>
        <w:ind w:right="37" w:firstLine="1136"/>
        <w:rPr>
          <w:rFonts w:ascii="仿宋" w:hAnsi="仿宋" w:eastAsia="仿宋" w:cs="仿宋"/>
          <w:b/>
          <w:bCs/>
          <w:sz w:val="58"/>
          <w:szCs w:val="58"/>
        </w:rPr>
      </w:pPr>
    </w:p>
    <w:p w14:paraId="2B81F2EE">
      <w:pPr>
        <w:spacing w:before="230" w:line="333" w:lineRule="auto"/>
        <w:ind w:right="27" w:firstLine="1128"/>
        <w:rPr>
          <w:rFonts w:ascii="仿宋" w:hAnsi="仿宋" w:eastAsia="仿宋" w:cs="仿宋"/>
          <w:sz w:val="58"/>
          <w:szCs w:val="58"/>
        </w:rPr>
      </w:pPr>
    </w:p>
    <w:p w14:paraId="5293C4A5">
      <w:pPr>
        <w:spacing w:before="54" w:line="312" w:lineRule="auto"/>
        <w:ind w:right="45" w:firstLine="1093"/>
        <w:rPr>
          <w:rFonts w:ascii="仿宋" w:hAnsi="仿宋" w:eastAsia="仿宋" w:cs="仿宋"/>
          <w:sz w:val="58"/>
          <w:szCs w:val="58"/>
        </w:rPr>
      </w:pPr>
    </w:p>
    <w:p w14:paraId="48D76995">
      <w:pPr>
        <w:pStyle w:val="2"/>
        <w:spacing w:line="263" w:lineRule="auto"/>
      </w:pPr>
    </w:p>
    <w:p w14:paraId="12EA9F4F">
      <w:pPr>
        <w:pStyle w:val="2"/>
        <w:spacing w:line="263" w:lineRule="auto"/>
      </w:pPr>
    </w:p>
    <w:p w14:paraId="622EF301">
      <w:pPr>
        <w:pStyle w:val="2"/>
        <w:spacing w:line="263" w:lineRule="auto"/>
      </w:pPr>
    </w:p>
    <w:p w14:paraId="6617ADB1">
      <w:pPr>
        <w:spacing w:line="184" w:lineRule="auto"/>
        <w:rPr>
          <w:rFonts w:ascii="宋体" w:hAnsi="宋体" w:eastAsia="宋体" w:cs="宋体"/>
          <w:sz w:val="58"/>
          <w:szCs w:val="58"/>
        </w:rPr>
        <w:sectPr>
          <w:pgSz w:w="22238" w:h="31680"/>
          <w:pgMar w:top="2692" w:right="3135" w:bottom="0" w:left="3143" w:header="0" w:footer="0" w:gutter="0"/>
          <w:cols w:space="720" w:num="1"/>
        </w:sectPr>
      </w:pPr>
    </w:p>
    <w:p w14:paraId="16920FD2">
      <w:pPr>
        <w:pStyle w:val="2"/>
        <w:spacing w:line="257" w:lineRule="auto"/>
      </w:pPr>
    </w:p>
    <w:p w14:paraId="3675F42B">
      <w:pPr>
        <w:pStyle w:val="2"/>
        <w:spacing w:line="260" w:lineRule="auto"/>
      </w:pPr>
    </w:p>
    <w:p w14:paraId="7075DE7E">
      <w:pPr>
        <w:spacing w:before="173" w:line="328" w:lineRule="auto"/>
        <w:ind w:right="9" w:firstLine="1115"/>
        <w:rPr>
          <w:rFonts w:ascii="仿宋" w:hAnsi="仿宋" w:eastAsia="仿宋" w:cs="仿宋"/>
          <w:sz w:val="58"/>
          <w:szCs w:val="58"/>
        </w:rPr>
      </w:pPr>
    </w:p>
    <w:p w14:paraId="59C86682">
      <w:pPr>
        <w:spacing w:before="204" w:line="322" w:lineRule="auto"/>
        <w:ind w:firstLine="1155"/>
        <w:jc w:val="both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31"/>
          <w:sz w:val="60"/>
          <w:szCs w:val="60"/>
        </w:rPr>
        <w:t>各地要高度重视规范电动自行车充电收费行</w:t>
      </w:r>
      <w:r>
        <w:rPr>
          <w:rFonts w:ascii="仿宋" w:hAnsi="仿宋" w:eastAsia="仿宋" w:cs="仿宋"/>
          <w:spacing w:val="-32"/>
          <w:sz w:val="60"/>
          <w:szCs w:val="60"/>
        </w:rPr>
        <w:t>为、推动降低充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4"/>
          <w:sz w:val="60"/>
          <w:szCs w:val="60"/>
        </w:rPr>
        <w:t>电收费对引导群众户外充电、保障用电安全的重要作用，加强组</w:t>
      </w:r>
      <w:r>
        <w:rPr>
          <w:rFonts w:ascii="仿宋" w:hAnsi="仿宋" w:eastAsia="仿宋" w:cs="仿宋"/>
          <w:spacing w:val="3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织领导，强化政策落实，并做好政策宣传解读。</w:t>
      </w:r>
      <w:r>
        <w:rPr>
          <w:rFonts w:ascii="仿宋" w:hAnsi="仿宋" w:eastAsia="仿宋" w:cs="仿宋"/>
          <w:spacing w:val="-33"/>
          <w:sz w:val="60"/>
          <w:szCs w:val="60"/>
        </w:rPr>
        <w:t>各地相关部门要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32"/>
          <w:sz w:val="60"/>
          <w:szCs w:val="60"/>
        </w:rPr>
        <w:t>加强协同联动，研究采取行之有效的政策措施，推动降低</w:t>
      </w:r>
      <w:r>
        <w:rPr>
          <w:rFonts w:ascii="仿宋" w:hAnsi="仿宋" w:eastAsia="仿宋" w:cs="仿宋"/>
          <w:spacing w:val="-33"/>
          <w:sz w:val="60"/>
          <w:szCs w:val="60"/>
        </w:rPr>
        <w:t>户外充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55"/>
          <w:sz w:val="60"/>
          <w:szCs w:val="60"/>
        </w:rPr>
        <w:t>电服务费，让群众能承担、愿意用。</w:t>
      </w:r>
    </w:p>
    <w:p w14:paraId="3EA00D0F">
      <w:pPr>
        <w:pStyle w:val="2"/>
        <w:spacing w:line="254" w:lineRule="auto"/>
      </w:pPr>
    </w:p>
    <w:p w14:paraId="347C74A2">
      <w:pPr>
        <w:pStyle w:val="2"/>
        <w:spacing w:line="254" w:lineRule="auto"/>
      </w:pPr>
    </w:p>
    <w:p w14:paraId="02DACFC5">
      <w:pPr>
        <w:pStyle w:val="2"/>
        <w:spacing w:line="254" w:lineRule="auto"/>
      </w:pPr>
    </w:p>
    <w:p w14:paraId="0180D9A4">
      <w:pPr>
        <w:pStyle w:val="2"/>
        <w:spacing w:line="254" w:lineRule="auto"/>
      </w:pPr>
    </w:p>
    <w:p w14:paraId="157765F8">
      <w:pPr>
        <w:pStyle w:val="2"/>
        <w:spacing w:line="254" w:lineRule="auto"/>
      </w:pPr>
    </w:p>
    <w:p w14:paraId="44B4046D">
      <w:pPr>
        <w:pStyle w:val="2"/>
        <w:spacing w:line="254" w:lineRule="auto"/>
      </w:pPr>
    </w:p>
    <w:p w14:paraId="53F187BF">
      <w:pPr>
        <w:pStyle w:val="2"/>
        <w:spacing w:line="254" w:lineRule="auto"/>
      </w:pPr>
    </w:p>
    <w:p w14:paraId="63F0743D">
      <w:pPr>
        <w:pStyle w:val="2"/>
        <w:spacing w:line="254" w:lineRule="auto"/>
      </w:pPr>
    </w:p>
    <w:p w14:paraId="14F65B9B">
      <w:pPr>
        <w:pStyle w:val="2"/>
        <w:spacing w:line="254" w:lineRule="auto"/>
      </w:pPr>
    </w:p>
    <w:p w14:paraId="17D81387">
      <w:pPr>
        <w:pStyle w:val="2"/>
        <w:spacing w:line="255" w:lineRule="auto"/>
      </w:pPr>
    </w:p>
    <w:p w14:paraId="712CA3CD">
      <w:pPr>
        <w:pStyle w:val="2"/>
        <w:spacing w:line="255" w:lineRule="auto"/>
      </w:pPr>
    </w:p>
    <w:p w14:paraId="3EAF0AE5">
      <w:pPr>
        <w:spacing w:before="205" w:line="224" w:lineRule="auto"/>
        <w:rPr>
          <w:rFonts w:ascii="楷体" w:hAnsi="楷体" w:eastAsia="楷体" w:cs="楷体"/>
          <w:spacing w:val="15"/>
          <w:sz w:val="60"/>
          <w:szCs w:val="60"/>
        </w:rPr>
      </w:pPr>
      <w:r>
        <w:rPr>
          <w:rFonts w:ascii="楷体" w:hAnsi="楷体" w:eastAsia="楷体" w:cs="楷体"/>
          <w:spacing w:val="16"/>
          <w:sz w:val="63"/>
          <w:szCs w:val="63"/>
        </w:rPr>
        <w:t>国家</w:t>
      </w:r>
      <w:r>
        <w:rPr>
          <w:rFonts w:ascii="楷体" w:hAnsi="楷体" w:eastAsia="楷体" w:cs="楷体"/>
          <w:spacing w:val="-166"/>
          <w:sz w:val="63"/>
          <w:szCs w:val="63"/>
        </w:rPr>
        <w:t xml:space="preserve"> </w:t>
      </w:r>
      <w:r>
        <w:rPr>
          <w:rFonts w:ascii="楷体" w:hAnsi="楷体" w:eastAsia="楷体" w:cs="楷体"/>
          <w:spacing w:val="16"/>
          <w:sz w:val="63"/>
          <w:szCs w:val="63"/>
        </w:rPr>
        <w:t xml:space="preserve">发展改革委办公厅 </w:t>
      </w:r>
      <w:r>
        <w:rPr>
          <w:rFonts w:hint="eastAsia" w:ascii="楷体" w:hAnsi="楷体" w:eastAsia="楷体" w:cs="楷体"/>
          <w:spacing w:val="16"/>
          <w:sz w:val="63"/>
          <w:szCs w:val="63"/>
          <w:lang w:val="en-US" w:eastAsia="zh-CN"/>
        </w:rPr>
        <w:t xml:space="preserve"> </w:t>
      </w:r>
      <w:r>
        <w:rPr>
          <w:rFonts w:ascii="楷体" w:hAnsi="楷体" w:eastAsia="楷体" w:cs="楷体"/>
          <w:spacing w:val="16"/>
          <w:sz w:val="63"/>
          <w:szCs w:val="63"/>
        </w:rPr>
        <w:t xml:space="preserve"> </w:t>
      </w:r>
      <w:r>
        <w:rPr>
          <w:rFonts w:hint="eastAsia" w:ascii="楷体" w:hAnsi="楷体" w:eastAsia="楷体" w:cs="楷体"/>
          <w:spacing w:val="16"/>
          <w:sz w:val="63"/>
          <w:szCs w:val="63"/>
          <w:lang w:val="en-US" w:eastAsia="zh-CN"/>
        </w:rPr>
        <w:t xml:space="preserve">  </w:t>
      </w:r>
      <w:r>
        <w:rPr>
          <w:rFonts w:ascii="楷体" w:hAnsi="楷体" w:eastAsia="楷体" w:cs="楷体"/>
          <w:spacing w:val="16"/>
          <w:sz w:val="60"/>
          <w:szCs w:val="60"/>
        </w:rPr>
        <w:t>市</w:t>
      </w:r>
      <w:r>
        <w:rPr>
          <w:rFonts w:ascii="楷体" w:hAnsi="楷体" w:eastAsia="楷体" w:cs="楷体"/>
          <w:spacing w:val="-43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6"/>
          <w:sz w:val="60"/>
          <w:szCs w:val="60"/>
        </w:rPr>
        <w:t>场</w:t>
      </w:r>
      <w:r>
        <w:rPr>
          <w:rFonts w:ascii="楷体" w:hAnsi="楷体" w:eastAsia="楷体" w:cs="楷体"/>
          <w:spacing w:val="-63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6"/>
          <w:sz w:val="60"/>
          <w:szCs w:val="60"/>
        </w:rPr>
        <w:t xml:space="preserve">监 管 </w:t>
      </w:r>
      <w:r>
        <w:rPr>
          <w:rFonts w:ascii="楷体" w:hAnsi="楷体" w:eastAsia="楷体" w:cs="楷体"/>
          <w:spacing w:val="15"/>
          <w:sz w:val="60"/>
          <w:szCs w:val="60"/>
        </w:rPr>
        <w:t>总</w:t>
      </w:r>
      <w:r>
        <w:rPr>
          <w:rFonts w:ascii="楷体" w:hAnsi="楷体" w:eastAsia="楷体" w:cs="楷体"/>
          <w:spacing w:val="-77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5"/>
          <w:sz w:val="60"/>
          <w:szCs w:val="60"/>
        </w:rPr>
        <w:t>局 办</w:t>
      </w:r>
      <w:r>
        <w:rPr>
          <w:rFonts w:ascii="楷体" w:hAnsi="楷体" w:eastAsia="楷体" w:cs="楷体"/>
          <w:spacing w:val="-85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5"/>
          <w:sz w:val="60"/>
          <w:szCs w:val="60"/>
        </w:rPr>
        <w:t>公</w:t>
      </w:r>
      <w:r>
        <w:rPr>
          <w:rFonts w:ascii="楷体" w:hAnsi="楷体" w:eastAsia="楷体" w:cs="楷体"/>
          <w:spacing w:val="-80"/>
          <w:sz w:val="60"/>
          <w:szCs w:val="60"/>
        </w:rPr>
        <w:t xml:space="preserve"> </w:t>
      </w:r>
      <w:r>
        <w:rPr>
          <w:rFonts w:ascii="楷体" w:hAnsi="楷体" w:eastAsia="楷体" w:cs="楷体"/>
          <w:spacing w:val="15"/>
          <w:sz w:val="60"/>
          <w:szCs w:val="60"/>
        </w:rPr>
        <w:t>厅</w:t>
      </w:r>
    </w:p>
    <w:p w14:paraId="4BDADF7F">
      <w:pPr>
        <w:spacing w:before="205" w:line="224" w:lineRule="auto"/>
        <w:ind w:left="389"/>
        <w:rPr>
          <w:rFonts w:hint="default" w:ascii="楷体" w:hAnsi="楷体" w:eastAsia="楷体" w:cs="楷体"/>
          <w:spacing w:val="15"/>
          <w:sz w:val="60"/>
          <w:szCs w:val="60"/>
          <w:lang w:val="en-US" w:eastAsia="zh-CN"/>
        </w:rPr>
      </w:pPr>
      <w:r>
        <w:rPr>
          <w:rFonts w:hint="eastAsia" w:ascii="楷体" w:hAnsi="楷体" w:eastAsia="楷体" w:cs="楷体"/>
          <w:spacing w:val="15"/>
          <w:sz w:val="60"/>
          <w:szCs w:val="60"/>
          <w:lang w:val="en-US" w:eastAsia="zh-CN"/>
        </w:rPr>
        <w:t xml:space="preserve">                               </w:t>
      </w:r>
      <w:r>
        <w:rPr>
          <w:rFonts w:hint="eastAsia" w:ascii="楷体" w:hAnsi="楷体" w:eastAsia="楷体" w:cs="楷体"/>
          <w:spacing w:val="16"/>
          <w:sz w:val="60"/>
          <w:szCs w:val="60"/>
          <w:lang w:val="en-US" w:eastAsia="zh-CN"/>
        </w:rPr>
        <w:t xml:space="preserve"> 2024年6月11日</w:t>
      </w:r>
    </w:p>
    <w:p w14:paraId="723FFC26">
      <w:pPr>
        <w:pStyle w:val="2"/>
        <w:spacing w:line="261" w:lineRule="auto"/>
      </w:pPr>
    </w:p>
    <w:p w14:paraId="63EA49C9">
      <w:pPr>
        <w:pStyle w:val="2"/>
        <w:spacing w:line="261" w:lineRule="auto"/>
      </w:pPr>
    </w:p>
    <w:p w14:paraId="63F638A8">
      <w:pPr>
        <w:pStyle w:val="2"/>
        <w:spacing w:line="261" w:lineRule="auto"/>
      </w:pPr>
    </w:p>
    <w:p w14:paraId="36AFDDF9">
      <w:pPr>
        <w:pStyle w:val="2"/>
        <w:spacing w:line="261" w:lineRule="auto"/>
      </w:pPr>
    </w:p>
    <w:p w14:paraId="0352205F">
      <w:pPr>
        <w:spacing w:line="184" w:lineRule="auto"/>
        <w:rPr>
          <w:rFonts w:ascii="宋体" w:hAnsi="宋体" w:eastAsia="宋体" w:cs="宋体"/>
          <w:sz w:val="65"/>
          <w:szCs w:val="65"/>
        </w:rPr>
        <w:sectPr>
          <w:pgSz w:w="22267" w:h="31680"/>
          <w:pgMar w:top="2692" w:right="3216" w:bottom="0" w:left="3105" w:header="0" w:footer="0" w:gutter="0"/>
          <w:cols w:space="720" w:num="1"/>
        </w:sectPr>
      </w:pPr>
    </w:p>
    <w:p w14:paraId="0A573702">
      <w:pPr>
        <w:spacing w:before="1"/>
      </w:pPr>
    </w:p>
    <w:sectPr>
      <w:footerReference r:id="rId5" w:type="default"/>
      <w:pgSz w:w="22267" w:h="31680"/>
      <w:pgMar w:top="2692" w:right="2590" w:bottom="400" w:left="256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61B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FhMzFhMWU4MGY1MTM2YWNjMmU3MWU4ODM0YzI1ZmQifQ=="/>
  </w:docVars>
  <w:rsids>
    <w:rsidRoot w:val="00000000"/>
    <w:rsid w:val="19460356"/>
    <w:rsid w:val="3D2F5E56"/>
    <w:rsid w:val="42F00D2B"/>
    <w:rsid w:val="51D84E64"/>
    <w:rsid w:val="610457C9"/>
    <w:rsid w:val="65FC7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1888</Words>
  <Characters>1904</Characters>
  <TotalTime>5</TotalTime>
  <ScaleCrop>false</ScaleCrop>
  <LinksUpToDate>false</LinksUpToDate>
  <CharactersWithSpaces>2009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2024-10-18T16:35:00Z</dcterms:created>
  <dc:creator>Kingsoft-PDF</dc:creator>
  <cp:lastModifiedBy>Administrator</cp:lastModifiedBy>
  <dcterms:modified xsi:type="dcterms:W3CDTF">2024-10-18T09:40:24Z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2024-10-18T16:35:29Z</vt:filetime>
  </property>
  <property fmtid="{D5CDD505-2E9C-101B-9397-08002B2CF9AE}" pid="4" name="UsrData">
    <vt:lpwstr>67121dc8d763780020868128wl</vt:lpwstr>
  </property>
  <property fmtid="{D5CDD505-2E9C-101B-9397-08002B2CF9AE}" pid="5" name="KSOProductBuildVer">
    <vt:lpwstr>2052-12.1.0.18276</vt:lpwstr>
  </property>
  <property fmtid="{D5CDD505-2E9C-101B-9397-08002B2CF9AE}" pid="6" name="ICV">
    <vt:lpwstr>028D89B9B00E4B55B08CDD043029174D_13</vt:lpwstr>
  </property>
</Properties>
</file>