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AA94D">
      <w:pPr>
        <w:overflowPunct w:val="0"/>
        <w:adjustRightInd w:val="0"/>
        <w:snapToGrid w:val="0"/>
        <w:spacing w:line="588" w:lineRule="exact"/>
        <w:jc w:val="both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1DB6F2AC">
      <w:pPr>
        <w:overflowPunct w:val="0"/>
        <w:adjustRightInd w:val="0"/>
        <w:snapToGrid w:val="0"/>
        <w:spacing w:line="588" w:lineRule="exact"/>
        <w:jc w:val="center"/>
        <w:outlineLvl w:val="0"/>
        <w:rPr>
          <w:rFonts w:ascii="Times New Roman" w:hAnsi="Times New Roman" w:eastAsia="方正小标宋_GBK"/>
          <w:sz w:val="40"/>
          <w:szCs w:val="40"/>
        </w:rPr>
      </w:pPr>
      <w:r>
        <w:rPr>
          <w:rFonts w:hint="eastAsia" w:ascii="Times New Roman" w:hAnsi="Times New Roman" w:eastAsia="方正小标宋_GBK"/>
          <w:sz w:val="40"/>
          <w:szCs w:val="40"/>
          <w:lang w:eastAsia="zh-CN"/>
        </w:rPr>
        <w:t>南县</w:t>
      </w:r>
      <w:r>
        <w:rPr>
          <w:rFonts w:ascii="Times New Roman" w:hAnsi="Times New Roman" w:eastAsia="方正小标宋_GBK"/>
          <w:sz w:val="40"/>
          <w:szCs w:val="40"/>
        </w:rPr>
        <w:t>2025年第三批以工代赈中央预算内投资</w:t>
      </w:r>
    </w:p>
    <w:p w14:paraId="56B7136F">
      <w:pPr>
        <w:overflowPunct w:val="0"/>
        <w:adjustRightInd w:val="0"/>
        <w:snapToGrid w:val="0"/>
        <w:spacing w:line="588" w:lineRule="exact"/>
        <w:jc w:val="center"/>
        <w:outlineLvl w:val="0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计划绩效目标表</w:t>
      </w:r>
    </w:p>
    <w:p w14:paraId="0E8E96F1">
      <w:pPr>
        <w:spacing w:line="400" w:lineRule="exact"/>
        <w:jc w:val="center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（2025年度）</w:t>
      </w:r>
    </w:p>
    <w:p w14:paraId="7ACEB033">
      <w:pPr>
        <w:jc w:val="center"/>
        <w:rPr>
          <w:rFonts w:ascii="Times New Roman" w:hAnsi="Times New Roman" w:eastAsia="黑体"/>
          <w:sz w:val="24"/>
          <w:szCs w:val="24"/>
        </w:rPr>
      </w:pPr>
    </w:p>
    <w:tbl>
      <w:tblPr>
        <w:tblStyle w:val="2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35"/>
        <w:gridCol w:w="1578"/>
        <w:gridCol w:w="1085"/>
        <w:gridCol w:w="2793"/>
        <w:gridCol w:w="1859"/>
      </w:tblGrid>
      <w:tr w14:paraId="16C2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5248" w:type="dxa"/>
            <w:gridSpan w:val="4"/>
            <w:noWrap w:val="0"/>
            <w:vAlign w:val="center"/>
          </w:tcPr>
          <w:p w14:paraId="0E65426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专项名称</w:t>
            </w:r>
          </w:p>
        </w:tc>
        <w:tc>
          <w:tcPr>
            <w:tcW w:w="4652" w:type="dxa"/>
            <w:gridSpan w:val="2"/>
            <w:noWrap w:val="0"/>
            <w:vAlign w:val="center"/>
          </w:tcPr>
          <w:p w14:paraId="7B187B6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以工代赈</w:t>
            </w:r>
          </w:p>
        </w:tc>
      </w:tr>
      <w:tr w14:paraId="099E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5248" w:type="dxa"/>
            <w:gridSpan w:val="4"/>
            <w:noWrap w:val="0"/>
            <w:vAlign w:val="center"/>
          </w:tcPr>
          <w:p w14:paraId="0246B93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下达</w:t>
            </w:r>
            <w:r>
              <w:rPr>
                <w:rFonts w:ascii="Times New Roman" w:hAnsi="Times New Roman" w:eastAsia="方正仿宋_GBK"/>
                <w:szCs w:val="21"/>
              </w:rPr>
              <w:t>地方或单位</w:t>
            </w:r>
          </w:p>
        </w:tc>
        <w:tc>
          <w:tcPr>
            <w:tcW w:w="4652" w:type="dxa"/>
            <w:gridSpan w:val="2"/>
            <w:noWrap w:val="0"/>
            <w:vAlign w:val="center"/>
          </w:tcPr>
          <w:p w14:paraId="0FB591C7">
            <w:pPr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南县发展和改革局</w:t>
            </w:r>
          </w:p>
        </w:tc>
      </w:tr>
      <w:tr w14:paraId="1CD2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5248" w:type="dxa"/>
            <w:gridSpan w:val="4"/>
            <w:noWrap w:val="0"/>
            <w:vAlign w:val="center"/>
          </w:tcPr>
          <w:p w14:paraId="4F6D990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申请中央预算内投资（万元）</w:t>
            </w:r>
          </w:p>
        </w:tc>
        <w:tc>
          <w:tcPr>
            <w:tcW w:w="4652" w:type="dxa"/>
            <w:gridSpan w:val="2"/>
            <w:noWrap w:val="0"/>
            <w:vAlign w:val="center"/>
          </w:tcPr>
          <w:p w14:paraId="42ABBC8D"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600</w:t>
            </w:r>
          </w:p>
        </w:tc>
      </w:tr>
      <w:tr w14:paraId="05BE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50" w:type="dxa"/>
            <w:noWrap w:val="0"/>
            <w:vAlign w:val="center"/>
          </w:tcPr>
          <w:p w14:paraId="586F168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总体目标</w:t>
            </w:r>
          </w:p>
        </w:tc>
        <w:tc>
          <w:tcPr>
            <w:tcW w:w="9050" w:type="dxa"/>
            <w:gridSpan w:val="5"/>
            <w:noWrap w:val="0"/>
            <w:vAlign w:val="center"/>
          </w:tcPr>
          <w:p w14:paraId="08158C90">
            <w:pPr>
              <w:ind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在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麻河口镇官正垸村和厂窖镇肖家湾村</w:t>
            </w:r>
            <w:r>
              <w:rPr>
                <w:rFonts w:hint="eastAsia" w:ascii="Times New Roman" w:hAnsi="Times New Roman" w:eastAsia="方正仿宋_GBK"/>
                <w:szCs w:val="21"/>
              </w:rPr>
              <w:t>实施以工代赈项目，支持实施一批新建、改造乡村道路、修建排灌沟渠和护坡。</w:t>
            </w:r>
            <w:r>
              <w:rPr>
                <w:rFonts w:ascii="Times New Roman" w:hAnsi="Times New Roman" w:eastAsia="方正仿宋_GBK"/>
                <w:szCs w:val="21"/>
              </w:rPr>
              <w:t>在确保劳务报酬发放金额占中央投资的总体比例不低于40%的基础上，尽可能进一步提高占比，</w:t>
            </w:r>
            <w:r>
              <w:rPr>
                <w:rFonts w:hint="eastAsia" w:ascii="Times New Roman" w:hAnsi="Times New Roman" w:eastAsia="方正仿宋_GBK"/>
                <w:szCs w:val="21"/>
              </w:rPr>
              <w:t>广泛吸纳相关企业失业人员、返乡农民工、家庭经济困难高校毕业生、未就业退役军人和脱贫人口、防止返贫致贫监测对象等重点群体参与工程建设</w:t>
            </w:r>
            <w:r>
              <w:rPr>
                <w:rFonts w:ascii="Times New Roman" w:hAnsi="Times New Roman" w:eastAsia="方正仿宋_GBK"/>
                <w:szCs w:val="21"/>
              </w:rPr>
              <w:t>，实现就地就近就业增收。</w:t>
            </w:r>
          </w:p>
        </w:tc>
      </w:tr>
      <w:tr w14:paraId="3552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50" w:type="dxa"/>
            <w:vMerge w:val="restart"/>
            <w:noWrap w:val="0"/>
            <w:vAlign w:val="center"/>
          </w:tcPr>
          <w:p w14:paraId="71CEB47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绩</w:t>
            </w:r>
          </w:p>
          <w:p w14:paraId="4E0FCE3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 w14:paraId="34EDA91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效</w:t>
            </w:r>
          </w:p>
          <w:p w14:paraId="5F44ABF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 w14:paraId="1689698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</w:t>
            </w:r>
          </w:p>
          <w:p w14:paraId="01DFA57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 w14:paraId="5ADF311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1735" w:type="dxa"/>
            <w:noWrap w:val="0"/>
            <w:vAlign w:val="center"/>
          </w:tcPr>
          <w:p w14:paraId="5109AEB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一级指标</w:t>
            </w:r>
          </w:p>
        </w:tc>
        <w:tc>
          <w:tcPr>
            <w:tcW w:w="1578" w:type="dxa"/>
            <w:noWrap w:val="0"/>
            <w:vAlign w:val="center"/>
          </w:tcPr>
          <w:p w14:paraId="5E0D895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二级指标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112937D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三级指标</w:t>
            </w:r>
          </w:p>
        </w:tc>
        <w:tc>
          <w:tcPr>
            <w:tcW w:w="1859" w:type="dxa"/>
            <w:noWrap w:val="0"/>
            <w:vAlign w:val="center"/>
          </w:tcPr>
          <w:p w14:paraId="462FED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指标值</w:t>
            </w:r>
          </w:p>
        </w:tc>
      </w:tr>
      <w:tr w14:paraId="3BAC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50" w:type="dxa"/>
            <w:vMerge w:val="continue"/>
            <w:noWrap w:val="0"/>
            <w:vAlign w:val="center"/>
          </w:tcPr>
          <w:p w14:paraId="4D65BEA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 w14:paraId="133D36B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实施效果指标</w:t>
            </w:r>
          </w:p>
        </w:tc>
        <w:tc>
          <w:tcPr>
            <w:tcW w:w="1578" w:type="dxa"/>
            <w:noWrap w:val="0"/>
            <w:vAlign w:val="center"/>
          </w:tcPr>
          <w:p w14:paraId="78D32B0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产出指标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1CE7AF3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劳务报酬占中央投资比例</w:t>
            </w:r>
          </w:p>
        </w:tc>
        <w:tc>
          <w:tcPr>
            <w:tcW w:w="1859" w:type="dxa"/>
            <w:noWrap w:val="0"/>
            <w:vAlign w:val="center"/>
          </w:tcPr>
          <w:p w14:paraId="6A5074FF">
            <w:pPr>
              <w:jc w:val="center"/>
              <w:rPr>
                <w:rFonts w:ascii="Times New Roman" w:hAnsi="Times New Roman" w:eastAsia="方正仿宋_GBK"/>
                <w:sz w:val="13"/>
                <w:szCs w:val="13"/>
              </w:rPr>
            </w:pPr>
            <w:r>
              <w:rPr>
                <w:rFonts w:ascii="Times New Roman" w:hAnsi="Times New Roman" w:eastAsia="方正仿宋_GBK"/>
                <w:szCs w:val="21"/>
              </w:rPr>
              <w:t>≥40%</w:t>
            </w:r>
          </w:p>
        </w:tc>
      </w:tr>
      <w:tr w14:paraId="7B1E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50" w:type="dxa"/>
            <w:vMerge w:val="continue"/>
            <w:noWrap w:val="0"/>
            <w:vAlign w:val="center"/>
          </w:tcPr>
          <w:p w14:paraId="63A1C20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44BC6AF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09405CF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效益指标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60B2578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项目区基础设施条件</w:t>
            </w:r>
          </w:p>
        </w:tc>
        <w:tc>
          <w:tcPr>
            <w:tcW w:w="1859" w:type="dxa"/>
            <w:noWrap w:val="0"/>
            <w:vAlign w:val="center"/>
          </w:tcPr>
          <w:p w14:paraId="340A9B0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持续改善</w:t>
            </w:r>
          </w:p>
        </w:tc>
      </w:tr>
      <w:tr w14:paraId="17E1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50" w:type="dxa"/>
            <w:vMerge w:val="continue"/>
            <w:noWrap w:val="0"/>
            <w:vAlign w:val="center"/>
          </w:tcPr>
          <w:p w14:paraId="1C688ED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035B304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3B25E3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满意度指标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0D0BA78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参与工程建设的务工群众满意度</w:t>
            </w:r>
          </w:p>
        </w:tc>
        <w:tc>
          <w:tcPr>
            <w:tcW w:w="1859" w:type="dxa"/>
            <w:noWrap w:val="0"/>
            <w:vAlign w:val="center"/>
          </w:tcPr>
          <w:p w14:paraId="31D8350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≥90%</w:t>
            </w:r>
          </w:p>
        </w:tc>
      </w:tr>
      <w:tr w14:paraId="7993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50" w:type="dxa"/>
            <w:vMerge w:val="continue"/>
            <w:noWrap w:val="0"/>
            <w:vAlign w:val="center"/>
          </w:tcPr>
          <w:p w14:paraId="235E051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 w14:paraId="452E8E5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过程管理指标</w:t>
            </w:r>
          </w:p>
        </w:tc>
        <w:tc>
          <w:tcPr>
            <w:tcW w:w="1578" w:type="dxa"/>
            <w:vMerge w:val="restart"/>
            <w:noWrap w:val="0"/>
            <w:vAlign w:val="center"/>
          </w:tcPr>
          <w:p w14:paraId="716192C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计划管理指标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3F824F3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投资计划分解（转发）用时</w:t>
            </w:r>
          </w:p>
        </w:tc>
        <w:tc>
          <w:tcPr>
            <w:tcW w:w="1859" w:type="dxa"/>
            <w:noWrap w:val="0"/>
            <w:vAlign w:val="center"/>
          </w:tcPr>
          <w:p w14:paraId="7A1AC64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≤20个工作日</w:t>
            </w:r>
          </w:p>
        </w:tc>
      </w:tr>
      <w:tr w14:paraId="6B0C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50" w:type="dxa"/>
            <w:vMerge w:val="continue"/>
            <w:noWrap w:val="0"/>
            <w:vAlign w:val="center"/>
          </w:tcPr>
          <w:p w14:paraId="00D5482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7268B4D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1356DD3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 w14:paraId="58C8F43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“两个责任”按项目落实到位率</w:t>
            </w:r>
          </w:p>
        </w:tc>
        <w:tc>
          <w:tcPr>
            <w:tcW w:w="1859" w:type="dxa"/>
            <w:noWrap w:val="0"/>
            <w:vAlign w:val="center"/>
          </w:tcPr>
          <w:p w14:paraId="2195253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100%</w:t>
            </w:r>
          </w:p>
        </w:tc>
      </w:tr>
      <w:tr w14:paraId="41CA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50" w:type="dxa"/>
            <w:vMerge w:val="continue"/>
            <w:noWrap w:val="0"/>
            <w:vAlign w:val="center"/>
          </w:tcPr>
          <w:p w14:paraId="4877D99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3780CC9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78" w:type="dxa"/>
            <w:vMerge w:val="restart"/>
            <w:noWrap w:val="0"/>
            <w:vAlign w:val="center"/>
          </w:tcPr>
          <w:p w14:paraId="5E707B9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资金管理指标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36404CD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中央预算内投资支付率</w:t>
            </w:r>
          </w:p>
        </w:tc>
        <w:tc>
          <w:tcPr>
            <w:tcW w:w="1859" w:type="dxa"/>
            <w:noWrap w:val="0"/>
            <w:vAlign w:val="center"/>
          </w:tcPr>
          <w:p w14:paraId="714AB19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≥95%</w:t>
            </w:r>
          </w:p>
        </w:tc>
      </w:tr>
      <w:tr w14:paraId="40C7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50" w:type="dxa"/>
            <w:vMerge w:val="continue"/>
            <w:noWrap w:val="0"/>
            <w:vAlign w:val="center"/>
          </w:tcPr>
          <w:p w14:paraId="69D7220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1A19B24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08F61F7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 w14:paraId="27998A0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年度计划投资完成率</w:t>
            </w:r>
          </w:p>
        </w:tc>
        <w:tc>
          <w:tcPr>
            <w:tcW w:w="1859" w:type="dxa"/>
            <w:noWrap w:val="0"/>
            <w:vAlign w:val="center"/>
          </w:tcPr>
          <w:p w14:paraId="291A5D1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≥95%</w:t>
            </w:r>
          </w:p>
        </w:tc>
      </w:tr>
      <w:tr w14:paraId="72DE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50" w:type="dxa"/>
            <w:vMerge w:val="continue"/>
            <w:noWrap w:val="0"/>
            <w:vAlign w:val="center"/>
          </w:tcPr>
          <w:p w14:paraId="6CAD044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5B38913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78" w:type="dxa"/>
            <w:vMerge w:val="restart"/>
            <w:noWrap w:val="0"/>
            <w:vAlign w:val="center"/>
          </w:tcPr>
          <w:p w14:paraId="2111ACE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项目管理指标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0097C6F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项目开工率</w:t>
            </w:r>
          </w:p>
        </w:tc>
        <w:tc>
          <w:tcPr>
            <w:tcW w:w="1859" w:type="dxa"/>
            <w:noWrap w:val="0"/>
            <w:vAlign w:val="center"/>
          </w:tcPr>
          <w:p w14:paraId="3F0114D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 w14:paraId="77DB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50" w:type="dxa"/>
            <w:vMerge w:val="continue"/>
            <w:noWrap w:val="0"/>
            <w:vAlign w:val="center"/>
          </w:tcPr>
          <w:p w14:paraId="060F662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5EA5297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78" w:type="dxa"/>
            <w:vMerge w:val="continue"/>
            <w:noWrap w:val="0"/>
            <w:vAlign w:val="top"/>
          </w:tcPr>
          <w:p w14:paraId="1F586C7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 w14:paraId="00426CF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超规模、超标准、超概算项目比例</w:t>
            </w:r>
          </w:p>
        </w:tc>
        <w:tc>
          <w:tcPr>
            <w:tcW w:w="1859" w:type="dxa"/>
            <w:noWrap w:val="0"/>
            <w:vAlign w:val="center"/>
          </w:tcPr>
          <w:p w14:paraId="3498833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0</w:t>
            </w:r>
          </w:p>
        </w:tc>
      </w:tr>
      <w:tr w14:paraId="574C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850" w:type="dxa"/>
            <w:vMerge w:val="continue"/>
            <w:noWrap w:val="0"/>
            <w:vAlign w:val="center"/>
          </w:tcPr>
          <w:p w14:paraId="625E19D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22DB149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2701ED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监督检查指标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1E7E09D4">
            <w:pPr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859" w:type="dxa"/>
            <w:noWrap w:val="0"/>
            <w:vAlign w:val="center"/>
          </w:tcPr>
          <w:p w14:paraId="166E8DE0">
            <w:pPr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≤1%</w:t>
            </w:r>
          </w:p>
        </w:tc>
      </w:tr>
    </w:tbl>
    <w:p w14:paraId="33040CD8">
      <w:bookmarkStart w:id="0" w:name="_GoBack"/>
      <w:bookmarkEnd w:id="0"/>
    </w:p>
    <w:sectPr>
      <w:pgSz w:w="11906" w:h="16838"/>
      <w:pgMar w:top="2098" w:right="153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A71CD"/>
    <w:rsid w:val="3D5364FE"/>
    <w:rsid w:val="3EAB0813"/>
    <w:rsid w:val="495C21C6"/>
    <w:rsid w:val="FFB72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477</Characters>
  <Lines>0</Lines>
  <Paragraphs>0</Paragraphs>
  <TotalTime>2</TotalTime>
  <ScaleCrop>false</ScaleCrop>
  <LinksUpToDate>false</LinksUpToDate>
  <CharactersWithSpaces>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  monkey</cp:lastModifiedBy>
  <dcterms:modified xsi:type="dcterms:W3CDTF">2025-07-25T00:58:28Z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eyJoZGlkIjoiZmFhMzFhMWU4MGY1MTM2YWNjMmU3MWU4ODM0YzI1ZmQiLCJ1c2VySWQiOiI5NjA3MzAxMjIifQ==</vt:lpwstr>
  </property>
  <property fmtid="{D5CDD505-2E9C-101B-9397-08002B2CF9AE}" pid="4" name="ICV">
    <vt:lpwstr>45571FFF257744AFA246956F98AFF4D9_13</vt:lpwstr>
  </property>
</Properties>
</file>