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C797">
      <w:pPr>
        <w:pStyle w:val="2"/>
        <w:jc w:val="left"/>
        <w:rPr>
          <w:rFonts w:ascii="方正公文小标宋" w:eastAsia="方正公文小标宋"/>
          <w:b w:val="0"/>
          <w:sz w:val="84"/>
          <w:szCs w:val="84"/>
          <w:lang w:eastAsia="zh-CN"/>
        </w:rPr>
      </w:pPr>
    </w:p>
    <w:p w14:paraId="1E89A770">
      <w:pPr>
        <w:pStyle w:val="2"/>
        <w:jc w:val="left"/>
        <w:rPr>
          <w:rFonts w:ascii="方正公文小标宋" w:eastAsia="方正公文小标宋"/>
          <w:b w:val="0"/>
          <w:sz w:val="84"/>
          <w:szCs w:val="84"/>
          <w:lang w:eastAsia="zh-CN"/>
        </w:rPr>
      </w:pPr>
    </w:p>
    <w:p w14:paraId="491454DF">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湖南省益阳市南县南洲镇履行职</w:t>
      </w:r>
    </w:p>
    <w:p w14:paraId="16443181">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责事项清单</w:t>
      </w:r>
    </w:p>
    <w:p w14:paraId="23ECDA08">
      <w:pPr>
        <w:rPr>
          <w:rFonts w:ascii="方正公文小标宋" w:eastAsia="方正公文小标宋"/>
          <w:sz w:val="84"/>
          <w:szCs w:val="84"/>
          <w:lang w:eastAsia="zh-CN"/>
        </w:rPr>
      </w:pPr>
    </w:p>
    <w:p w14:paraId="78CA6390">
      <w:pPr>
        <w:rPr>
          <w:rFonts w:ascii="方正公文小标宋" w:eastAsia="方正公文小标宋"/>
          <w:sz w:val="84"/>
          <w:szCs w:val="84"/>
          <w:lang w:eastAsia="zh-CN"/>
        </w:rPr>
      </w:pPr>
    </w:p>
    <w:p w14:paraId="390BA95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kern w:val="0"/>
          <w:sz w:val="44"/>
          <w:szCs w:val="44"/>
          <w:lang w:val="en-US" w:eastAsia="en-US" w:bidi="ar-SA"/>
        </w:rPr>
        <w:id w:val="147473217"/>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2CD7544C">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40C3B5C4">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_Toc13939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_Toc13939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5656DCF">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_Toc9034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_Toc9034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318885D">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_Toc20875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_Toc20875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46999B7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6AA65CA8">
      <w:pPr>
        <w:rPr>
          <w:lang w:eastAsia="zh-CN"/>
        </w:rPr>
      </w:pPr>
    </w:p>
    <w:p w14:paraId="498E8D0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D866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393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BA3BB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331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B5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39739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81B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A6F3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D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861D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5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6C64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6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05C94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7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6290B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5A1B8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8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435B5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F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C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16724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3574A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58224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E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79E7B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73866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7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C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坚持党管干部原则，按照干部管理权限，做好本单位干部日常管理、教育培训、考核监督、评先评优、待遇保障、队伍建设、离退休干部的管理服务工作。</w:t>
            </w:r>
          </w:p>
        </w:tc>
      </w:tr>
      <w:tr w14:paraId="35AC0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1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686EA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C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654FC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68E61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9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15D09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25D0D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7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3EAE8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B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2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78468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8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3FD1C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3FD95F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13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9458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1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1E57D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E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7E6FE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E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06C42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77ADF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7F012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32802E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B1C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6981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658E8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5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4DFD5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D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581D3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0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2B460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5B3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r>
              <w:rPr>
                <w:rFonts w:hint="eastAsia" w:ascii="Times New Roman" w:hAnsi="方正公文仿宋" w:eastAsia="方正公文仿宋"/>
                <w:kern w:val="0"/>
                <w:szCs w:val="21"/>
                <w:lang w:eastAsia="zh-CN" w:bidi="ar"/>
              </w:rPr>
              <w:t>。</w:t>
            </w:r>
          </w:p>
        </w:tc>
      </w:tr>
      <w:tr w14:paraId="7F82F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056C3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AD03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36FE9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6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175ED7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3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42202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A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7490B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E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31B17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5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684A7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2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2585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1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70BC3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C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推进小区党支部、物业、业主委员会“三驾马车”协同管理。</w:t>
            </w:r>
          </w:p>
        </w:tc>
      </w:tr>
      <w:tr w14:paraId="72103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坚持党建引领基层治理，持续开展“红邻骑手”“平安夜巡”工作，搭建大综合一体化城市综合治理新平台（特色）。</w:t>
            </w:r>
          </w:p>
        </w:tc>
      </w:tr>
      <w:tr w14:paraId="55A04B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324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2BC1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9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学习运用“千万工程”经验，开展全国“五好两宜”和美乡村建设。</w:t>
            </w:r>
          </w:p>
        </w:tc>
      </w:tr>
      <w:tr w14:paraId="7B610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5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356CA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E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E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6C615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037D8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6E019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1A2A8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17E4C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311CB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B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16810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F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0EB58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4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4F3A5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133F1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714D57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10A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64322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3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51C73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7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0C876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2C1650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52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EB42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9668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07CB3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6BCDE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8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0CE45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5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6F39F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监督指导业主大会的成立、业主委员会的选举等工作，协调物业管理和社区建设。</w:t>
            </w:r>
          </w:p>
        </w:tc>
      </w:tr>
      <w:tr w14:paraId="05EC8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2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负责物业管理区域资料的备案，参与物业承接现场查验，负责物业应急管理，指导监督物业服务企业安全防范措施的落实。</w:t>
            </w:r>
          </w:p>
        </w:tc>
      </w:tr>
      <w:tr w14:paraId="79E8C2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13B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6AE7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2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2CEDD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F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做好人员的动态摸排、线索上报；定期上门走访。</w:t>
            </w:r>
          </w:p>
        </w:tc>
      </w:tr>
      <w:tr w14:paraId="69C043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0EB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0693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E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4B747F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2F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0595D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4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7D22D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7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5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3DB26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02D5F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0F4C45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D2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6F084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481B2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1837E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3C37C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负责编制村庄规划。</w:t>
            </w:r>
          </w:p>
        </w:tc>
      </w:tr>
      <w:tr w14:paraId="74D07B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BB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CFBD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4CB54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6D715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7A2A0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E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5AD81D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2E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53EC3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C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1F9AE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32D27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63E5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4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54A4D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493FF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36109A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02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30307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0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21ABB3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54C3BB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0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2548A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48CCA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7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0CD6B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坚持党建引领文化振兴助力乡村振兴，开展南洲镇“在小院过大年”“乐见南山 乡约盛夏”特色文化活动（特色）。</w:t>
            </w:r>
          </w:p>
        </w:tc>
      </w:tr>
      <w:tr w14:paraId="4119EA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04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77840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4042FB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C6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760E9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1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27DDC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2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3614B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6F72D2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F1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13785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C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2A2E5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2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688C0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0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6E9CA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2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781E4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2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7B237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4592E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691BA9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3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4EF64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73686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3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6A56008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9034"/>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C975C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8B8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2E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C6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972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E9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4FABA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9C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8BBB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5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E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28A58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9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6FF4D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F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35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4B7E2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218A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34406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5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5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40616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43C4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26F68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5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8D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8E6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6A1FE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B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082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D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785A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04642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0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2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20A4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5B57B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D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56908E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1C3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AF2D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4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3AF996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2DDF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0FDC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F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15FD9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EEC2B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DB04A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4E8D3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306F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BB824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28A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5B5B4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9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7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B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3B05A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6528E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D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42B22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1B6D4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DF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977F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D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12DBF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3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1F788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4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779A3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3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1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2839D6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186A2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8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2C1DC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4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4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22C3F8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C1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1889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E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39B11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0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4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402F2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181A5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05F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4E0C7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A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46BDA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9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1794E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5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DA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指导村（社区）做好社区矫正工作；</w:t>
            </w:r>
          </w:p>
          <w:p w14:paraId="4F19E54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5DA0E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4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0D4780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C8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693D1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6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4733B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6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E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3F655B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B53D5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2FE08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A0AD9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18A3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7B5A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0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682A1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69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34AA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7B900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B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40558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3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2534A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3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5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5560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745A5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1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446F2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F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3DAAD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5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58FC1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0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56A36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1C78C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B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2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CB0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239CA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6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1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E26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1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10063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8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6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073B7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15704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7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5D28B9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1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4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16D09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9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04B06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D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4C750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8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6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3C1C69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FE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AECC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D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2E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604A8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1A1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3EACFC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19F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01C5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F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BB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7FCE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D95B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4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166B5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3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310A1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7BB0D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7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0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6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77C0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7EF3A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A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44F11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5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1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38FEE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3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3665C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6D3B1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58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AF46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B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7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7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2891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5C22E3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BB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6FA3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3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44873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A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E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79CBE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E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4C339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C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27FD8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F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2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51FAF9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75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144FD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4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24060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1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D0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CB19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45D6F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C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33AEFD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EF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458A2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E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7C54E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4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F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C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7C550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F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27992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4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63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53A2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6FA4B8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71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7963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4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DF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52F5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2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6A37F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8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w:t>
            </w:r>
            <w:bookmarkStart w:id="12" w:name="_GoBack"/>
            <w:bookmarkEnd w:id="12"/>
            <w:r>
              <w:rPr>
                <w:rFonts w:hint="eastAsia" w:ascii="Times New Roman" w:hAnsi="方正公文仿宋" w:eastAsia="方正公文仿宋"/>
                <w:kern w:val="0"/>
                <w:szCs w:val="21"/>
                <w:lang w:bidi="ar"/>
              </w:rPr>
              <w:t>县公安局
</w:t>
            </w:r>
          </w:p>
          <w:p w14:paraId="13232C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65AE4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5A81F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73C8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7.负责县城区面源、扬尘、烟花爆竹燃放等大气污染防治。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45843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E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100B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4B5A4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8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1CB1B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2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9E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329A56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4C510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5A77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C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30B8C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6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D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4EEB4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8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6A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2E118C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B4A4C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25C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8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5.负责县城区社会生活噪声污染防治，配合做好县城区建筑施工噪声污染防治。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56A59C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20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1042E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7A0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1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38B48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3977C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531460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DE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655F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5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4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w:t>
            </w:r>
          </w:p>
          <w:p w14:paraId="33240D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1EA8E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F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0DFAF9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D3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5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C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0B184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A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36AC9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35079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B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35E34F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B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4DBC7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9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开展数字化城市综合管理。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县城市管理和综合执法局（牵头）县住房和城乡建设局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负责建立和完善数字化城市管理平台。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1.配合推进数字化城市管理工作，及时上报城市管理问题；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2.协助完善数字化管理平台的基础数据。</w:t>
            </w:r>
          </w:p>
        </w:tc>
      </w:tr>
      <w:tr w14:paraId="268EA0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CE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3671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0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7C1ECD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B2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3D62C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3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58A068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B1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3790C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6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60CB3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D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71AD4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9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1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3923F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9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0C6AA3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DD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4B494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2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0D651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C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41D69C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CE7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6F97D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E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3782F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D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1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DCDC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B9D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69DBA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DA2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08F5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3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12836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E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D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7EA20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6AC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A1BF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6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0B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334FFB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3825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3EFB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465A6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5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9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44665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C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0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D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1B7A5E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A4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61698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3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6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A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13159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04D6B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AF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5D75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6B3886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3DC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9D8C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0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D2F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48D16F7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0BD8F7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34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7B0C7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E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B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F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76C540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0875"/>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191D2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C3D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7D6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8AB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5BA23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AF8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C3C4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141F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3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2FE1B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903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CE74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3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0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736D9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A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20A8C7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846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BEEC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8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028CA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086E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8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36C2B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23D1C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7B58E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459A5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B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10191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6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3484C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2F76D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89DE4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3F4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123A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836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6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5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67644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3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B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4F726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E0F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A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FDF0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1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F7E7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2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D74FE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5DF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9477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0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03866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7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A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54B06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7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5F41C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4461A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6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1B80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8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183B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2038C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01618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6AEA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C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473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3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8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5A974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8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D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ACC0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2096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312E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25D6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24C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1349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55115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3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7C66A0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B5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953E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3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3183E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5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90A0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A6078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E9C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21B9B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08F6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0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4435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9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62EBC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7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C4A9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3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A4E5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5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4B0E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EA42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57EE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1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B89E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6AF3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D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933B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0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D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7C74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8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5C46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9DE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B8E2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7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6505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5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0A22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A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45ADE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6D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FFFA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F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8761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E0FB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0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12A21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188AB1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B2A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3374B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C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9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7EBA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3CA86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C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8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5BCC2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F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50443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6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0407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8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4A989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5D8E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2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20E3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5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8E9E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FD4C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BBBE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F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1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5F12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3EC8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4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5075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9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4A95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0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F329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4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5A2E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A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F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7BE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A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7657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0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A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4F24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D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FA34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1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219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9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094F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7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EA4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BC4B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8BB2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0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36DA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405B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0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A8E1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79B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B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3757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7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C1B5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8F46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F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D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33C5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2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F889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F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2BE4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6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BE9A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7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6EC6F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8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14BC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F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6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0A852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4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637E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2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A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6F660A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6D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5D44B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583BB1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19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5F4DD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B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9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26A80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F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5CCFF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A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64C8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C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68C18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A01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465F7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C109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3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2C1A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BFAD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C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7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2B39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E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E2C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0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3D0C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A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4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58D79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5A82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0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F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021FB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47923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B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5738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82D6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8BBC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C8D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2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B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D76C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4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F4D5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1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3CF3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09C0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B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E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8FBF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5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4B4F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7B0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580C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6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7FFD0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9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6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94DA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6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3EE33A1F">
      <w:pPr>
        <w:pStyle w:val="3"/>
        <w:spacing w:before="0" w:after="0" w:line="240" w:lineRule="auto"/>
        <w:jc w:val="center"/>
        <w:rPr>
          <w:rFonts w:ascii="Times New Roman" w:hAnsi="Times New Roman" w:eastAsia="方正小标宋_GBK" w:cs="Times New Roman"/>
          <w:color w:val="auto"/>
          <w:spacing w:val="7"/>
          <w:lang w:eastAsia="zh-CN"/>
        </w:rPr>
      </w:pPr>
    </w:p>
    <w:p w14:paraId="7BC1A52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559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4C557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4C557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8F9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2B28B8"/>
    <w:rsid w:val="1B650AE3"/>
    <w:rsid w:val="1FB04121"/>
    <w:rsid w:val="20FE62A5"/>
    <w:rsid w:val="5D820C89"/>
    <w:rsid w:val="5DE92381"/>
    <w:rsid w:val="5F6146EB"/>
    <w:rsid w:val="730071FB"/>
    <w:rsid w:val="7B9545AD"/>
    <w:rsid w:val="F3BCA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77</Words>
  <Characters>83</Characters>
  <Lines>1</Lines>
  <Paragraphs>1</Paragraphs>
  <TotalTime>1</TotalTime>
  <ScaleCrop>false</ScaleCrop>
  <LinksUpToDate>false</LinksUpToDate>
  <CharactersWithSpaces>88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2025-07-31T08:41:05Z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2052-12.8.2.1119</vt:lpwstr>
  </property>
  <property fmtid="{D5CDD505-2E9C-101B-9397-08002B2CF9AE}" pid="4" name="ICV">
    <vt:lpwstr>24EFA022A4844CA1AB83F9F1720E8EC6_13</vt:lpwstr>
  </property>
</Properties>
</file>