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0A289">
      <w:pPr>
        <w:pStyle w:val="2"/>
        <w:jc w:val="left"/>
        <w:rPr>
          <w:rFonts w:ascii="方正公文小标宋" w:eastAsia="方正公文小标宋"/>
          <w:b w:val="0"/>
          <w:sz w:val="84"/>
          <w:szCs w:val="84"/>
          <w:lang w:eastAsia="zh-CN"/>
        </w:rPr>
      </w:pPr>
    </w:p>
    <w:p w14:paraId="5813A624">
      <w:pPr>
        <w:pStyle w:val="2"/>
        <w:jc w:val="left"/>
        <w:rPr>
          <w:rFonts w:ascii="方正公文小标宋" w:eastAsia="方正公文小标宋"/>
          <w:b w:val="0"/>
          <w:sz w:val="84"/>
          <w:szCs w:val="84"/>
          <w:lang w:eastAsia="zh-CN"/>
        </w:rPr>
      </w:pPr>
    </w:p>
    <w:p w14:paraId="0B34A385">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湖南省益阳市南县茅草街镇履行</w:t>
      </w:r>
    </w:p>
    <w:p w14:paraId="357E0F5A">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职责事项清单</w:t>
      </w:r>
    </w:p>
    <w:p w14:paraId="3FEFA145">
      <w:pPr>
        <w:rPr>
          <w:rFonts w:ascii="方正公文小标宋" w:eastAsia="方正公文小标宋"/>
          <w:sz w:val="84"/>
          <w:szCs w:val="84"/>
          <w:lang w:eastAsia="zh-CN"/>
        </w:rPr>
      </w:pPr>
    </w:p>
    <w:p w14:paraId="63CC7CBC">
      <w:pPr>
        <w:rPr>
          <w:rFonts w:ascii="方正公文小标宋" w:eastAsia="方正公文小标宋"/>
          <w:sz w:val="84"/>
          <w:szCs w:val="84"/>
          <w:lang w:eastAsia="zh-CN"/>
        </w:rPr>
      </w:pPr>
    </w:p>
    <w:p w14:paraId="35A5716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357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A237078">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6C079243">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color w:val="auto"/>
              <w:spacing w:val="7"/>
              <w:sz w:val="44"/>
              <w:szCs w:val="44"/>
              <w:lang w:eastAsia="zh-CN"/>
            </w:rPr>
            <w:fldChar w:fldCharType="begin"/>
          </w:r>
          <w:r>
            <w:rPr>
              <w:rFonts w:hint="default" w:ascii="Times New Roman" w:hAnsi="Times New Roman" w:eastAsia="方正小标宋简体" w:cs="Times New Roman"/>
              <w:color w:val="auto"/>
              <w:spacing w:val="7"/>
              <w:sz w:val="44"/>
              <w:szCs w:val="44"/>
              <w:lang w:eastAsia="zh-CN"/>
            </w:rPr>
            <w:instrText xml:space="preserve">TOC \o "1-1" \h \u </w:instrText>
          </w:r>
          <w:r>
            <w:rPr>
              <w:rFonts w:hint="default" w:ascii="Times New Roman" w:hAnsi="Times New Roman" w:eastAsia="方正小标宋简体"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_Toc29733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_Toc29733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6765FF4A">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_Toc326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_Toc326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13</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02F4DB15">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_Toc2872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_Toc2872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46</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5948B6C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简体" w:cs="Times New Roman"/>
              <w:color w:val="auto"/>
              <w:spacing w:val="7"/>
              <w:szCs w:val="44"/>
              <w:lang w:eastAsia="zh-CN"/>
            </w:rPr>
            <w:fldChar w:fldCharType="end"/>
          </w:r>
        </w:p>
      </w:sdtContent>
    </w:sdt>
    <w:p w14:paraId="3C075A3B">
      <w:pPr>
        <w:rPr>
          <w:lang w:eastAsia="zh-CN"/>
        </w:rPr>
      </w:pPr>
    </w:p>
    <w:p w14:paraId="630977E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CD773E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29733"/>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A2B1D1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E06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99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B4DEE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6E7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FA25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D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65758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0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4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3D63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A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15B25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C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33B0D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8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3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7E0BB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6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19ACF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E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8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109FD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1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7F1FF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0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349EB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0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0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41EDB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E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6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17E4D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B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7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08353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3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1EB94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2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5B554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1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44C3E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2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26BAA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5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7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405E0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3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798C0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5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3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3D801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1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54E23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F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5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2B630C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546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4829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9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A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36FD8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0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7D2B2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B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A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2439D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B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C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637D6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7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6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4D9B7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05FF5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D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优化工业用地布局，积极盘活银河社区和长春集镇低效闲置工业用地，集中全力培优农产品加工、轻工纺织、生物科技等企业产业，焕发老旧工业园区新活力（特色）。</w:t>
            </w:r>
          </w:p>
        </w:tc>
      </w:tr>
      <w:tr w14:paraId="1600A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B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打造“南县虾笼王”区域品牌，促进茅草街镇虾笼王产业高质量发展，提升产业整体竞争力，实现产业增效、农民增收（特色）。</w:t>
            </w:r>
          </w:p>
        </w:tc>
      </w:tr>
      <w:tr w14:paraId="5CBE68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62C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479B1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7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69E72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A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4FDAD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3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2AAD00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F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13DF4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6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32A76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058ED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0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F802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D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6FE37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0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69B86F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2CB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A8E6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18A95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D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79353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1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E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1B2A4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4875E5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2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1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78A579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2F0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4756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D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C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4352B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B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1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55015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F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46DB1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8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75037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4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028A0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C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78903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0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06DAE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F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1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1736A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3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330E1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5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55E83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8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B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1C241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3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3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推进“稻虾共富工程”片区协作生态农业新模式。</w:t>
            </w:r>
          </w:p>
        </w:tc>
      </w:tr>
      <w:tr w14:paraId="73B4B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3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D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因地制宜发展庭院经济，在三岔河片区整合零碎地发展特色蔬菜种植，发展壮大蒜薹产业，增加农民收入（特色）。</w:t>
            </w:r>
          </w:p>
        </w:tc>
      </w:tr>
      <w:tr w14:paraId="2A7D77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76B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48526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F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42FCA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9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9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4C449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7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3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7D89E3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017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8C96D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8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ED6D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6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42CB8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5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16A3A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B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D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6809E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5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3A99CB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C98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747D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5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3AD13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B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B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565E81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163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4961B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7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1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6DC02D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1C6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41511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1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0A6EF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1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2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3D6D9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4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B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7C674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3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4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5F4F67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C27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213CE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C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8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660E5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E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7ACDA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5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03E6C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9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623CFF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EBC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十二、生态环保（5项）</w:t>
            </w:r>
          </w:p>
        </w:tc>
      </w:tr>
      <w:tr w14:paraId="0876E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9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5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5EC04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E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75C83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728C2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1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9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286EBE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B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E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落实“退养、截污、疏浚、增绿、活水”要求，做好大通湖流域水生态环境治理。</w:t>
            </w:r>
          </w:p>
        </w:tc>
      </w:tr>
      <w:tr w14:paraId="011222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BA5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十三、城乡建设（7项）</w:t>
            </w:r>
          </w:p>
        </w:tc>
      </w:tr>
      <w:tr w14:paraId="7A62D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C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1053D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6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0E7BF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B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6D17C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7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6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3D081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7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B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20AB5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A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1839B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D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加快服务能力建设，推进港口码头以及沿河生态治理项目建设，培育壮大“港口经济”，打造成为南县副中心（特色）。</w:t>
            </w:r>
          </w:p>
        </w:tc>
      </w:tr>
      <w:tr w14:paraId="13FE01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C38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573FA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1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1E287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9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7F141B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F42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14:paraId="52B18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A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3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458799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D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0E2B40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D1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5ED00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73CBE3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9BA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14:paraId="45706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8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55048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56E1F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F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36A62D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3D1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52E2A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A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B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1E76BA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09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57325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9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B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2F7D8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5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E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负责档案法律法规宣传和档案收集、整理、归档、移交等工作，指导和监督所属单位和村（社区）开展档案工作。</w:t>
            </w:r>
          </w:p>
        </w:tc>
      </w:tr>
      <w:tr w14:paraId="20A25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9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78743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6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41BCB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5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32C7E0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1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1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28FF0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C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B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7C4EB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9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5507A06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32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5DE4C7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EE5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A1F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167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34A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7A3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B25FA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BF2F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6E254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B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2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6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46E9F5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E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1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B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F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5E96C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0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F7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EDBE1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1BB3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A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2BDB6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C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3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F1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1AE90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68813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5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5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3DC0A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5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B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E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C3B1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5DB05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2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62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E39D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B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BE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63BAB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3A15D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7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D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61D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F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64E2A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7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F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7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27B2A5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642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1427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5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3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4E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4E8A9D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629D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A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2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C69F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4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F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4E36CB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B920D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6B3AA0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0781E6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县住房和城乡建设局县水利局
</w:t>
            </w:r>
          </w:p>
          <w:p w14:paraId="382062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F1D5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9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39DB8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E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B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6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05655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6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A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7975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3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7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A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9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056F3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A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C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148DA4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3FD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26E7C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E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F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61225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D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F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D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C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39AE4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A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3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138B9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D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6BE41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A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4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10731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1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F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0C991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7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B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2C13FA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38A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1FA5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5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5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C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08A52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E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C1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A99BD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6FEFF8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ABA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7DDC9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F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0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1CB6B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C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E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D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46DA8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9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1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5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指导村（社区）做好社区矫正工作；</w:t>
            </w:r>
          </w:p>
          <w:p w14:paraId="68A2453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5C47C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B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7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D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410625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E26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11AA8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C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48989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7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7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4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
</w:t>
            </w:r>
          </w:p>
          <w:p w14:paraId="5FEF85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588FE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167997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79170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5F4FE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
</w:t>
            </w:r>
          </w:p>
          <w:p w14:paraId="7810E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6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22661F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F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CE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35207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2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62C65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3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F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F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6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3C710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2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C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6BA1B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0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5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2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C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3D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1A93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w:t>
            </w:r>
            <w:r>
              <w:rPr>
                <w:rFonts w:hint="eastAsia" w:ascii="Times New Roman" w:hAnsi="方正公文仿宋" w:eastAsia="方正公文仿宋"/>
                <w:kern w:val="0"/>
                <w:szCs w:val="21"/>
                <w:lang w:eastAsia="zh-CN" w:bidi="ar"/>
              </w:rPr>
              <w:t>堤防</w:t>
            </w:r>
            <w:r>
              <w:rPr>
                <w:rFonts w:hint="eastAsia" w:ascii="Times New Roman" w:hAnsi="方正公文仿宋" w:eastAsia="方正公文仿宋"/>
                <w:kern w:val="0"/>
                <w:szCs w:val="21"/>
                <w:lang w:bidi="ar"/>
              </w:rPr>
              <w:t>管理工作机制。</w:t>
            </w:r>
          </w:p>
        </w:tc>
      </w:tr>
      <w:tr w14:paraId="135A7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1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C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E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6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2F315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9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9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9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A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301DA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D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8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D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77DB7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9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7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F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A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16BF6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3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8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6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79FE3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1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6D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7B274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4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C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3A1817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9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9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210F6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F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5A5C6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E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4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1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16C06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A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D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0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7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69AC3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B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C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A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3E5970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3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9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0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F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B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3BAA5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5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8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2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2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6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01837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B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0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B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E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38822E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D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9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C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3EEBAB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36F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633B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7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E3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7C7C67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DAF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E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4A168E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C2E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49C13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B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1E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2CD17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3AE55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D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7BBC9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1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D2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
</w:t>
            </w:r>
          </w:p>
          <w:p w14:paraId="6240B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7A15D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0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3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D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71C57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2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4278A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F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B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9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9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0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1723A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5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D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3E9B4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E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2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A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4F4D0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A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E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3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A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6D29FE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336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0887A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1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A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1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7AAF9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3F12E6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F85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653A5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0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4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2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00F9E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5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E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6C31E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F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C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4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4B7808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E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5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2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7051C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7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9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B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0ACD08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94B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02E44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F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5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51F561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D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53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7CBF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1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58DC9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E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1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CF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5EF8C6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47E5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552D4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7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E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D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0B5A4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B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5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422D7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9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9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7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3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3A4A81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3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EE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
</w:t>
            </w:r>
          </w:p>
          <w:p w14:paraId="185BD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1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1B4D96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4FC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3CE932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C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34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5E48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7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0C29F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B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8B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w:t>
            </w:r>
            <w:bookmarkStart w:id="12" w:name="_GoBack"/>
            <w:bookmarkEnd w:id="12"/>
            <w:r>
              <w:rPr>
                <w:rFonts w:hint="eastAsia" w:ascii="Times New Roman" w:hAnsi="方正公文仿宋" w:eastAsia="方正公文仿宋"/>
                <w:kern w:val="0"/>
                <w:szCs w:val="21"/>
                <w:lang w:bidi="ar"/>
              </w:rPr>
              <w:t>县公安局
</w:t>
            </w:r>
          </w:p>
          <w:p w14:paraId="0BB872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BB374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80D4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F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4EF42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18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19E9B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F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698AE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3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5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6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06E3B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9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5C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
</w:t>
            </w:r>
          </w:p>
          <w:p w14:paraId="327759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6585C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2CC7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1DC25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A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B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B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B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2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3A468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C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DF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
</w:t>
            </w:r>
          </w:p>
          <w:p w14:paraId="39EE68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5A46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C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9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22638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7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5CC412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683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32FB8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6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8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D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C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0D43F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2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1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E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7F0C66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FE6E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4860A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F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0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7FD728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1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8B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76A2E4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E78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5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25E66E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2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5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A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5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7323F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A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8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4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9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38696D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A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2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D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C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3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39910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9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9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5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4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7BE08B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8C8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4F95A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6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0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108088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DE4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6BDA8D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1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F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0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6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41AD8C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E1E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6B4C1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C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5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B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66EED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9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E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31CD8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B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4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2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9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426D0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8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1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6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540B22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82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45176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A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0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14BF6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2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5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4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398A4E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B3A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6F6A1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6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6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45B6EA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2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0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DC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25D520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08C2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1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5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73D5A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5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77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211D0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675B4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2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6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5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60E03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D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B1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3221F5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1C66A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1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58ADE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5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B9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553DBA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1299D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B7D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5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136B2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F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9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023E5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2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0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C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0E70D8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34F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6ADBE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3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C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0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6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1CB2A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F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D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0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E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0F356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C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1D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
</w:t>
            </w:r>
          </w:p>
          <w:p w14:paraId="2D12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5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0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75C121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FD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2AD42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C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0D3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牵头做好体检、政治考察工作；</w:t>
            </w:r>
          </w:p>
          <w:p w14:paraId="151C977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249C88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0D3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57AD5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A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B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F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0C33ECE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2872"/>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C1D664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75E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C81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27B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8786A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CBF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95F0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E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9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2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9398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0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32C4A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2FE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CC96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B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D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2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0C4BA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5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5B9D31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76B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B3D7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E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2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B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6AAE5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7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1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A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03D5D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5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66BEF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9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C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4575B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A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2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5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3F181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4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E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64EB9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2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63CF4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0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B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3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25886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B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D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53DA6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08BF9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60F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8513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6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5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8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D919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0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0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3A02A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9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604D9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E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F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03B7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6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0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ECE4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4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0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DEA1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A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7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4A67EB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2E4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11ED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9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2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6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95AD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C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143B5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9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A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7F887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1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30AFE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3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F0CC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C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E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0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6C40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3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78DF0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0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2FFB4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3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A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1B28A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8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53833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6DE18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4DC1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5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2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3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3D03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9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0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DA06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4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D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F542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7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B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B9A5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8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AAA8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B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2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E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4FF21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B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3A5FBA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AC5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6562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8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D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01D93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4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1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8C4E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7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1D229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0E1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6A957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5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B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0E99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A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6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23D40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B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2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0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7D5C6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1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4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F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1A71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B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F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5094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8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7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2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647D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F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6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B53C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B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F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8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327B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C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4DB5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3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5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B2A5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F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1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DED5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C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8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E44C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0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8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1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167B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7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A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0101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D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1EFC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B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C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C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002D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F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E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0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8B2A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B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F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2F053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604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68C4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F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9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2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2C040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B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3C575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C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0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144A5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2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5D5A2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902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4D6C5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9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0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32F9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1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5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7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1BC61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0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E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6A92C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5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4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39452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5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2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1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257C9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F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3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12128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A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F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E321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2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E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06A5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F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D257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3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7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7E3D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5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E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E3B9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F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3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DCCE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3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D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2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4FBB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A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C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A389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5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80DE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A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9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6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5E3B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A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0761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8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5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13F0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9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2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5F5A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3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5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356D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6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5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B31B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B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F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47FC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B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9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A52A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A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5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1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5C82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1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A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B33B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1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5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2E05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2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7378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9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D395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C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1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FDEB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2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9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8A72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1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60CC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0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D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FE46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D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3F9C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F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B540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8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5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0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B303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C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E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7BB4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9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A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913E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7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0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18983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8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9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044AE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9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54918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B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2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1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2DB0A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0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9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106A09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186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2F7D4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A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4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36A14C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C73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7B6B4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4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0CB48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0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1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8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5526B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F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4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7721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3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9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0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5E9ED6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A52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5946D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6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AE1F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D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B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5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B620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6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7C3A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B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D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8D4B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E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C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4B60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C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D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72C77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C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6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5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03C1D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7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5469F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8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A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A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121B5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A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9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0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5353B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3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C59E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0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EBFD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7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B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6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136A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E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B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3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C560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5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A99E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1961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3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9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68EC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1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C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093F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F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96A0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F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1F4D2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3C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30F23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1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C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C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72DAE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7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8F8C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4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2F85CE7B">
      <w:pPr>
        <w:pStyle w:val="3"/>
        <w:spacing w:before="0" w:after="0" w:line="240" w:lineRule="auto"/>
        <w:jc w:val="center"/>
        <w:rPr>
          <w:rFonts w:ascii="Times New Roman" w:hAnsi="Times New Roman" w:eastAsia="方正小标宋_GBK" w:cs="Times New Roman"/>
          <w:color w:val="auto"/>
          <w:spacing w:val="7"/>
          <w:lang w:eastAsia="zh-CN"/>
        </w:rPr>
      </w:pPr>
    </w:p>
    <w:p w14:paraId="3859A58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7BA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45172D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45172D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79D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335B6B"/>
    <w:rsid w:val="14964D0D"/>
    <w:rsid w:val="15EE4B2E"/>
    <w:rsid w:val="37355C16"/>
    <w:rsid w:val="4A5067AE"/>
    <w:rsid w:val="4B747779"/>
    <w:rsid w:val="7DEF47E4"/>
    <w:rsid w:val="7EA8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xdr="http://schemas.openxmlformats.org/drawingml/2006/spreadsheetDrawing" xmlns:m="http://schemas.openxmlformats.org/officeDocument/2006/math" xmlns:odx="http://opendope.org/xpaths" xmlns:o="urn:schemas-microsoft-com:office:office" xmlns:r="http://schemas.openxmlformats.org/officeDocument/2006/relationships" xmlns:wp14="http://schemas.microsoft.com/office/word/2010/wordprocessingDrawing" xmlns:a13cmd="http://schemas.microsoft.com/office/drawing/2013/main/command" xmlns:wp15="http://schemas.microsoft.com/office/word/2012/wordprocessingDrawing" xmlns:c173="http://schemas.microsoft.com/office/drawing/2017/03/chart" xmlns:v="urn:schemas-microsoft-com:vml" xmlns:w="http://schemas.openxmlformats.org/wordprocessingml/2006/main" xmlns:w10="urn:schemas-microsoft-com:office:word" xmlns:cdr14="http://schemas.microsoft.com/office/drawing/2010/chartDrawing" xmlns:w14="http://schemas.microsoft.com/office/word/2010/wordml" xmlns:xvml="urn:schemas-microsoft-com:office:excel" xmlns:w15="http://schemas.microsoft.com/office/word/2012/wordml" xmlns:comp="http://schemas.openxmlformats.org/drawingml/2006/compatibility" xmlns:dgm1611="http://schemas.microsoft.com/office/drawing/2016/11/diagram" xmlns:dgm1612="http://schemas.microsoft.com/office/drawing/2016/12/diagram" xmlns:anam3d="http://schemas.microsoft.com/office/drawing/2018/animation/model3d" xmlns:mc="http://schemas.openxmlformats.org/markup-compatibility/2006" xmlns:cppr="http://schemas.microsoft.com/office/2006/coverPageProps" xmlns:pic14="http://schemas.microsoft.com/office/drawing/2010/picture" xmlns:thm15="http://schemas.microsoft.com/office/thememl/2012/main" xmlns:a1611="http://schemas.microsoft.com/office/drawing/2016/11/main" xmlns:an18="http://schemas.microsoft.com/office/drawing/2018/animation" xmlns:w16cid="http://schemas.microsoft.com/office/word/2016/wordml/cid" xmlns:pic="http://schemas.openxmlformats.org/drawingml/2006/picture" xmlns:wpc="http://schemas.microsoft.com/office/word/2010/wordprocessingCanvas" xmlns:c14="http://schemas.microsoft.com/office/drawing/2007/8/2/chart" xmlns:c15="http://schemas.microsoft.com/office/drawing/2012/chart" xmlns:a18hc="http://schemas.microsoft.com/office/drawing/2018/hyperlinkcolor" xmlns:wpg="http://schemas.microsoft.com/office/word/2010/wordprocessingGroup" xmlns:c16="http://schemas.microsoft.com/office/drawing/2014/chart" xmlns:dgm14="http://schemas.microsoft.com/office/drawing/2010/diagram" xmlns:w16se="http://schemas.microsoft.com/office/word/2015/wordml/symex" xmlns:wps="http://schemas.microsoft.com/office/word/2010/wordprocessingShape" xmlns:we="http://schemas.microsoft.com/office/webextensions/webextension/2010/11" xmlns:iact="http://schemas.microsoft.com/office/powerpoint/2014/inkAction" xmlns:adec="http://schemas.microsoft.com/office/drawing/2017/decorative" xmlns:c16ac="http://schemas.microsoft.com/office/drawing/2014/chart/ac" xmlns:wp="http://schemas.openxmlformats.org/drawingml/2006/wordprocessingDrawing" xmlns:sl="http://schemas.openxmlformats.org/schemaLibrary/2006/main" xmlns:wetp="http://schemas.microsoft.com/office/webextensions/taskpanes/2010/11" xmlns:a14="http://schemas.microsoft.com/office/drawing/2010/main" xmlns:a15="http://schemas.microsoft.com/office/drawing/2012/main" xmlns:a16="http://schemas.microsoft.com/office/drawing/2014/main" xmlns:dsp="http://schemas.microsoft.com/office/drawing/2008/diagram" xmlns:pvml="urn:schemas-microsoft-com:office:powerpoint" xmlns:a16svg="http://schemas.microsoft.com/office/drawing/2016/SVG/main" xmlns:am3d="http://schemas.microsoft.com/office/drawing/2017/model3d" xmlns:oda="http://opendope.org/answers" xmlns:odc="http://opendope.org/conditions" xmlns:ns38="http://www.w3.org/1998/Math/MathML" xmlns:ns39="http://www.w3.org/2003/InkML" xmlns:msink="http://schemas.microsoft.com/ink/2010/main" xmlns:odi="http://opendope.org/components" xmlns:a="http://schemas.openxmlformats.org/drawingml/2006/main" xmlns:wne="http://schemas.microsoft.com/office/word/2006/wordml" xmlns:c="http://schemas.openxmlformats.org/drawingml/2006/chart" xmlns:cs="http://schemas.microsoft.com/office/drawing/2012/chartStyle" xmlns:lc="http://schemas.openxmlformats.org/drawingml/2006/lockedCanvas" xmlns:cdr="http://schemas.openxmlformats.org/drawingml/2006/chartDrawing" xmlns:dgm="http://schemas.openxmlformats.org/drawingml/2006/diagram" xmlns:odgm="http://opendope.org/SmartArt/DataHierarchy" xmlns:cx="http://schemas.microsoft.com/office/drawing/2014/chartex" xmlns:odq="http://opendope.org/questions"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78</Words>
  <Characters>84</Characters>
  <Lines>1</Lines>
  <Paragraphs>1</Paragraphs>
  <TotalTime>1</TotalTime>
  <ScaleCrop>false</ScaleCrop>
  <LinksUpToDate>false</LinksUpToDate>
  <CharactersWithSpaces>89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2025-07-31T08:46:40Z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2052-12.8.2.1119</vt:lpwstr>
  </property>
  <property fmtid="{D5CDD505-2E9C-101B-9397-08002B2CF9AE}" pid="4" name="ICV">
    <vt:lpwstr>25D1D285DABA473887FDAFC9F7B9D497_13</vt:lpwstr>
  </property>
</Properties>
</file>