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AF0D">
      <w:pPr>
        <w:pStyle w:val="2"/>
        <w:jc w:val="left"/>
        <w:rPr>
          <w:rFonts w:ascii="方正公文小标宋" w:eastAsia="方正公文小标宋"/>
          <w:b w:val="0"/>
          <w:sz w:val="84"/>
          <w:szCs w:val="84"/>
          <w:lang w:eastAsia="zh-CN"/>
        </w:rPr>
      </w:pPr>
    </w:p>
    <w:p w14:paraId="40BFE71C">
      <w:pPr>
        <w:pStyle w:val="2"/>
        <w:jc w:val="left"/>
        <w:rPr>
          <w:rFonts w:ascii="方正公文小标宋" w:eastAsia="方正公文小标宋"/>
          <w:b w:val="0"/>
          <w:sz w:val="84"/>
          <w:szCs w:val="84"/>
          <w:lang w:eastAsia="zh-CN"/>
        </w:rPr>
      </w:pPr>
    </w:p>
    <w:p w14:paraId="4242E6EA">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湖南省益阳市南县厂窖镇履行职</w:t>
      </w:r>
    </w:p>
    <w:p w14:paraId="0E3DC749">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责事项清单</w:t>
      </w:r>
    </w:p>
    <w:p w14:paraId="4D5B17F8">
      <w:pPr>
        <w:rPr>
          <w:rFonts w:ascii="方正公文小标宋" w:eastAsia="方正公文小标宋"/>
          <w:sz w:val="84"/>
          <w:szCs w:val="84"/>
          <w:lang w:eastAsia="zh-CN"/>
        </w:rPr>
      </w:pPr>
    </w:p>
    <w:p w14:paraId="11884D0A">
      <w:pPr>
        <w:rPr>
          <w:rFonts w:ascii="方正公文小标宋" w:eastAsia="方正公文小标宋"/>
          <w:sz w:val="84"/>
          <w:szCs w:val="84"/>
          <w:lang w:eastAsia="zh-CN"/>
        </w:rPr>
      </w:pPr>
    </w:p>
    <w:p w14:paraId="355D4CC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kern w:val="0"/>
          <w:sz w:val="44"/>
          <w:szCs w:val="44"/>
          <w:lang w:val="en-US" w:eastAsia="en-US" w:bidi="ar-SA"/>
        </w:rPr>
        <w:id w:val="147474693"/>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7A6A428B">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585B5844">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公文仿宋" w:cs="Times New Roman"/>
              <w:b w:val="0"/>
              <w:snapToGrid w:val="0"/>
              <w:color w:val="000000"/>
              <w:kern w:val="0"/>
              <w:sz w:val="32"/>
              <w:szCs w:val="32"/>
              <w:lang w:val="en-US" w:eastAsia="en-US" w:bidi="ar-SA"/>
            </w:rPr>
            <w:t>1.</w:t>
          </w:r>
          <w:r>
            <w:rPr>
              <w:rFonts w:hint="default" w:ascii="Times New Roman" w:hAnsi="Times New Roman" w:eastAsia="方正小标宋_GBK" w:cs="Times New Roman"/>
              <w:color w:val="auto"/>
              <w:spacing w:val="7"/>
              <w:sz w:val="44"/>
              <w:szCs w:val="44"/>
              <w:lang w:eastAsia="zh-CN"/>
            </w:rPr>
            <w:fldChar w:fldCharType="begin"/>
          </w:r>
          <w:r>
            <w:rPr>
              <w:rFonts w:hint="default" w:ascii="Times New Roman" w:hAnsi="Times New Roman" w:eastAsia="方正小标宋_GBK" w:cs="Times New Roman"/>
              <w:color w:val="auto"/>
              <w:spacing w:val="7"/>
              <w:sz w:val="44"/>
              <w:szCs w:val="44"/>
              <w:lang w:eastAsia="zh-CN"/>
            </w:rPr>
            <w:instrText xml:space="preserve">TOC \o "1-1" \h \u </w:instrText>
          </w:r>
          <w:r>
            <w:rPr>
              <w:rFonts w:hint="default" w:ascii="Times New Roman" w:hAnsi="Times New Roman" w:eastAsia="方正小标宋_GBK"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_Toc28300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_Toc28300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6DAE50C">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_Toc19971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_Toc19971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12</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3F9ECCAB">
          <w:pPr>
            <w:pStyle w:val="7"/>
            <w:numPr>
              <w:ilvl w:val="0"/>
              <w:numId w:val="0"/>
            </w:numPr>
            <w:tabs>
              <w:tab w:val="right" w:leader="dot" w:pos="14001"/>
            </w:tabs>
            <w:ind w:left="420" w:leftChars="0" w:hanging="420" w:firstLineChars="0"/>
            <w:rPr>
              <w:rFonts w:hint="default" w:ascii="Times New Roman" w:hAnsi="Times New Roman"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_Toc2590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_Toc2590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45</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1F3E843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_GBK" w:cs="Times New Roman"/>
              <w:color w:val="auto"/>
              <w:spacing w:val="7"/>
              <w:szCs w:val="44"/>
              <w:lang w:eastAsia="zh-CN"/>
            </w:rPr>
            <w:fldChar w:fldCharType="end"/>
          </w:r>
          <w:bookmarkStart w:id="12" w:name="_GoBack"/>
          <w:bookmarkEnd w:id="12"/>
        </w:p>
      </w:sdtContent>
    </w:sdt>
    <w:p w14:paraId="5065DBE4">
      <w:pPr>
        <w:rPr>
          <w:lang w:eastAsia="zh-CN"/>
        </w:rPr>
      </w:pPr>
    </w:p>
    <w:p w14:paraId="0B696F5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63114C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8300"/>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43E0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09A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14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5F4A3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F10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7C86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FCF4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7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6BD9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1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376E7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5ECA1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08CF1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01F8C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8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6E895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B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07756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3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A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5979E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4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67323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9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4D653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C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10264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0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4D88C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4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3D51E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0358A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0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8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6F292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4535F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2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3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041EF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8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7CD3D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9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2A7C4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3D9B14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C1E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6DFE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53C3C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D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72E47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10FD6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3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56E23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55021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80050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9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D4A6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4394C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0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3947D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2D7ED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8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238B4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E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2F9BB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699456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8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BAED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006E5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5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38D65C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EB6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5E3B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3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0AE27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42DA1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7EA57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15FFA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B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446118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D9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795DB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9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0D966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7ECCE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0BF57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B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0805B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5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0521B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2DAC2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561F8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429AC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4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42178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181E3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694E0D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65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76CD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B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3B93E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7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7F464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63FE05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C05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2251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5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6FD6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1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1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2E8BE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0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75391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F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1427D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24AF2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AB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4AD4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6BDC7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8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4DF6E4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D3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1CE1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0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7901B6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C5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4EE51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F1AF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23BCA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F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588BF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38D236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B7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46E5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06523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6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23CC4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7DA42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F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58DADF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59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8CFE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3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70672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24DE6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0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25797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276F4F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2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5CE47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F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A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3EB77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D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665E6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D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79295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496AE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E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5741E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7F4A59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4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D15A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A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7A7F1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4AEDB4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5BD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728F8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322FB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6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559BB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负责做好厂窖惨案遇难同胞纪念馆周边星级乡村旅游经营者的旅游安全教育和监督检查，配合厂窖惨案遇难同胞纪念馆组织开展好各项活动。（特色）</w:t>
            </w:r>
          </w:p>
        </w:tc>
      </w:tr>
      <w:tr w14:paraId="34E35F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90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74DEFB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D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43C838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394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2DB1C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按管理权限做好所属堤垸内公用防洪安全设施、转移道路和桥梁的维护管理；蓄洪区运用后，按规定做好居民损失情况核查和补偿金额确定工作。</w:t>
            </w:r>
          </w:p>
        </w:tc>
      </w:tr>
      <w:tr w14:paraId="452C0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52630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1412D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02EC85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06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41859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7E522A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C0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1EAF0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C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0ED3F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687DC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3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123EC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C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627CF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1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62B42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34FB5A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1D6BC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6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695A046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9971"/>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08FFFE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72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765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4E4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54E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A7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F201F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23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8D3B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7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654D3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7E7D7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C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9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5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C94E6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E3F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2FBF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08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FABD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601E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2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02DA0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0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E022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F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165F2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1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E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383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F6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3A0FB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4AFA5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5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33F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41E54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2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D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5BDF2E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99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9150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3C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499E44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436F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7ADB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5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4E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4DBC8B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BA7E4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CB73D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E4AB3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19D3C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1FE1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EA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7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547E9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C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6210A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A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0057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1B1B6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7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10DAD9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D9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E9CA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F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09FA0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4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6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5172E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2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A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3262B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7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7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398FA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7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45A71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B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B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1676A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5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453F15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A98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A544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492FC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0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0D340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18A859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4DE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7B840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F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16CC5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1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D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2CD5F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8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1.指导村（社区）做好社区矫正工作；2.对社区矫正对象重点人员进行摸排及日常管理。</w:t>
            </w:r>
          </w:p>
        </w:tc>
      </w:tr>
      <w:tr w14:paraId="1F7A2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0D7B92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47B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3CF22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4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2CE35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3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6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0775B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71D04C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9D048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5CFF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CBB4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165A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4A2C2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8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5D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2DB9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7DA58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F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4EF650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7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3F637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06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078A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32C1E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4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3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3B303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7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322DB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C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20A1A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6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4741F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6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15DC8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1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59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23C8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57EDC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B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4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B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477F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06998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9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B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1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A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316D9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4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64655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F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5E177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5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1D7DD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3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4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415C3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5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6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23E31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4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4BA8D2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11E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0C27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7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63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35746B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3A9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9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4DB5D5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E4B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AD3C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C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E1D3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322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4177A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A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97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7DAB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C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331FD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D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0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900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C9A7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5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7F174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E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26B83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4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0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78319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9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44624A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5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5448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9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83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7D7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4B4E53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A40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2FD2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0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4BECD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0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31303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D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37B98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A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32400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8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7E8000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17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24C53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6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C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765ED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C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07E9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4696A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E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483BD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477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0A71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3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204DF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5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0665F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1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55425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0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5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19BE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17FDD8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54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67493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8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E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395A2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A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
县公安局
</w:t>
            </w:r>
          </w:p>
          <w:p w14:paraId="1D285C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B835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6F9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017DB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2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43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5108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45F85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D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798FA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6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E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3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365F3D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F5D5B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D83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78C60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482DD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F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91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07A08C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364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0640E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7F2009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89F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73B99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6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1D4A3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F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1FF56E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37B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F87E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0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659D8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A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52A381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692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1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7D807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F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2241D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5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0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C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58FEB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4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08402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2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0B19DA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065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153D4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1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F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6E57B4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CB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30263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B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B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2CF62D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3F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0460F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9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32B16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4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1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A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632CC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53C4E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7587F3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D46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41D88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C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4146A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A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294C90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DF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0DD26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1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65BE4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B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7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8A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0384C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FC5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45C90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A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5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BD4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0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1A8DB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B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B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3A7DE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8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9E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04786E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11E8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980E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A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1D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371D4F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E4491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B2A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19DE7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C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8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4EB4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5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5E0845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0B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108CE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0ECA4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5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16184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0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89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1309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42767D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2C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34AAD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6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A04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672ED58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5FFCD4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3EF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33091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0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5380DF9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9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1E7C3E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AA4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143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624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F65BF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324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3FB2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5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2F1A3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F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E8F95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BB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C792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C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2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7F7E7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2EA527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D24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8145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E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2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007CC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2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8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3BC8E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74789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474D2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7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4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61795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0F3EE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9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50F13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5DC7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5E032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5A744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EF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A2C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24BCD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D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03724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2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E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60208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D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D9CB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4980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7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CA00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F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1B95E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6A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6127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356D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D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21D7C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57D7C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4049C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C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91B1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D462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8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6B7C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7F1F0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6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8DD8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5ED1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0BD6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8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0CE6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515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C077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0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1BF8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A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FA92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6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5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AE48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0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15569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7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30F45D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B8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0BAA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D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622D6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459F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9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3ED28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27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50681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0F03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0C2EF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6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6BCF7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F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A9C1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E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D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F1AE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5D3D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C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70B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00C9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CF0A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4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D5BB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E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029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4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57D6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B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F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4FD8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42D7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5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9D8B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F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8A4C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1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9231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D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DD66C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847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4DDC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A87D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5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2482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880C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C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A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9F5BA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C88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75348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1650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09B7F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655FE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F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7E7D7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5F737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F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1DEE6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2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D907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A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324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F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BA6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A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C057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05A8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8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F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A071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E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744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6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3C43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8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22D2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0518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9689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AB82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A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C3E6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1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B01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4BA8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E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FF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78D6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5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23BC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C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6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0546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8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6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494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21F1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3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D6FC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A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84FE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A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FD6C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CE7A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5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DD28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C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9EEB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3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9DCB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F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C35A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BAB0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7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1E06E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F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3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208A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0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278B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488D4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6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6F7D4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4D8D3E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05B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4AB9F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B6E1C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E9D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26D14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08D61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4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07EFA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6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D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29D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C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BB0EF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3C2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68558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1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AFED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5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6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549A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D788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7050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3D0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D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4152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B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E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0842B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9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58BB2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5CE6F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4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248E1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9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773F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EFAE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D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FED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A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13D6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E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16FE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C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B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167C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0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DC22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D2C5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7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BCDE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E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C8D70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0DE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6FF01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5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4D292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D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2B66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66B65841">
      <w:pPr>
        <w:pStyle w:val="3"/>
        <w:spacing w:before="0" w:after="0" w:line="240" w:lineRule="auto"/>
        <w:jc w:val="center"/>
        <w:rPr>
          <w:rFonts w:ascii="Times New Roman" w:hAnsi="Times New Roman" w:eastAsia="方正小标宋_GBK" w:cs="Times New Roman"/>
          <w:color w:val="auto"/>
          <w:spacing w:val="7"/>
          <w:lang w:eastAsia="zh-CN"/>
        </w:rPr>
      </w:pPr>
    </w:p>
    <w:p w14:paraId="3A4002C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AAD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27E184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27E184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E0E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67799B"/>
    <w:rsid w:val="2A626B76"/>
    <w:rsid w:val="3F5414CE"/>
    <w:rsid w:val="47605C83"/>
    <w:rsid w:val="4DBC519F"/>
    <w:rsid w:val="5E2B12C0"/>
    <w:rsid w:val="7D47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77</Words>
  <Characters>83</Characters>
  <Lines>1</Lines>
  <Paragraphs>1</Paragraphs>
  <TotalTime>0</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和和静</cp:lastModifiedBy>
  <dcterms:modified xsi:type="dcterms:W3CDTF">2025-07-30T09:54:36Z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BE66EEF1770B465BAE470F5029AAFC6B_13</vt:lpwstr>
  </property>
</Properties>
</file>