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964" w:firstLineChars="200"/>
        <w:jc w:val="left"/>
        <w:textAlignment w:val="auto"/>
        <w:rPr>
          <w:rFonts w:hint="eastAsia" w:ascii="黑体" w:hAnsi="黑体" w:eastAsia="黑体"/>
          <w:b/>
          <w:sz w:val="48"/>
          <w:szCs w:val="48"/>
        </w:rPr>
      </w:pPr>
    </w:p>
    <w:p>
      <w:pPr>
        <w:keepNext w:val="0"/>
        <w:keepLines w:val="0"/>
        <w:pageBreakBefore w:val="0"/>
        <w:widowControl w:val="0"/>
        <w:kinsoku/>
        <w:wordWrap/>
        <w:overflowPunct/>
        <w:topLinePunct w:val="0"/>
        <w:autoSpaceDE/>
        <w:autoSpaceDN/>
        <w:bidi w:val="0"/>
        <w:adjustRightInd/>
        <w:snapToGrid/>
        <w:ind w:firstLine="964" w:firstLineChars="200"/>
        <w:jc w:val="center"/>
        <w:textAlignment w:val="auto"/>
        <w:rPr>
          <w:sz w:val="48"/>
          <w:szCs w:val="48"/>
        </w:rPr>
      </w:pPr>
      <w:r>
        <w:rPr>
          <w:rFonts w:hint="eastAsia" w:ascii="方正小标宋简体" w:hAnsi="方正小标宋简体" w:eastAsia="方正小标宋简体" w:cs="方正小标宋简体"/>
          <w:b/>
          <w:bCs/>
          <w:i w:val="0"/>
          <w:iCs w:val="0"/>
          <w:caps w:val="0"/>
          <w:color w:val="333333"/>
          <w:spacing w:val="0"/>
          <w:kern w:val="0"/>
          <w:sz w:val="48"/>
          <w:szCs w:val="48"/>
          <w:shd w:val="clear" w:color="auto" w:fill="FFFFFF"/>
          <w:lang w:val="en-US" w:eastAsia="zh-CN" w:bidi="ar"/>
        </w:rPr>
        <w:t>2024年度南县政府决算相关说明</w:t>
      </w:r>
    </w:p>
    <w:p>
      <w:pPr>
        <w:ind w:firstLine="883" w:firstLineChars="200"/>
        <w:rPr>
          <w:b/>
          <w:sz w:val="44"/>
          <w:szCs w:val="44"/>
        </w:rPr>
      </w:pPr>
    </w:p>
    <w:p>
      <w:pPr>
        <w:ind w:firstLine="883" w:firstLineChars="200"/>
        <w:rPr>
          <w:b/>
          <w:sz w:val="44"/>
          <w:szCs w:val="44"/>
        </w:rPr>
      </w:pPr>
    </w:p>
    <w:p>
      <w:pPr>
        <w:ind w:firstLine="964" w:firstLineChars="200"/>
        <w:jc w:val="center"/>
        <w:rPr>
          <w:rFonts w:ascii="黑体" w:hAnsi="黑体" w:eastAsia="黑体" w:cs="黑体"/>
          <w:b/>
          <w:sz w:val="44"/>
          <w:szCs w:val="44"/>
        </w:rPr>
      </w:pPr>
      <w:r>
        <w:rPr>
          <w:rFonts w:hint="eastAsia" w:ascii="方正小标宋简体" w:hAnsi="方正小标宋简体" w:eastAsia="方正小标宋简体" w:cs="方正小标宋简体"/>
          <w:b/>
          <w:bCs/>
          <w:i w:val="0"/>
          <w:iCs w:val="0"/>
          <w:caps w:val="0"/>
          <w:color w:val="333333"/>
          <w:spacing w:val="0"/>
          <w:kern w:val="0"/>
          <w:sz w:val="48"/>
          <w:szCs w:val="48"/>
          <w:shd w:val="clear" w:color="auto" w:fill="FFFFFF"/>
          <w:lang w:val="en-US" w:eastAsia="zh-CN" w:bidi="ar"/>
        </w:rPr>
        <w:t>目录</w:t>
      </w:r>
    </w:p>
    <w:p>
      <w:pPr>
        <w:ind w:firstLine="883" w:firstLineChars="200"/>
        <w:rPr>
          <w:b/>
          <w:sz w:val="44"/>
          <w:szCs w:val="44"/>
        </w:rPr>
      </w:pPr>
    </w:p>
    <w:p>
      <w:pPr>
        <w:bidi w:val="0"/>
        <w:rPr>
          <w:rFonts w:hint="eastAsia" w:ascii="黑体" w:hAnsi="黑体" w:eastAsia="黑体" w:cs="黑体"/>
          <w:b/>
          <w:bCs/>
        </w:rPr>
      </w:pPr>
    </w:p>
    <w:p>
      <w:pPr>
        <w:bidi w:val="0"/>
        <w:rPr>
          <w:rFonts w:hint="eastAsia" w:ascii="宋体" w:hAnsi="宋体" w:eastAsia="宋体" w:cs="宋体"/>
          <w:b/>
          <w:bCs/>
          <w:lang w:val="en-US" w:eastAsia="zh-CN"/>
        </w:rPr>
      </w:pPr>
      <w:r>
        <w:rPr>
          <w:rFonts w:hint="eastAsia" w:ascii="宋体" w:hAnsi="宋体" w:eastAsia="宋体" w:cs="宋体"/>
          <w:b/>
          <w:bCs/>
          <w:lang w:val="en-US" w:eastAsia="zh-CN"/>
        </w:rPr>
        <w:t>一、关于2024年南县转移支付情况说明</w:t>
      </w:r>
    </w:p>
    <w:p>
      <w:pPr>
        <w:bidi w:val="0"/>
        <w:rPr>
          <w:rFonts w:hint="eastAsia" w:ascii="宋体" w:hAnsi="宋体" w:eastAsia="宋体" w:cs="宋体"/>
          <w:b/>
          <w:bCs/>
          <w:lang w:eastAsia="zh-CN"/>
        </w:rPr>
      </w:pPr>
    </w:p>
    <w:p>
      <w:pPr>
        <w:bidi w:val="0"/>
        <w:rPr>
          <w:rFonts w:hint="eastAsia" w:ascii="宋体" w:hAnsi="宋体" w:eastAsia="宋体" w:cs="宋体"/>
          <w:b/>
          <w:bCs/>
        </w:rPr>
      </w:pPr>
      <w:r>
        <w:rPr>
          <w:rFonts w:hint="eastAsia" w:ascii="宋体" w:hAnsi="宋体" w:eastAsia="宋体" w:cs="宋体"/>
          <w:b/>
          <w:bCs/>
          <w:lang w:eastAsia="zh-CN"/>
        </w:rPr>
        <w:t>二、</w:t>
      </w:r>
      <w:r>
        <w:rPr>
          <w:rFonts w:hint="eastAsia" w:ascii="宋体" w:hAnsi="宋体" w:eastAsia="宋体" w:cs="宋体"/>
          <w:b/>
          <w:bCs/>
        </w:rPr>
        <w:t>关于</w:t>
      </w:r>
      <w:r>
        <w:rPr>
          <w:rFonts w:hint="eastAsia" w:ascii="宋体" w:hAnsi="宋体" w:eastAsia="宋体" w:cs="宋体"/>
          <w:b/>
          <w:bCs/>
          <w:lang w:eastAsia="zh-CN"/>
        </w:rPr>
        <w:t>2024年</w:t>
      </w:r>
      <w:r>
        <w:rPr>
          <w:rFonts w:hint="eastAsia" w:ascii="宋体" w:hAnsi="宋体" w:eastAsia="宋体" w:cs="宋体"/>
          <w:b/>
          <w:bCs/>
        </w:rPr>
        <w:t>南县“三公”经费支出情况说明</w:t>
      </w:r>
    </w:p>
    <w:p>
      <w:pPr>
        <w:bidi w:val="0"/>
        <w:rPr>
          <w:rFonts w:hint="eastAsia" w:ascii="宋体" w:hAnsi="宋体" w:eastAsia="宋体" w:cs="宋体"/>
          <w:b/>
          <w:bCs/>
        </w:rPr>
      </w:pPr>
    </w:p>
    <w:p>
      <w:pPr>
        <w:bidi w:val="0"/>
        <w:rPr>
          <w:rFonts w:hint="eastAsia" w:ascii="宋体" w:hAnsi="宋体" w:eastAsia="宋体" w:cs="宋体"/>
          <w:b/>
          <w:bCs/>
        </w:rPr>
      </w:pPr>
      <w:r>
        <w:rPr>
          <w:rFonts w:hint="eastAsia" w:ascii="宋体" w:hAnsi="宋体" w:eastAsia="宋体" w:cs="宋体"/>
          <w:b/>
          <w:bCs/>
          <w:lang w:eastAsia="zh-CN"/>
        </w:rPr>
        <w:t>三、</w:t>
      </w:r>
      <w:r>
        <w:rPr>
          <w:rFonts w:hint="eastAsia" w:ascii="宋体" w:hAnsi="宋体" w:eastAsia="宋体" w:cs="宋体"/>
          <w:b/>
          <w:bCs/>
        </w:rPr>
        <w:t>关于</w:t>
      </w:r>
      <w:r>
        <w:rPr>
          <w:rFonts w:hint="eastAsia" w:ascii="宋体" w:hAnsi="宋体" w:eastAsia="宋体" w:cs="宋体"/>
          <w:b/>
          <w:bCs/>
          <w:lang w:eastAsia="zh-CN"/>
        </w:rPr>
        <w:t>2024年</w:t>
      </w:r>
      <w:r>
        <w:rPr>
          <w:rFonts w:hint="eastAsia" w:ascii="宋体" w:hAnsi="宋体" w:eastAsia="宋体" w:cs="宋体"/>
          <w:b/>
          <w:bCs/>
        </w:rPr>
        <w:t>南县政府债务情况说明</w:t>
      </w:r>
    </w:p>
    <w:p>
      <w:pPr>
        <w:bidi w:val="0"/>
        <w:rPr>
          <w:rFonts w:hint="eastAsia" w:ascii="宋体" w:hAnsi="宋体" w:eastAsia="宋体" w:cs="宋体"/>
          <w:b/>
          <w:bCs/>
        </w:rPr>
      </w:pPr>
    </w:p>
    <w:p>
      <w:pPr>
        <w:bidi w:val="0"/>
        <w:rPr>
          <w:rFonts w:hint="eastAsia" w:ascii="黑体" w:hAnsi="黑体" w:eastAsia="黑体" w:cs="黑体"/>
          <w:b/>
          <w:bCs/>
        </w:rPr>
      </w:pPr>
      <w:r>
        <w:rPr>
          <w:rFonts w:hint="eastAsia" w:ascii="宋体" w:hAnsi="宋体" w:eastAsia="宋体" w:cs="宋体"/>
          <w:b/>
          <w:bCs/>
        </w:rPr>
        <w:t>四、关于</w:t>
      </w:r>
      <w:r>
        <w:rPr>
          <w:rFonts w:hint="eastAsia" w:ascii="宋体" w:hAnsi="宋体" w:eastAsia="宋体" w:cs="宋体"/>
          <w:b/>
          <w:bCs/>
          <w:lang w:eastAsia="zh-CN"/>
        </w:rPr>
        <w:t>2024年</w:t>
      </w:r>
      <w:r>
        <w:rPr>
          <w:rFonts w:hint="eastAsia" w:ascii="宋体" w:hAnsi="宋体" w:eastAsia="宋体" w:cs="宋体"/>
          <w:b/>
          <w:bCs/>
        </w:rPr>
        <w:t>南县预算绩效管理工作情况说明</w:t>
      </w:r>
    </w:p>
    <w:p>
      <w:pPr>
        <w:rPr>
          <w:rFonts w:ascii="宋体" w:hAnsi="宋体" w:eastAsia="宋体" w:cs="宋体"/>
          <w:bCs/>
          <w:sz w:val="32"/>
          <w:szCs w:val="32"/>
        </w:rPr>
      </w:pPr>
    </w:p>
    <w:p>
      <w:pPr>
        <w:rPr>
          <w:rFonts w:ascii="宋体" w:hAnsi="宋体" w:eastAsia="宋体" w:cs="宋体"/>
          <w:bCs/>
          <w:sz w:val="32"/>
          <w:szCs w:val="32"/>
        </w:rPr>
      </w:pPr>
    </w:p>
    <w:p>
      <w:pPr>
        <w:rPr>
          <w:rFonts w:ascii="宋体" w:hAnsi="宋体" w:eastAsia="宋体" w:cs="宋体"/>
          <w:bCs/>
          <w:sz w:val="32"/>
          <w:szCs w:val="32"/>
        </w:rPr>
      </w:pPr>
    </w:p>
    <w:p>
      <w:pPr>
        <w:rPr>
          <w:rFonts w:ascii="宋体" w:hAnsi="宋体" w:eastAsia="宋体" w:cs="宋体"/>
          <w:bCs/>
          <w:sz w:val="32"/>
          <w:szCs w:val="32"/>
        </w:rPr>
      </w:pPr>
    </w:p>
    <w:p>
      <w:pPr>
        <w:rPr>
          <w:rFonts w:ascii="宋体" w:hAnsi="宋体" w:eastAsia="宋体" w:cs="宋体"/>
          <w:bCs/>
          <w:sz w:val="32"/>
          <w:szCs w:val="32"/>
        </w:rPr>
      </w:pPr>
    </w:p>
    <w:p>
      <w:pPr>
        <w:rPr>
          <w:rFonts w:ascii="宋体" w:hAnsi="宋体" w:eastAsia="宋体" w:cs="宋体"/>
          <w:bCs/>
          <w:sz w:val="32"/>
          <w:szCs w:val="32"/>
        </w:rPr>
      </w:pPr>
    </w:p>
    <w:p>
      <w:pPr>
        <w:rPr>
          <w:rFonts w:ascii="宋体" w:hAnsi="宋体" w:eastAsia="宋体" w:cs="宋体"/>
          <w:bCs/>
          <w:sz w:val="32"/>
          <w:szCs w:val="32"/>
        </w:rPr>
      </w:pPr>
    </w:p>
    <w:p>
      <w:pPr>
        <w:pStyle w:val="6"/>
      </w:pPr>
    </w:p>
    <w:p>
      <w:r>
        <w:rPr>
          <w:sz w:val="21"/>
        </w:rPr>
        <w:pict>
          <v:shape id="_x0000_s2050" o:spid="_x0000_s2050" o:spt="202" type="#_x0000_t202" style="position:absolute;left:0pt;margin-left:-92.95pt;margin-top:14.05pt;height:124.4pt;width:596.95pt;z-index:251659264;mso-width-relative:page;mso-height-relative:page;" fillcolor="#9DC3E6" filled="t" stroked="t" coordsize="21600,21600">
            <v:path/>
            <v:fill type="gradientRadial" on="t" color2="fill lighten(147)" focus="100%" focussize="0f,0f" focusposition="0f,0f" method="linear sigma">
              <o:fill type="gradientCenter" v:ext="backwardCompatible"/>
            </v:fill>
            <v:stroke color="#FFC000"/>
            <v:imagedata o:title=""/>
            <o:lock v:ext="edit" aspectratio="f"/>
            <v:textbox>
              <w:txbxContent>
                <w:p>
                  <w:pPr>
                    <w:rPr>
                      <w:rFonts w:hint="eastAsia" w:ascii="黑体" w:hAnsi="黑体" w:eastAsia="黑体" w:cs="黑体"/>
                      <w:b/>
                      <w:sz w:val="36"/>
                      <w:szCs w:val="36"/>
                    </w:rPr>
                  </w:pPr>
                </w:p>
                <w:p>
                  <w:pPr>
                    <w:keepNext w:val="0"/>
                    <w:keepLines w:val="0"/>
                    <w:pageBreakBefore w:val="0"/>
                    <w:widowControl w:val="0"/>
                    <w:kinsoku/>
                    <w:wordWrap/>
                    <w:overflowPunct/>
                    <w:topLinePunct w:val="0"/>
                    <w:autoSpaceDE/>
                    <w:autoSpaceDN/>
                    <w:bidi w:val="0"/>
                    <w:adjustRightInd/>
                    <w:snapToGrid/>
                    <w:ind w:firstLine="1606" w:firstLineChars="400"/>
                    <w:jc w:val="left"/>
                    <w:textAlignment w:val="auto"/>
                    <w:rPr>
                      <w:rFonts w:hint="eastAsia" w:ascii="方正小标宋简体" w:hAnsi="方正小标宋简体" w:eastAsia="方正小标宋简体" w:cs="方正小标宋简体"/>
                      <w:b/>
                      <w:bCs/>
                      <w:i w:val="0"/>
                      <w:iCs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bCs/>
                      <w:i w:val="0"/>
                      <w:iCs w:val="0"/>
                      <w:caps w:val="0"/>
                      <w:color w:val="333333"/>
                      <w:spacing w:val="0"/>
                      <w:kern w:val="0"/>
                      <w:sz w:val="40"/>
                      <w:szCs w:val="40"/>
                      <w:shd w:val="clear" w:color="auto" w:fill="FFFFFF"/>
                      <w:lang w:val="en-US" w:eastAsia="zh-CN" w:bidi="ar"/>
                    </w:rPr>
                    <w:t>一、关于2024年南县转移支付情况说明</w:t>
                  </w:r>
                </w:p>
                <w:p>
                  <w:pPr>
                    <w:keepNext w:val="0"/>
                    <w:keepLines w:val="0"/>
                    <w:pageBreakBefore w:val="0"/>
                    <w:widowControl w:val="0"/>
                    <w:kinsoku/>
                    <w:wordWrap/>
                    <w:overflowPunct/>
                    <w:topLinePunct w:val="0"/>
                    <w:autoSpaceDE/>
                    <w:autoSpaceDN/>
                    <w:bidi w:val="0"/>
                    <w:adjustRightInd/>
                    <w:snapToGrid/>
                    <w:ind w:firstLine="1325" w:firstLineChars="300"/>
                    <w:jc w:val="left"/>
                    <w:textAlignment w:val="auto"/>
                    <w:rPr>
                      <w:rFonts w:hint="eastAsia" w:ascii="黑体" w:hAnsi="黑体" w:eastAsia="黑体" w:cs="黑体"/>
                      <w:b/>
                      <w:bCs w:val="0"/>
                      <w:sz w:val="44"/>
                      <w:szCs w:val="44"/>
                    </w:rPr>
                  </w:pPr>
                </w:p>
              </w:txbxContent>
            </v:textbox>
          </v:shape>
        </w:pict>
      </w:r>
    </w:p>
    <w:p/>
    <w:p/>
    <w:p/>
    <w:p>
      <w:pPr>
        <w:pStyle w:val="5"/>
        <w:ind w:left="0" w:leftChars="0" w:firstLine="0" w:firstLineChars="0"/>
        <w:rPr>
          <w:rFonts w:hint="eastAsia" w:eastAsia="仿宋"/>
          <w:lang w:val="en-US" w:eastAsia="zh-CN"/>
        </w:rPr>
      </w:pPr>
    </w:p>
    <w:p>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2024年，我县共收到上级下拨的转移支付424,094万元，其中：一般公共预算转移支付381,711万元，政府性基金预算转移支付42,383万元。</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kern w:val="2"/>
          <w:sz w:val="32"/>
          <w:szCs w:val="32"/>
          <w:lang w:val="en-US" w:eastAsia="zh-CN" w:bidi="ar-SA"/>
        </w:rPr>
        <w:t>与上年相比增加72512万元，增长20.62%，</w:t>
      </w:r>
      <w:r>
        <w:rPr>
          <w:rFonts w:hint="eastAsia" w:ascii="Times New Roman" w:hAnsi="Times New Roman" w:eastAsia="仿宋_GB2312" w:cs="仿宋_GB2312"/>
          <w:color w:val="000000" w:themeColor="text1"/>
          <w:kern w:val="2"/>
          <w:sz w:val="32"/>
          <w:szCs w:val="32"/>
          <w:highlight w:val="none"/>
          <w:lang w:val="en-US" w:eastAsia="zh-CN" w:bidi="ar-SA"/>
        </w:rPr>
        <w:t>主要是因为</w:t>
      </w:r>
      <w:r>
        <w:rPr>
          <w:rFonts w:hint="eastAsia" w:ascii="Times New Roman" w:hAnsi="Times New Roman" w:eastAsia="仿宋_GB2312" w:cs="仿宋_GB2312"/>
          <w:color w:val="auto"/>
          <w:kern w:val="2"/>
          <w:sz w:val="32"/>
          <w:szCs w:val="32"/>
          <w:highlight w:val="none"/>
          <w:lang w:val="en-US" w:eastAsia="zh-CN" w:bidi="ar-SA"/>
        </w:rPr>
        <w:t>增加了农林水共同财政事权转移支付收入、国家重大水利工程建设基金相关收入、超长期特别国债相关收入等收入。</w:t>
      </w:r>
    </w:p>
    <w:p>
      <w:pPr>
        <w:pStyle w:val="6"/>
        <w:rPr>
          <w:rFonts w:hint="default" w:ascii="Times New Roman" w:hAnsi="Times New Roman" w:eastAsia="仿宋_GB2312"/>
          <w:lang w:val="en-US" w:eastAsia="zh-CN"/>
        </w:rPr>
      </w:pPr>
    </w:p>
    <w:p>
      <w:pPr>
        <w:rPr>
          <w:rFonts w:hint="eastAsia" w:ascii="Times New Roman" w:hAnsi="Times New Roman" w:eastAsia="楷体_GB2312" w:cs="楷体"/>
          <w:b/>
          <w:bCs/>
          <w:sz w:val="32"/>
          <w:szCs w:val="32"/>
          <w:lang w:eastAsia="zh-CN"/>
        </w:rPr>
      </w:pPr>
      <w:r>
        <w:rPr>
          <w:rFonts w:hint="eastAsia" w:ascii="Times New Roman" w:hAnsi="Times New Roman" w:eastAsia="楷体_GB2312" w:cs="楷体"/>
          <w:b/>
          <w:bCs/>
          <w:sz w:val="32"/>
          <w:szCs w:val="32"/>
          <w:lang w:eastAsia="zh-CN"/>
        </w:rPr>
        <w:t>（一）</w:t>
      </w:r>
      <w:r>
        <w:rPr>
          <w:rFonts w:hint="eastAsia" w:ascii="Times New Roman" w:hAnsi="Times New Roman" w:eastAsia="楷体_GB2312" w:cs="楷体"/>
          <w:b/>
          <w:bCs/>
          <w:sz w:val="32"/>
          <w:szCs w:val="32"/>
        </w:rPr>
        <w:t>一般公共预算转移支付</w:t>
      </w:r>
    </w:p>
    <w:p>
      <w:pPr>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_GB2312"/>
          <w:sz w:val="32"/>
          <w:szCs w:val="32"/>
          <w:lang w:eastAsia="zh-CN"/>
        </w:rPr>
        <w:t>2024年</w:t>
      </w:r>
      <w:r>
        <w:rPr>
          <w:rFonts w:hint="eastAsia" w:ascii="Times New Roman" w:hAnsi="Times New Roman" w:eastAsia="仿宋_GB2312" w:cs="仿宋_GB2312"/>
          <w:sz w:val="32"/>
          <w:szCs w:val="32"/>
        </w:rPr>
        <w:t>，上级下达我县一般公共预算转移支付</w:t>
      </w:r>
      <w:r>
        <w:rPr>
          <w:rFonts w:hint="eastAsia" w:ascii="Times New Roman" w:hAnsi="Times New Roman" w:eastAsia="仿宋_GB2312" w:cs="仿宋_GB2312"/>
          <w:sz w:val="32"/>
          <w:szCs w:val="32"/>
          <w:lang w:val="en-US" w:eastAsia="zh-CN"/>
        </w:rPr>
        <w:t>381,711</w:t>
      </w:r>
      <w:r>
        <w:rPr>
          <w:rFonts w:hint="eastAsia" w:ascii="Times New Roman" w:hAnsi="Times New Roman" w:eastAsia="仿宋_GB2312" w:cs="仿宋_GB2312"/>
          <w:sz w:val="32"/>
          <w:szCs w:val="32"/>
        </w:rPr>
        <w:t>万元，比上年</w:t>
      </w:r>
      <w:r>
        <w:rPr>
          <w:rFonts w:hint="eastAsia" w:ascii="Times New Roman" w:hAnsi="Times New Roman" w:eastAsia="仿宋_GB2312" w:cs="仿宋_GB2312"/>
          <w:sz w:val="32"/>
          <w:szCs w:val="32"/>
          <w:lang w:eastAsia="zh-CN"/>
        </w:rPr>
        <w:t>增加</w:t>
      </w:r>
      <w:r>
        <w:rPr>
          <w:rFonts w:hint="eastAsia" w:ascii="Times New Roman" w:hAnsi="Times New Roman" w:eastAsia="仿宋_GB2312" w:cs="仿宋_GB2312"/>
          <w:sz w:val="32"/>
          <w:szCs w:val="32"/>
          <w:lang w:val="en-US" w:eastAsia="zh-CN"/>
        </w:rPr>
        <w:t>34,877</w:t>
      </w:r>
      <w:r>
        <w:rPr>
          <w:rFonts w:hint="eastAsia" w:ascii="Times New Roman" w:hAnsi="Times New Roman" w:eastAsia="仿宋_GB2312" w:cs="仿宋_GB2312"/>
          <w:sz w:val="32"/>
          <w:szCs w:val="32"/>
        </w:rPr>
        <w:t>万元，</w:t>
      </w:r>
      <w:r>
        <w:rPr>
          <w:rFonts w:hint="eastAsia" w:ascii="Times New Roman" w:hAnsi="Times New Roman" w:eastAsia="仿宋_GB2312" w:cs="仿宋_GB2312"/>
          <w:sz w:val="32"/>
          <w:szCs w:val="32"/>
          <w:lang w:eastAsia="zh-CN"/>
        </w:rPr>
        <w:t>增长</w:t>
      </w:r>
      <w:r>
        <w:rPr>
          <w:rFonts w:hint="eastAsia" w:ascii="Times New Roman" w:hAnsi="Times New Roman" w:eastAsia="仿宋_GB2312" w:cs="仿宋_GB2312"/>
          <w:sz w:val="32"/>
          <w:szCs w:val="32"/>
          <w:lang w:val="en-US" w:eastAsia="zh-CN"/>
        </w:rPr>
        <w:t>10.06</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其中：返还性收入</w:t>
      </w:r>
      <w:r>
        <w:rPr>
          <w:rFonts w:hint="eastAsia" w:ascii="Times New Roman" w:hAnsi="Times New Roman" w:eastAsia="仿宋_GB2312" w:cs="仿宋_GB2312"/>
          <w:sz w:val="32"/>
          <w:szCs w:val="32"/>
          <w:lang w:val="en-US" w:eastAsia="zh-CN"/>
        </w:rPr>
        <w:t>5,831万元，</w:t>
      </w:r>
      <w:r>
        <w:rPr>
          <w:rFonts w:hint="eastAsia" w:ascii="Times New Roman" w:hAnsi="Times New Roman" w:eastAsia="仿宋_GB2312" w:cs="仿宋_GB2312"/>
          <w:sz w:val="32"/>
          <w:szCs w:val="32"/>
          <w:lang w:eastAsia="zh-CN"/>
        </w:rPr>
        <w:t>占</w:t>
      </w:r>
      <w:r>
        <w:rPr>
          <w:rFonts w:hint="eastAsia" w:ascii="Times New Roman" w:hAnsi="Times New Roman" w:eastAsia="仿宋_GB2312" w:cs="仿宋_GB2312"/>
          <w:sz w:val="32"/>
          <w:szCs w:val="32"/>
          <w:lang w:val="en-US" w:eastAsia="zh-CN"/>
        </w:rPr>
        <w:t>1.53%；</w:t>
      </w:r>
      <w:r>
        <w:rPr>
          <w:rFonts w:hint="eastAsia" w:ascii="Times New Roman" w:hAnsi="Times New Roman" w:eastAsia="仿宋_GB2312" w:cs="仿宋_GB2312"/>
          <w:sz w:val="32"/>
          <w:szCs w:val="32"/>
        </w:rPr>
        <w:t>一般性转移支付</w:t>
      </w:r>
      <w:r>
        <w:rPr>
          <w:rFonts w:hint="eastAsia" w:ascii="Times New Roman" w:hAnsi="Times New Roman" w:eastAsia="仿宋_GB2312" w:cs="仿宋_GB2312"/>
          <w:sz w:val="32"/>
          <w:szCs w:val="32"/>
          <w:lang w:eastAsia="zh-CN"/>
        </w:rPr>
        <w:t>收入</w:t>
      </w:r>
      <w:r>
        <w:rPr>
          <w:rFonts w:hint="eastAsia" w:ascii="Times New Roman" w:hAnsi="Times New Roman" w:eastAsia="仿宋_GB2312" w:cs="仿宋_GB2312"/>
          <w:sz w:val="32"/>
          <w:szCs w:val="32"/>
          <w:lang w:val="en-US" w:eastAsia="zh-CN"/>
        </w:rPr>
        <w:t>311,241</w:t>
      </w:r>
      <w:r>
        <w:rPr>
          <w:rFonts w:hint="eastAsia" w:ascii="Times New Roman" w:hAnsi="Times New Roman" w:eastAsia="仿宋_GB2312" w:cs="仿宋_GB2312"/>
          <w:sz w:val="32"/>
          <w:szCs w:val="32"/>
        </w:rPr>
        <w:t>万元</w:t>
      </w:r>
      <w:r>
        <w:rPr>
          <w:rFonts w:hint="eastAsia" w:ascii="Times New Roman" w:hAnsi="Times New Roman" w:eastAsia="仿宋_GB2312" w:cs="仿宋_GB2312"/>
          <w:sz w:val="32"/>
          <w:szCs w:val="32"/>
          <w:lang w:eastAsia="zh-CN"/>
        </w:rPr>
        <w:t>，占</w:t>
      </w:r>
      <w:r>
        <w:rPr>
          <w:rFonts w:hint="eastAsia" w:ascii="Times New Roman" w:hAnsi="Times New Roman" w:eastAsia="仿宋_GB2312" w:cs="仿宋_GB2312"/>
          <w:sz w:val="32"/>
          <w:szCs w:val="32"/>
          <w:lang w:val="en-US" w:eastAsia="zh-CN"/>
        </w:rPr>
        <w:t>81.54%；</w:t>
      </w:r>
      <w:r>
        <w:rPr>
          <w:rFonts w:hint="eastAsia" w:ascii="Times New Roman" w:hAnsi="Times New Roman" w:eastAsia="仿宋_GB2312" w:cs="仿宋_GB2312"/>
          <w:sz w:val="32"/>
          <w:szCs w:val="32"/>
        </w:rPr>
        <w:t>专项转移支付</w:t>
      </w:r>
      <w:r>
        <w:rPr>
          <w:rFonts w:hint="eastAsia" w:ascii="Times New Roman" w:hAnsi="Times New Roman" w:eastAsia="仿宋_GB2312" w:cs="仿宋_GB2312"/>
          <w:sz w:val="32"/>
          <w:szCs w:val="32"/>
          <w:lang w:eastAsia="zh-CN"/>
        </w:rPr>
        <w:t>收入</w:t>
      </w:r>
      <w:r>
        <w:rPr>
          <w:rFonts w:hint="eastAsia" w:ascii="Times New Roman" w:hAnsi="Times New Roman" w:eastAsia="仿宋_GB2312" w:cs="仿宋_GB2312"/>
          <w:sz w:val="32"/>
          <w:szCs w:val="32"/>
          <w:lang w:val="en-US" w:eastAsia="zh-CN"/>
        </w:rPr>
        <w:t>64,639</w:t>
      </w:r>
      <w:r>
        <w:rPr>
          <w:rFonts w:hint="eastAsia" w:ascii="Times New Roman" w:hAnsi="Times New Roman" w:eastAsia="仿宋_GB2312" w:cs="仿宋_GB2312"/>
          <w:sz w:val="32"/>
          <w:szCs w:val="32"/>
        </w:rPr>
        <w:t>万元</w:t>
      </w:r>
      <w:r>
        <w:rPr>
          <w:rFonts w:hint="eastAsia" w:ascii="Times New Roman" w:hAnsi="Times New Roman" w:eastAsia="仿宋_GB2312" w:cs="仿宋_GB2312"/>
          <w:sz w:val="32"/>
          <w:szCs w:val="32"/>
          <w:lang w:eastAsia="zh-CN"/>
        </w:rPr>
        <w:t>，占</w:t>
      </w:r>
      <w:r>
        <w:rPr>
          <w:rFonts w:hint="eastAsia" w:ascii="Times New Roman" w:hAnsi="Times New Roman" w:eastAsia="仿宋_GB2312" w:cs="仿宋_GB2312"/>
          <w:sz w:val="32"/>
          <w:szCs w:val="32"/>
          <w:lang w:val="en-US" w:eastAsia="zh-CN"/>
        </w:rPr>
        <w:t>16.93%</w:t>
      </w:r>
      <w:r>
        <w:rPr>
          <w:rFonts w:hint="eastAsia" w:ascii="Times New Roman" w:hAnsi="Times New Roman" w:eastAsia="仿宋_GB2312" w:cs="仿宋_GB2312"/>
          <w:sz w:val="32"/>
          <w:szCs w:val="32"/>
        </w:rPr>
        <w:t>。</w:t>
      </w:r>
    </w:p>
    <w:p>
      <w:pPr>
        <w:pStyle w:val="6"/>
        <w:rPr>
          <w:rFonts w:hint="eastAsia"/>
        </w:rPr>
      </w:pPr>
      <w:r>
        <w:rPr>
          <w:rFonts w:hint="eastAsia" w:ascii="仿宋" w:hAnsi="仿宋" w:eastAsia="仿宋" w:cs="仿宋"/>
          <w:sz w:val="32"/>
          <w:szCs w:val="32"/>
          <w:lang w:eastAsia="zh-CN"/>
        </w:rPr>
        <w:drawing>
          <wp:anchor distT="0" distB="0" distL="114300" distR="114300" simplePos="0" relativeHeight="251664384" behindDoc="0" locked="0" layoutInCell="1" allowOverlap="1">
            <wp:simplePos x="0" y="0"/>
            <wp:positionH relativeFrom="column">
              <wp:posOffset>-313055</wp:posOffset>
            </wp:positionH>
            <wp:positionV relativeFrom="page">
              <wp:posOffset>1210945</wp:posOffset>
            </wp:positionV>
            <wp:extent cx="5956935" cy="3884295"/>
            <wp:effectExtent l="4445" t="4445" r="20320" b="1651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numPr>
          <w:ilvl w:val="0"/>
          <w:numId w:val="0"/>
        </w:numPr>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val="en-US" w:eastAsia="zh-CN"/>
        </w:rPr>
        <w:t>1、返还性收入</w:t>
      </w:r>
      <w:r>
        <w:rPr>
          <w:rFonts w:hint="eastAsia" w:ascii="Times New Roman" w:hAnsi="Times New Roman" w:eastAsia="仿宋_GB2312" w:cs="仿宋_GB2312"/>
          <w:b/>
          <w:bCs/>
          <w:sz w:val="32"/>
          <w:szCs w:val="32"/>
        </w:rPr>
        <w:t>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640" w:firstLineChars="200"/>
        <w:textAlignment w:val="auto"/>
        <w:rPr>
          <w:rFonts w:hint="eastAsia" w:ascii="Times New Roman" w:hAnsi="Times New Roman" w:eastAsia="仿宋_GB2312" w:cs="仿宋_GB2312"/>
          <w:lang w:val="en-US" w:eastAsia="zh-CN"/>
        </w:rPr>
      </w:pPr>
      <w:r>
        <w:rPr>
          <w:rFonts w:hint="eastAsia" w:ascii="Times New Roman" w:hAnsi="Times New Roman" w:eastAsia="仿宋_GB2312" w:cs="仿宋_GB2312"/>
          <w:b w:val="0"/>
          <w:bCs w:val="0"/>
          <w:sz w:val="32"/>
          <w:szCs w:val="32"/>
          <w:lang w:val="en-US" w:eastAsia="zh-CN"/>
        </w:rPr>
        <w:t>2024年返还性收入</w:t>
      </w:r>
      <w:r>
        <w:rPr>
          <w:rFonts w:hint="eastAsia" w:ascii="Times New Roman" w:hAnsi="Times New Roman" w:eastAsia="仿宋_GB2312" w:cs="仿宋_GB2312"/>
          <w:sz w:val="32"/>
          <w:szCs w:val="32"/>
          <w:lang w:val="en-US" w:eastAsia="zh-CN"/>
        </w:rPr>
        <w:t>5831</w:t>
      </w:r>
      <w:r>
        <w:rPr>
          <w:rFonts w:hint="eastAsia" w:ascii="Times New Roman" w:hAnsi="Times New Roman" w:eastAsia="仿宋_GB2312" w:cs="仿宋_GB2312"/>
          <w:sz w:val="32"/>
          <w:szCs w:val="32"/>
        </w:rPr>
        <w:t>万元</w:t>
      </w:r>
      <w:r>
        <w:rPr>
          <w:rFonts w:hint="eastAsia" w:ascii="Times New Roman" w:hAnsi="Times New Roman" w:eastAsia="仿宋_GB2312" w:cs="仿宋_GB2312"/>
          <w:sz w:val="32"/>
          <w:szCs w:val="32"/>
          <w:lang w:eastAsia="zh-CN"/>
        </w:rPr>
        <w:t>，与上年</w:t>
      </w:r>
      <w:r>
        <w:rPr>
          <w:rFonts w:hint="eastAsia" w:ascii="Times New Roman" w:hAnsi="Times New Roman" w:eastAsia="仿宋_GB2312"/>
          <w:lang w:eastAsia="zh-CN"/>
        </w:rPr>
        <w:t>持平</w:t>
      </w:r>
      <w:r>
        <w:rPr>
          <w:rFonts w:hint="eastAsia" w:ascii="Times New Roman" w:hAnsi="Times New Roman" w:eastAsia="仿宋_GB2312" w:cs="仿宋_GB2312"/>
          <w:sz w:val="32"/>
          <w:szCs w:val="32"/>
          <w:lang w:eastAsia="zh-CN"/>
        </w:rPr>
        <w:t>。</w:t>
      </w:r>
    </w:p>
    <w:p>
      <w:pPr>
        <w:numPr>
          <w:ilvl w:val="0"/>
          <w:numId w:val="0"/>
        </w:numPr>
        <w:rPr>
          <w:rFonts w:hint="eastAsia" w:ascii="Times New Roman" w:hAnsi="Times New Roman" w:eastAsia="仿宋_GB2312" w:cs="仿宋_GB2312"/>
          <w:b/>
          <w:bCs/>
          <w:sz w:val="32"/>
          <w:szCs w:val="32"/>
        </w:rPr>
      </w:pPr>
      <w:r>
        <w:rPr>
          <w:rFonts w:hint="eastAsia" w:ascii="Times New Roman" w:hAnsi="Times New Roman" w:eastAsia="仿宋_GB2312" w:cs="仿宋"/>
          <w:b/>
          <w:bCs/>
          <w:sz w:val="32"/>
          <w:szCs w:val="32"/>
          <w:lang w:val="en-US" w:eastAsia="zh-CN"/>
        </w:rPr>
        <w:t>2、</w:t>
      </w:r>
      <w:r>
        <w:rPr>
          <w:rFonts w:hint="eastAsia" w:ascii="Times New Roman" w:hAnsi="Times New Roman" w:eastAsia="仿宋_GB2312" w:cs="仿宋_GB2312"/>
          <w:b/>
          <w:bCs/>
          <w:sz w:val="32"/>
          <w:szCs w:val="32"/>
        </w:rPr>
        <w:t>一般性转移支付</w:t>
      </w:r>
      <w:r>
        <w:rPr>
          <w:rFonts w:hint="eastAsia" w:ascii="Times New Roman" w:hAnsi="Times New Roman" w:eastAsia="仿宋_GB2312" w:cs="仿宋_GB2312"/>
          <w:b/>
          <w:bCs/>
          <w:sz w:val="32"/>
          <w:szCs w:val="32"/>
          <w:lang w:val="en-US" w:eastAsia="zh-CN"/>
        </w:rPr>
        <w:t>收入</w:t>
      </w:r>
      <w:r>
        <w:rPr>
          <w:rFonts w:hint="eastAsia" w:ascii="Times New Roman" w:hAnsi="Times New Roman" w:eastAsia="仿宋_GB2312" w:cs="仿宋_GB2312"/>
          <w:b/>
          <w:bCs/>
          <w:sz w:val="32"/>
          <w:szCs w:val="32"/>
        </w:rPr>
        <w:t>情况</w:t>
      </w:r>
    </w:p>
    <w:p>
      <w:pPr>
        <w:numPr>
          <w:ilvl w:val="0"/>
          <w:numId w:val="0"/>
        </w:numPr>
        <w:ind w:firstLine="640" w:firstLineChars="200"/>
        <w:rPr>
          <w:rFonts w:hint="eastAsia" w:ascii="Times New Roman" w:hAnsi="Times New Roman" w:eastAsia="仿宋_GB2312"/>
          <w:lang w:val="en-US" w:eastAsia="zh-CN"/>
        </w:rPr>
      </w:pPr>
      <w:r>
        <w:rPr>
          <w:rFonts w:hint="eastAsia" w:ascii="Times New Roman" w:hAnsi="Times New Roman" w:eastAsia="仿宋_GB2312" w:cs="仿宋"/>
          <w:b w:val="0"/>
          <w:bCs w:val="0"/>
          <w:sz w:val="32"/>
          <w:szCs w:val="32"/>
          <w:lang w:val="en-US" w:eastAsia="zh-CN"/>
        </w:rPr>
        <w:t>2024年</w:t>
      </w:r>
      <w:r>
        <w:rPr>
          <w:rFonts w:hint="eastAsia" w:ascii="Times New Roman" w:hAnsi="Times New Roman" w:eastAsia="仿宋_GB2312" w:cs="楷体"/>
          <w:b w:val="0"/>
          <w:bCs w:val="0"/>
          <w:sz w:val="32"/>
          <w:szCs w:val="32"/>
        </w:rPr>
        <w:t>一般性转移支付</w:t>
      </w:r>
      <w:r>
        <w:rPr>
          <w:rFonts w:hint="eastAsia" w:ascii="Times New Roman" w:hAnsi="Times New Roman" w:eastAsia="仿宋_GB2312" w:cs="楷体"/>
          <w:b w:val="0"/>
          <w:bCs w:val="0"/>
          <w:sz w:val="32"/>
          <w:szCs w:val="32"/>
          <w:lang w:eastAsia="zh-CN"/>
        </w:rPr>
        <w:t>收入</w:t>
      </w:r>
      <w:r>
        <w:rPr>
          <w:rFonts w:hint="eastAsia" w:ascii="Times New Roman" w:hAnsi="Times New Roman" w:eastAsia="仿宋_GB2312" w:cs="楷体"/>
          <w:b w:val="0"/>
          <w:bCs w:val="0"/>
          <w:sz w:val="32"/>
          <w:szCs w:val="32"/>
          <w:lang w:val="en-US" w:eastAsia="zh-CN"/>
        </w:rPr>
        <w:t>311,241</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，比上年增加</w:t>
      </w:r>
      <w:r>
        <w:rPr>
          <w:rFonts w:hint="eastAsia" w:ascii="Times New Roman" w:hAnsi="Times New Roman" w:eastAsia="仿宋_GB2312" w:cs="仿宋"/>
          <w:sz w:val="32"/>
          <w:szCs w:val="32"/>
          <w:lang w:val="en-US" w:eastAsia="zh-CN"/>
        </w:rPr>
        <w:t>22,011万元，增长7.61%，主要是因为：</w:t>
      </w:r>
      <w:r>
        <w:rPr>
          <w:rFonts w:hint="eastAsia" w:ascii="Times New Roman" w:hAnsi="Times New Roman" w:eastAsia="仿宋_GB2312" w:cs="仿宋"/>
          <w:color w:val="auto"/>
          <w:sz w:val="32"/>
          <w:szCs w:val="32"/>
          <w:lang w:val="en-US" w:eastAsia="zh-CN"/>
        </w:rPr>
        <w:t>欠发达地区转移支付收入、农林水共同财政事权转移支付收入增幅</w:t>
      </w:r>
      <w:r>
        <w:rPr>
          <w:rFonts w:hint="eastAsia" w:ascii="Times New Roman" w:hAnsi="Times New Roman" w:eastAsia="仿宋_GB2312" w:cs="仿宋"/>
          <w:color w:val="auto"/>
          <w:sz w:val="32"/>
          <w:szCs w:val="32"/>
          <w:lang w:eastAsia="zh-CN"/>
        </w:rPr>
        <w:t>较大。</w:t>
      </w:r>
      <w:r>
        <w:rPr>
          <w:rFonts w:hint="eastAsia" w:ascii="Times New Roman" w:hAnsi="Times New Roman" w:eastAsia="仿宋_GB2312" w:cs="仿宋"/>
          <w:sz w:val="32"/>
          <w:szCs w:val="32"/>
          <w:lang w:eastAsia="zh-CN"/>
        </w:rPr>
        <w:t>具体明细情况如下：</w:t>
      </w:r>
    </w:p>
    <w:p>
      <w:pPr>
        <w:bidi w:val="0"/>
        <w:rPr>
          <w:rFonts w:hint="eastAsia" w:ascii="Times New Roman" w:hAnsi="Times New Roman" w:eastAsia="仿宋_GB2312"/>
        </w:rPr>
      </w:pPr>
      <w:r>
        <w:rPr>
          <w:rFonts w:hint="eastAsia" w:ascii="Times New Roman" w:hAnsi="Times New Roman" w:eastAsia="仿宋_GB2312"/>
          <w:lang w:eastAsia="zh-CN"/>
        </w:rPr>
        <w:t>（</w:t>
      </w:r>
      <w:r>
        <w:rPr>
          <w:rFonts w:hint="eastAsia" w:ascii="Times New Roman" w:hAnsi="Times New Roman" w:eastAsia="仿宋_GB2312"/>
          <w:lang w:val="en-US" w:eastAsia="zh-CN"/>
        </w:rPr>
        <w:t>1</w:t>
      </w:r>
      <w:r>
        <w:rPr>
          <w:rFonts w:hint="eastAsia" w:ascii="Times New Roman" w:hAnsi="Times New Roman" w:eastAsia="仿宋_GB2312"/>
          <w:lang w:eastAsia="zh-CN"/>
        </w:rPr>
        <w:t>）</w:t>
      </w:r>
      <w:r>
        <w:rPr>
          <w:rFonts w:hint="eastAsia" w:ascii="Times New Roman" w:hAnsi="Times New Roman" w:eastAsia="仿宋_GB2312"/>
        </w:rPr>
        <w:t>均衡性转移支付89,637万元，</w:t>
      </w:r>
      <w:r>
        <w:rPr>
          <w:rFonts w:hint="eastAsia" w:ascii="Times New Roman" w:hAnsi="Times New Roman" w:eastAsia="仿宋_GB2312"/>
          <w:lang w:eastAsia="zh-CN"/>
        </w:rPr>
        <w:t>增长</w:t>
      </w:r>
      <w:r>
        <w:rPr>
          <w:rFonts w:hint="eastAsia" w:ascii="Times New Roman" w:hAnsi="Times New Roman" w:eastAsia="仿宋_GB2312"/>
          <w:lang w:val="en-US" w:eastAsia="zh-CN"/>
        </w:rPr>
        <w:t>1.58%</w:t>
      </w:r>
      <w:r>
        <w:rPr>
          <w:rFonts w:hint="eastAsia" w:ascii="Times New Roman" w:hAnsi="Times New Roman" w:eastAsia="仿宋_GB2312"/>
        </w:rPr>
        <w:t>。</w:t>
      </w:r>
    </w:p>
    <w:p>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2）</w:t>
      </w:r>
      <w:r>
        <w:rPr>
          <w:rFonts w:hint="eastAsia" w:ascii="Times New Roman" w:hAnsi="Times New Roman" w:eastAsia="仿宋_GB2312"/>
          <w:lang w:eastAsia="zh-CN"/>
        </w:rPr>
        <w:t>县级基本财力保障机制奖补资金</w:t>
      </w:r>
      <w:r>
        <w:rPr>
          <w:rFonts w:hint="eastAsia" w:ascii="Times New Roman" w:hAnsi="Times New Roman" w:eastAsia="仿宋_GB2312"/>
          <w:lang w:val="en-US" w:eastAsia="zh-CN"/>
        </w:rPr>
        <w:t>31,995</w:t>
      </w:r>
      <w:r>
        <w:rPr>
          <w:rFonts w:hint="eastAsia" w:ascii="Times New Roman" w:hAnsi="Times New Roman" w:eastAsia="仿宋_GB2312"/>
          <w:lang w:eastAsia="zh-CN"/>
        </w:rPr>
        <w:t>万元，下降0.43%。</w:t>
      </w:r>
    </w:p>
    <w:p>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3</w:t>
      </w:r>
      <w:r>
        <w:rPr>
          <w:rFonts w:hint="eastAsia" w:ascii="Times New Roman" w:hAnsi="Times New Roman" w:eastAsia="仿宋_GB2312"/>
          <w:lang w:eastAsia="zh-CN"/>
        </w:rPr>
        <w:t>）结算补助收入</w:t>
      </w:r>
      <w:r>
        <w:rPr>
          <w:rFonts w:hint="eastAsia" w:ascii="Times New Roman" w:hAnsi="Times New Roman" w:eastAsia="仿宋_GB2312"/>
          <w:lang w:val="en-US" w:eastAsia="zh-CN"/>
        </w:rPr>
        <w:t>5,777</w:t>
      </w:r>
      <w:r>
        <w:rPr>
          <w:rFonts w:hint="eastAsia" w:ascii="Times New Roman" w:hAnsi="Times New Roman" w:eastAsia="仿宋_GB2312"/>
          <w:lang w:eastAsia="zh-CN"/>
        </w:rPr>
        <w:t>万元，下降33.77%。</w:t>
      </w:r>
    </w:p>
    <w:p>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4</w:t>
      </w:r>
      <w:r>
        <w:rPr>
          <w:rFonts w:hint="eastAsia" w:ascii="Times New Roman" w:hAnsi="Times New Roman" w:eastAsia="仿宋_GB2312"/>
          <w:lang w:eastAsia="zh-CN"/>
        </w:rPr>
        <w:t>）企业事业单位划转补助收入89万元，与上年持平。</w:t>
      </w:r>
    </w:p>
    <w:p>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5</w:t>
      </w:r>
      <w:r>
        <w:rPr>
          <w:rFonts w:hint="eastAsia" w:ascii="Times New Roman" w:hAnsi="Times New Roman" w:eastAsia="仿宋_GB2312"/>
          <w:lang w:eastAsia="zh-CN"/>
        </w:rPr>
        <w:t>）产粮(油)大县奖励资金</w:t>
      </w:r>
      <w:r>
        <w:rPr>
          <w:rFonts w:hint="eastAsia" w:ascii="Times New Roman" w:hAnsi="Times New Roman" w:eastAsia="仿宋_GB2312"/>
          <w:lang w:val="en-US" w:eastAsia="zh-CN"/>
        </w:rPr>
        <w:t>5,472</w:t>
      </w:r>
      <w:r>
        <w:rPr>
          <w:rFonts w:hint="eastAsia" w:ascii="Times New Roman" w:hAnsi="Times New Roman" w:eastAsia="仿宋_GB2312"/>
          <w:lang w:eastAsia="zh-CN"/>
        </w:rPr>
        <w:t>万元，下降2.23%。</w:t>
      </w:r>
    </w:p>
    <w:p>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6</w:t>
      </w:r>
      <w:r>
        <w:rPr>
          <w:rFonts w:hint="eastAsia" w:ascii="Times New Roman" w:hAnsi="Times New Roman" w:eastAsia="仿宋_GB2312"/>
          <w:lang w:eastAsia="zh-CN"/>
        </w:rPr>
        <w:t>）重点生态功能区转移支付</w:t>
      </w:r>
      <w:r>
        <w:rPr>
          <w:rFonts w:hint="eastAsia" w:ascii="Times New Roman" w:hAnsi="Times New Roman" w:eastAsia="仿宋_GB2312"/>
          <w:lang w:val="en-US" w:eastAsia="zh-CN"/>
        </w:rPr>
        <w:t>4,091</w:t>
      </w:r>
      <w:r>
        <w:rPr>
          <w:rFonts w:hint="eastAsia" w:ascii="Times New Roman" w:hAnsi="Times New Roman" w:eastAsia="仿宋_GB2312"/>
          <w:lang w:eastAsia="zh-CN"/>
        </w:rPr>
        <w:t>万元，下降1.54%。</w:t>
      </w:r>
    </w:p>
    <w:p>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7</w:t>
      </w:r>
      <w:r>
        <w:rPr>
          <w:rFonts w:hint="eastAsia" w:ascii="Times New Roman" w:hAnsi="Times New Roman" w:eastAsia="仿宋_GB2312"/>
          <w:lang w:eastAsia="zh-CN"/>
        </w:rPr>
        <w:t>）固定数额补助21,239万元，与上年持平。</w:t>
      </w:r>
    </w:p>
    <w:p>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8</w:t>
      </w:r>
      <w:r>
        <w:rPr>
          <w:rFonts w:hint="eastAsia" w:ascii="Times New Roman" w:hAnsi="Times New Roman" w:eastAsia="仿宋_GB2312"/>
          <w:lang w:eastAsia="zh-CN"/>
        </w:rPr>
        <w:t>）革命老区转移支付收入</w:t>
      </w:r>
      <w:r>
        <w:rPr>
          <w:rFonts w:hint="eastAsia" w:ascii="Times New Roman" w:hAnsi="Times New Roman" w:eastAsia="仿宋_GB2312"/>
          <w:lang w:val="en-US" w:eastAsia="zh-CN"/>
        </w:rPr>
        <w:t>2,366</w:t>
      </w:r>
      <w:r>
        <w:rPr>
          <w:rFonts w:hint="eastAsia" w:ascii="Times New Roman" w:hAnsi="Times New Roman" w:eastAsia="仿宋_GB2312"/>
          <w:lang w:eastAsia="zh-CN"/>
        </w:rPr>
        <w:t>万元，增长</w:t>
      </w:r>
      <w:r>
        <w:rPr>
          <w:rFonts w:hint="eastAsia" w:ascii="Times New Roman" w:hAnsi="Times New Roman" w:eastAsia="仿宋_GB2312"/>
          <w:lang w:val="en-US" w:eastAsia="zh-CN"/>
        </w:rPr>
        <w:t>0.51%</w:t>
      </w:r>
      <w:r>
        <w:rPr>
          <w:rFonts w:hint="eastAsia" w:ascii="Times New Roman" w:hAnsi="Times New Roman" w:eastAsia="仿宋_GB2312"/>
          <w:lang w:eastAsia="zh-CN"/>
        </w:rPr>
        <w:t>。</w:t>
      </w:r>
    </w:p>
    <w:p>
      <w:pPr>
        <w:bidi w:val="0"/>
        <w:rPr>
          <w:rFonts w:hint="eastAsia" w:ascii="Times New Roman" w:hAnsi="Times New Roman" w:eastAsia="仿宋_GB2312"/>
          <w:lang w:eastAsia="zh-CN"/>
        </w:rPr>
      </w:pPr>
      <w:r>
        <w:rPr>
          <w:rFonts w:hint="eastAsia" w:ascii="Times New Roman" w:hAnsi="Times New Roman" w:eastAsia="仿宋_GB2312"/>
          <w:lang w:eastAsia="zh-CN"/>
        </w:rPr>
        <w:t>（9）欠发达地区转移支付收入</w:t>
      </w:r>
      <w:r>
        <w:rPr>
          <w:rFonts w:hint="eastAsia" w:ascii="Times New Roman" w:hAnsi="Times New Roman" w:eastAsia="仿宋_GB2312"/>
          <w:lang w:val="en-US" w:eastAsia="zh-CN"/>
        </w:rPr>
        <w:t>11,860</w:t>
      </w:r>
      <w:r>
        <w:rPr>
          <w:rFonts w:hint="eastAsia" w:ascii="Times New Roman" w:hAnsi="Times New Roman" w:eastAsia="仿宋_GB2312"/>
          <w:lang w:eastAsia="zh-CN"/>
        </w:rPr>
        <w:t>万元，增长</w:t>
      </w:r>
      <w:r>
        <w:rPr>
          <w:rFonts w:hint="eastAsia" w:ascii="Times New Roman" w:hAnsi="Times New Roman" w:eastAsia="仿宋_GB2312"/>
          <w:lang w:val="en-US" w:eastAsia="zh-CN"/>
        </w:rPr>
        <w:t>94.55%</w:t>
      </w:r>
      <w:r>
        <w:rPr>
          <w:rFonts w:hint="eastAsia" w:ascii="Times New Roman" w:hAnsi="Times New Roman" w:eastAsia="仿宋_GB2312"/>
          <w:lang w:eastAsia="zh-CN"/>
        </w:rPr>
        <w:t>。</w:t>
      </w:r>
    </w:p>
    <w:p>
      <w:pPr>
        <w:bidi w:val="0"/>
        <w:rPr>
          <w:rFonts w:hint="eastAsia" w:ascii="Times New Roman" w:hAnsi="Times New Roman" w:eastAsia="仿宋_GB2312"/>
          <w:lang w:eastAsia="zh-CN"/>
        </w:rPr>
      </w:pPr>
      <w:r>
        <w:rPr>
          <w:rFonts w:hint="eastAsia" w:ascii="Times New Roman" w:hAnsi="Times New Roman" w:eastAsia="仿宋_GB2312"/>
          <w:lang w:eastAsia="zh-CN"/>
        </w:rPr>
        <w:t>（10）一般公共服务共同财政事权转移支付收入</w:t>
      </w:r>
      <w:r>
        <w:rPr>
          <w:rFonts w:hint="eastAsia" w:ascii="Times New Roman" w:hAnsi="Times New Roman" w:eastAsia="仿宋_GB2312"/>
          <w:lang w:val="en-US" w:eastAsia="zh-CN"/>
        </w:rPr>
        <w:t>50万元，今年新增收入。</w:t>
      </w:r>
    </w:p>
    <w:p>
      <w:pPr>
        <w:bidi w:val="0"/>
        <w:rPr>
          <w:rFonts w:hint="eastAsia" w:ascii="Times New Roman" w:hAnsi="Times New Roman" w:eastAsia="仿宋_GB2312"/>
          <w:lang w:eastAsia="zh-CN"/>
        </w:rPr>
      </w:pPr>
      <w:r>
        <w:rPr>
          <w:rFonts w:hint="eastAsia" w:ascii="Times New Roman" w:hAnsi="Times New Roman" w:eastAsia="仿宋_GB2312"/>
          <w:lang w:eastAsia="zh-CN"/>
        </w:rPr>
        <w:t>（1</w:t>
      </w:r>
      <w:r>
        <w:rPr>
          <w:rFonts w:hint="eastAsia" w:ascii="Times New Roman" w:hAnsi="Times New Roman" w:eastAsia="仿宋_GB2312"/>
          <w:lang w:val="en-US" w:eastAsia="zh-CN"/>
        </w:rPr>
        <w:t>1</w:t>
      </w:r>
      <w:r>
        <w:rPr>
          <w:rFonts w:hint="eastAsia" w:ascii="Times New Roman" w:hAnsi="Times New Roman" w:eastAsia="仿宋_GB2312"/>
          <w:lang w:eastAsia="zh-CN"/>
        </w:rPr>
        <w:t>）公共安全共同财政事权转移支付收入</w:t>
      </w:r>
      <w:r>
        <w:rPr>
          <w:rFonts w:hint="eastAsia" w:ascii="Times New Roman" w:hAnsi="Times New Roman" w:eastAsia="仿宋_GB2312"/>
          <w:lang w:val="en-US" w:eastAsia="zh-CN"/>
        </w:rPr>
        <w:t>1019</w:t>
      </w:r>
      <w:r>
        <w:rPr>
          <w:rFonts w:hint="eastAsia" w:ascii="Times New Roman" w:hAnsi="Times New Roman" w:eastAsia="仿宋_GB2312"/>
          <w:lang w:eastAsia="zh-CN"/>
        </w:rPr>
        <w:t>万元，增长0.20%。</w:t>
      </w:r>
    </w:p>
    <w:p>
      <w:pPr>
        <w:bidi w:val="0"/>
        <w:rPr>
          <w:rFonts w:hint="eastAsia" w:ascii="Times New Roman" w:hAnsi="Times New Roman" w:eastAsia="仿宋_GB2312"/>
          <w:lang w:eastAsia="zh-CN"/>
        </w:rPr>
      </w:pPr>
      <w:r>
        <w:rPr>
          <w:rFonts w:hint="eastAsia" w:ascii="Times New Roman" w:hAnsi="Times New Roman" w:eastAsia="仿宋_GB2312"/>
          <w:lang w:eastAsia="zh-CN"/>
        </w:rPr>
        <w:t>（1</w:t>
      </w:r>
      <w:r>
        <w:rPr>
          <w:rFonts w:hint="eastAsia" w:ascii="Times New Roman" w:hAnsi="Times New Roman" w:eastAsia="仿宋_GB2312"/>
          <w:lang w:val="en-US" w:eastAsia="zh-CN"/>
        </w:rPr>
        <w:t>2</w:t>
      </w:r>
      <w:r>
        <w:rPr>
          <w:rFonts w:hint="eastAsia" w:ascii="Times New Roman" w:hAnsi="Times New Roman" w:eastAsia="仿宋_GB2312"/>
          <w:lang w:eastAsia="zh-CN"/>
        </w:rPr>
        <w:t>）教育共同财政事权转移支付收入</w:t>
      </w:r>
      <w:r>
        <w:rPr>
          <w:rFonts w:hint="eastAsia" w:ascii="Times New Roman" w:hAnsi="Times New Roman" w:eastAsia="仿宋_GB2312"/>
          <w:lang w:val="en-US" w:eastAsia="zh-CN"/>
        </w:rPr>
        <w:t>15,480</w:t>
      </w:r>
      <w:r>
        <w:rPr>
          <w:rFonts w:hint="eastAsia" w:ascii="Times New Roman" w:hAnsi="Times New Roman" w:eastAsia="仿宋_GB2312"/>
          <w:lang w:eastAsia="zh-CN"/>
        </w:rPr>
        <w:t>万元，增长</w:t>
      </w:r>
      <w:r>
        <w:rPr>
          <w:rFonts w:hint="eastAsia" w:ascii="Times New Roman" w:hAnsi="Times New Roman" w:eastAsia="仿宋_GB2312"/>
          <w:lang w:val="en-US" w:eastAsia="zh-CN"/>
        </w:rPr>
        <w:t>0.74%</w:t>
      </w:r>
      <w:r>
        <w:rPr>
          <w:rFonts w:hint="eastAsia" w:ascii="Times New Roman" w:hAnsi="Times New Roman" w:eastAsia="仿宋_GB2312"/>
          <w:lang w:eastAsia="zh-CN"/>
        </w:rPr>
        <w:t>。</w:t>
      </w:r>
    </w:p>
    <w:p>
      <w:pPr>
        <w:pStyle w:val="2"/>
        <w:ind w:left="0" w:leftChars="0" w:firstLine="0" w:firstLineChars="0"/>
        <w:rPr>
          <w:rFonts w:hint="default"/>
          <w:lang w:val="en-US"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13</w:t>
      </w:r>
      <w:r>
        <w:rPr>
          <w:rFonts w:hint="eastAsia" w:ascii="Times New Roman" w:hAnsi="Times New Roman" w:eastAsia="仿宋_GB2312"/>
          <w:lang w:eastAsia="zh-CN"/>
        </w:rPr>
        <w:t>）科学技术共同财政事权转移支付收入</w:t>
      </w:r>
      <w:r>
        <w:rPr>
          <w:rFonts w:hint="eastAsia" w:ascii="Times New Roman" w:hAnsi="Times New Roman" w:eastAsia="仿宋_GB2312"/>
          <w:lang w:val="en-US" w:eastAsia="zh-CN"/>
        </w:rPr>
        <w:t>70万元，</w:t>
      </w:r>
      <w:r>
        <w:rPr>
          <w:rFonts w:hint="eastAsia" w:ascii="Times New Roman" w:hAnsi="Times New Roman" w:eastAsia="仿宋_GB2312"/>
          <w:lang w:eastAsia="zh-CN"/>
        </w:rPr>
        <w:t>下降</w:t>
      </w:r>
      <w:r>
        <w:rPr>
          <w:rFonts w:hint="eastAsia" w:ascii="Times New Roman" w:hAnsi="Times New Roman" w:eastAsia="仿宋_GB2312"/>
          <w:lang w:val="en-US" w:eastAsia="zh-CN"/>
        </w:rPr>
        <w:t>53.33%。</w:t>
      </w:r>
    </w:p>
    <w:p>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14</w:t>
      </w:r>
      <w:r>
        <w:rPr>
          <w:rFonts w:hint="eastAsia" w:ascii="Times New Roman" w:hAnsi="Times New Roman" w:eastAsia="仿宋_GB2312"/>
          <w:lang w:eastAsia="zh-CN"/>
        </w:rPr>
        <w:t>）文化旅游体育与传媒共同财政事权转移支付收入669万元，下降11.27%。</w:t>
      </w:r>
    </w:p>
    <w:p>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15）</w:t>
      </w:r>
      <w:r>
        <w:rPr>
          <w:rFonts w:hint="eastAsia" w:ascii="Times New Roman" w:hAnsi="Times New Roman" w:eastAsia="仿宋_GB2312"/>
          <w:lang w:eastAsia="zh-CN"/>
        </w:rPr>
        <w:t>社会保障和就业共同财政事权转移支付收入</w:t>
      </w:r>
      <w:r>
        <w:rPr>
          <w:rFonts w:hint="eastAsia" w:ascii="Times New Roman" w:hAnsi="Times New Roman" w:eastAsia="仿宋_GB2312"/>
          <w:lang w:val="en-US" w:eastAsia="zh-CN"/>
        </w:rPr>
        <w:t>35,670</w:t>
      </w:r>
      <w:r>
        <w:rPr>
          <w:rFonts w:hint="eastAsia" w:ascii="Times New Roman" w:hAnsi="Times New Roman" w:eastAsia="仿宋_GB2312"/>
          <w:lang w:eastAsia="zh-CN"/>
        </w:rPr>
        <w:t>万元，增长</w:t>
      </w:r>
      <w:r>
        <w:rPr>
          <w:rFonts w:hint="eastAsia" w:ascii="Times New Roman" w:hAnsi="Times New Roman" w:eastAsia="仿宋_GB2312"/>
          <w:lang w:val="en-US" w:eastAsia="zh-CN"/>
        </w:rPr>
        <w:t>10.07</w:t>
      </w:r>
      <w:r>
        <w:rPr>
          <w:rFonts w:hint="eastAsia" w:ascii="Times New Roman" w:hAnsi="Times New Roman" w:eastAsia="仿宋_GB2312"/>
          <w:lang w:eastAsia="zh-CN"/>
        </w:rPr>
        <w:t>%。</w:t>
      </w:r>
    </w:p>
    <w:p>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16）</w:t>
      </w:r>
      <w:r>
        <w:rPr>
          <w:rFonts w:hint="eastAsia" w:ascii="Times New Roman" w:hAnsi="Times New Roman" w:eastAsia="仿宋_GB2312"/>
          <w:lang w:eastAsia="zh-CN"/>
        </w:rPr>
        <w:t>医疗卫生共同财政事权转移支付收入</w:t>
      </w:r>
      <w:r>
        <w:rPr>
          <w:rFonts w:hint="eastAsia" w:ascii="Times New Roman" w:hAnsi="Times New Roman" w:eastAsia="仿宋_GB2312"/>
          <w:lang w:val="en-US" w:eastAsia="zh-CN"/>
        </w:rPr>
        <w:t>10,248</w:t>
      </w:r>
      <w:r>
        <w:rPr>
          <w:rFonts w:hint="eastAsia" w:ascii="Times New Roman" w:hAnsi="Times New Roman" w:eastAsia="仿宋_GB2312"/>
          <w:lang w:eastAsia="zh-CN"/>
        </w:rPr>
        <w:t>万元，增长5.05%。</w:t>
      </w:r>
    </w:p>
    <w:p>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17）</w:t>
      </w:r>
      <w:r>
        <w:rPr>
          <w:rFonts w:hint="eastAsia" w:ascii="Times New Roman" w:hAnsi="Times New Roman" w:eastAsia="仿宋_GB2312"/>
          <w:lang w:eastAsia="zh-CN"/>
        </w:rPr>
        <w:t>节能环保共同财政事权转移支付收入</w:t>
      </w:r>
      <w:r>
        <w:rPr>
          <w:rFonts w:hint="eastAsia" w:ascii="Times New Roman" w:hAnsi="Times New Roman" w:eastAsia="仿宋_GB2312"/>
          <w:lang w:val="en-US" w:eastAsia="zh-CN"/>
        </w:rPr>
        <w:t>734</w:t>
      </w:r>
      <w:r>
        <w:rPr>
          <w:rFonts w:hint="eastAsia" w:ascii="Times New Roman" w:hAnsi="Times New Roman" w:eastAsia="仿宋_GB2312"/>
          <w:lang w:eastAsia="zh-CN"/>
        </w:rPr>
        <w:t>万元，增长20.53%。</w:t>
      </w:r>
    </w:p>
    <w:p>
      <w:pPr>
        <w:pStyle w:val="2"/>
        <w:ind w:left="0" w:leftChars="0" w:firstLine="0" w:firstLineChars="0"/>
        <w:rPr>
          <w:rFonts w:hint="eastAsia" w:ascii="Times New Roman" w:hAnsi="Times New Roman" w:eastAsia="仿宋_GB2312"/>
          <w:lang w:eastAsia="zh-CN"/>
        </w:rPr>
      </w:pPr>
    </w:p>
    <w:p>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18）</w:t>
      </w:r>
      <w:r>
        <w:rPr>
          <w:rFonts w:hint="eastAsia" w:ascii="Times New Roman" w:hAnsi="Times New Roman" w:eastAsia="仿宋_GB2312"/>
          <w:lang w:eastAsia="zh-CN"/>
        </w:rPr>
        <w:t>农林水共同财政事权转移支付收入</w:t>
      </w:r>
      <w:r>
        <w:rPr>
          <w:rFonts w:hint="eastAsia" w:ascii="Times New Roman" w:hAnsi="Times New Roman" w:eastAsia="仿宋_GB2312"/>
          <w:lang w:val="en-US" w:eastAsia="zh-CN"/>
        </w:rPr>
        <w:t>66,834</w:t>
      </w:r>
      <w:r>
        <w:rPr>
          <w:rFonts w:hint="eastAsia" w:ascii="Times New Roman" w:hAnsi="Times New Roman" w:eastAsia="仿宋_GB2312"/>
          <w:lang w:eastAsia="zh-CN"/>
        </w:rPr>
        <w:t>万元，增长</w:t>
      </w:r>
      <w:r>
        <w:rPr>
          <w:rFonts w:hint="eastAsia" w:ascii="Times New Roman" w:hAnsi="Times New Roman" w:eastAsia="仿宋_GB2312"/>
          <w:lang w:val="en-US" w:eastAsia="zh-CN"/>
        </w:rPr>
        <w:t>55.74%</w:t>
      </w:r>
      <w:r>
        <w:rPr>
          <w:rFonts w:hint="eastAsia" w:ascii="Times New Roman" w:hAnsi="Times New Roman" w:eastAsia="仿宋_GB2312"/>
          <w:lang w:eastAsia="zh-CN"/>
        </w:rPr>
        <w:t>。</w:t>
      </w:r>
    </w:p>
    <w:p>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19）</w:t>
      </w:r>
      <w:r>
        <w:rPr>
          <w:rFonts w:hint="eastAsia" w:ascii="Times New Roman" w:hAnsi="Times New Roman" w:eastAsia="仿宋_GB2312"/>
          <w:lang w:eastAsia="zh-CN"/>
        </w:rPr>
        <w:t>交通运输共同财政事权转移支付收入</w:t>
      </w:r>
      <w:r>
        <w:rPr>
          <w:rFonts w:hint="eastAsia" w:ascii="Times New Roman" w:hAnsi="Times New Roman" w:eastAsia="仿宋_GB2312"/>
          <w:lang w:val="en-US" w:eastAsia="zh-CN"/>
        </w:rPr>
        <w:t>2,908</w:t>
      </w:r>
      <w:r>
        <w:rPr>
          <w:rFonts w:hint="eastAsia" w:ascii="Times New Roman" w:hAnsi="Times New Roman" w:eastAsia="仿宋_GB2312"/>
          <w:lang w:eastAsia="zh-CN"/>
        </w:rPr>
        <w:t>万元，增长3.49%。</w:t>
      </w:r>
    </w:p>
    <w:p>
      <w:pPr>
        <w:bidi w:val="0"/>
        <w:rPr>
          <w:rFonts w:hint="eastAsia" w:ascii="Times New Roman" w:hAnsi="Times New Roman" w:eastAsia="仿宋_GB2312"/>
          <w:lang w:eastAsia="zh-CN"/>
        </w:rPr>
      </w:pPr>
      <w:r>
        <w:rPr>
          <w:rFonts w:hint="eastAsia" w:ascii="Times New Roman" w:hAnsi="Times New Roman" w:eastAsia="仿宋_GB2312"/>
          <w:lang w:val="en-US" w:eastAsia="zh-CN"/>
        </w:rPr>
        <w:t>（20）</w:t>
      </w:r>
      <w:r>
        <w:rPr>
          <w:rFonts w:hint="eastAsia" w:ascii="Times New Roman" w:hAnsi="Times New Roman" w:eastAsia="仿宋_GB2312"/>
          <w:lang w:eastAsia="zh-CN"/>
        </w:rPr>
        <w:t>住房保障共同财政事权转移支付收入</w:t>
      </w:r>
      <w:r>
        <w:rPr>
          <w:rFonts w:hint="eastAsia" w:ascii="Times New Roman" w:hAnsi="Times New Roman" w:eastAsia="仿宋_GB2312"/>
          <w:lang w:val="en-US" w:eastAsia="zh-CN"/>
        </w:rPr>
        <w:t>2,087</w:t>
      </w:r>
      <w:r>
        <w:rPr>
          <w:rFonts w:hint="eastAsia" w:ascii="Times New Roman" w:hAnsi="Times New Roman" w:eastAsia="仿宋_GB2312"/>
          <w:lang w:eastAsia="zh-CN"/>
        </w:rPr>
        <w:t>万元，下降40.91%。</w:t>
      </w:r>
    </w:p>
    <w:p>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21）</w:t>
      </w:r>
      <w:r>
        <w:rPr>
          <w:rFonts w:hint="eastAsia" w:ascii="Times New Roman" w:hAnsi="Times New Roman" w:eastAsia="仿宋_GB2312"/>
          <w:lang w:eastAsia="zh-CN"/>
        </w:rPr>
        <w:t>粮油物资储备共同财政事权转移支付收入</w:t>
      </w:r>
      <w:r>
        <w:rPr>
          <w:rFonts w:hint="eastAsia" w:ascii="Times New Roman" w:hAnsi="Times New Roman" w:eastAsia="仿宋_GB2312"/>
          <w:lang w:val="en-US" w:eastAsia="zh-CN"/>
        </w:rPr>
        <w:t>298</w:t>
      </w:r>
      <w:r>
        <w:rPr>
          <w:rFonts w:hint="eastAsia" w:ascii="Times New Roman" w:hAnsi="Times New Roman" w:eastAsia="仿宋_GB2312"/>
          <w:lang w:eastAsia="zh-CN"/>
        </w:rPr>
        <w:t>万元，下降14.37%。</w:t>
      </w:r>
    </w:p>
    <w:p>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22）</w:t>
      </w:r>
      <w:r>
        <w:rPr>
          <w:rFonts w:hint="eastAsia" w:ascii="Times New Roman" w:hAnsi="Times New Roman" w:eastAsia="仿宋_GB2312"/>
          <w:lang w:eastAsia="zh-CN"/>
        </w:rPr>
        <w:t>灾害防治及应急管理共同财政事权转移支付收入</w:t>
      </w:r>
      <w:r>
        <w:rPr>
          <w:rFonts w:hint="eastAsia" w:ascii="Times New Roman" w:hAnsi="Times New Roman" w:eastAsia="仿宋_GB2312"/>
          <w:lang w:val="en-US" w:eastAsia="zh-CN"/>
        </w:rPr>
        <w:t>257</w:t>
      </w:r>
      <w:r>
        <w:rPr>
          <w:rFonts w:hint="eastAsia" w:ascii="Times New Roman" w:hAnsi="Times New Roman" w:eastAsia="仿宋_GB2312"/>
          <w:lang w:eastAsia="zh-CN"/>
        </w:rPr>
        <w:t>万元，增长164.95%。</w:t>
      </w:r>
    </w:p>
    <w:p>
      <w:pPr>
        <w:pStyle w:val="2"/>
        <w:ind w:left="0" w:leftChars="0" w:firstLine="0" w:firstLineChars="0"/>
        <w:rPr>
          <w:rFonts w:hint="eastAsia" w:ascii="Times New Roman" w:hAnsi="Times New Roman" w:eastAsia="仿宋_GB2312"/>
          <w:lang w:val="en-US"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23</w:t>
      </w:r>
      <w:r>
        <w:rPr>
          <w:rFonts w:hint="eastAsia" w:ascii="Times New Roman" w:hAnsi="Times New Roman" w:eastAsia="仿宋_GB2312"/>
          <w:lang w:eastAsia="zh-CN"/>
        </w:rPr>
        <w:t>）增值税留抵退税转移支付收入</w:t>
      </w:r>
      <w:r>
        <w:rPr>
          <w:rFonts w:hint="eastAsia" w:ascii="Times New Roman" w:hAnsi="Times New Roman" w:eastAsia="仿宋_GB2312"/>
          <w:lang w:val="en-US" w:eastAsia="zh-CN"/>
        </w:rPr>
        <w:t>0</w:t>
      </w:r>
      <w:r>
        <w:rPr>
          <w:rFonts w:hint="eastAsia" w:ascii="Times New Roman" w:hAnsi="Times New Roman" w:eastAsia="仿宋_GB2312"/>
          <w:lang w:eastAsia="zh-CN"/>
        </w:rPr>
        <w:t>万元</w:t>
      </w:r>
      <w:r>
        <w:rPr>
          <w:rFonts w:hint="eastAsia" w:ascii="Times New Roman" w:hAnsi="Times New Roman" w:eastAsia="仿宋_GB2312"/>
          <w:lang w:val="en-US" w:eastAsia="zh-CN"/>
        </w:rPr>
        <w:t>，本年无该项转移性收入。</w:t>
      </w:r>
    </w:p>
    <w:p>
      <w:pPr>
        <w:pStyle w:val="2"/>
        <w:ind w:left="0" w:leftChars="0" w:firstLine="0" w:firstLineChars="0"/>
        <w:rPr>
          <w:rFonts w:hint="eastAsia" w:ascii="Times New Roman" w:hAnsi="Times New Roman" w:eastAsia="仿宋_GB2312"/>
          <w:lang w:val="en-US" w:eastAsia="zh-CN"/>
        </w:rPr>
      </w:pPr>
      <w:r>
        <w:rPr>
          <w:rFonts w:hint="eastAsia" w:ascii="Times New Roman" w:hAnsi="Times New Roman" w:eastAsia="仿宋_GB2312" w:cstheme="minorBidi"/>
          <w:kern w:val="2"/>
          <w:sz w:val="32"/>
          <w:szCs w:val="22"/>
          <w:lang w:val="en-US" w:eastAsia="zh-CN" w:bidi="ar-SA"/>
        </w:rPr>
        <w:t>（24）其他退税减税降费转移支付收入0万元，</w:t>
      </w:r>
      <w:r>
        <w:rPr>
          <w:rFonts w:hint="eastAsia" w:ascii="Times New Roman" w:hAnsi="Times New Roman" w:eastAsia="仿宋_GB2312"/>
          <w:lang w:val="en-US" w:eastAsia="zh-CN"/>
        </w:rPr>
        <w:t>本年无该项转移性收入。</w:t>
      </w:r>
    </w:p>
    <w:p>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25）</w:t>
      </w:r>
      <w:r>
        <w:rPr>
          <w:rFonts w:hint="eastAsia" w:ascii="Times New Roman" w:hAnsi="Times New Roman" w:eastAsia="仿宋_GB2312"/>
          <w:lang w:eastAsia="zh-CN"/>
        </w:rPr>
        <w:t>其他一般性转移支付</w:t>
      </w:r>
      <w:r>
        <w:rPr>
          <w:rFonts w:hint="eastAsia" w:ascii="Times New Roman" w:hAnsi="Times New Roman" w:eastAsia="仿宋_GB2312"/>
          <w:lang w:val="en-US" w:eastAsia="zh-CN"/>
        </w:rPr>
        <w:t>2,391</w:t>
      </w:r>
      <w:r>
        <w:rPr>
          <w:rFonts w:hint="eastAsia" w:ascii="Times New Roman" w:hAnsi="Times New Roman" w:eastAsia="仿宋_GB2312"/>
          <w:lang w:eastAsia="zh-CN"/>
        </w:rPr>
        <w:t>万元，下降74.84%。</w:t>
      </w:r>
    </w:p>
    <w:p>
      <w:pPr>
        <w:pStyle w:val="6"/>
        <w:rPr>
          <w:rFonts w:hint="eastAsia"/>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Times New Roman" w:hAnsi="Times New Roman" w:eastAsia="仿宋_GB2312" w:cs="仿宋"/>
          <w:b/>
          <w:bCs/>
          <w:sz w:val="32"/>
          <w:szCs w:val="32"/>
        </w:rPr>
      </w:pPr>
      <w:r>
        <w:rPr>
          <w:rFonts w:hint="default" w:ascii="Times New Roman" w:hAnsi="Times New Roman" w:eastAsia="仿宋_GB2312"/>
          <w:lang w:val="en-US" w:eastAsia="zh-CN"/>
        </w:rPr>
        <w:drawing>
          <wp:anchor distT="0" distB="0" distL="114300" distR="114300" simplePos="0" relativeHeight="251663360" behindDoc="0" locked="0" layoutInCell="1" allowOverlap="1">
            <wp:simplePos x="0" y="0"/>
            <wp:positionH relativeFrom="column">
              <wp:posOffset>-630555</wp:posOffset>
            </wp:positionH>
            <wp:positionV relativeFrom="page">
              <wp:posOffset>1024255</wp:posOffset>
            </wp:positionV>
            <wp:extent cx="6629400" cy="5267960"/>
            <wp:effectExtent l="4445" t="4445" r="10795" b="1587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Times New Roman" w:hAnsi="Times New Roman" w:eastAsia="仿宋_GB2312"/>
          <w:lang w:val="en-US" w:eastAsia="zh-CN"/>
        </w:rPr>
        <w:t>3</w:t>
      </w:r>
      <w:r>
        <w:rPr>
          <w:rFonts w:hint="eastAsia" w:ascii="Times New Roman" w:hAnsi="Times New Roman" w:eastAsia="仿宋_GB2312" w:cs="仿宋"/>
          <w:b/>
          <w:bCs/>
          <w:sz w:val="32"/>
          <w:szCs w:val="32"/>
          <w:lang w:val="en-US" w:eastAsia="zh-CN"/>
        </w:rPr>
        <w:t>、</w:t>
      </w:r>
      <w:r>
        <w:rPr>
          <w:rFonts w:hint="eastAsia" w:ascii="Times New Roman" w:hAnsi="Times New Roman" w:eastAsia="仿宋_GB2312" w:cs="仿宋"/>
          <w:b/>
          <w:bCs/>
          <w:sz w:val="32"/>
          <w:szCs w:val="32"/>
        </w:rPr>
        <w:t>专项转移支付情况</w:t>
      </w:r>
    </w:p>
    <w:p>
      <w:pPr>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2024年</w:t>
      </w:r>
      <w:r>
        <w:rPr>
          <w:rFonts w:hint="eastAsia" w:ascii="Times New Roman" w:hAnsi="Times New Roman" w:eastAsia="仿宋_GB2312" w:cs="仿宋"/>
          <w:sz w:val="32"/>
          <w:szCs w:val="32"/>
        </w:rPr>
        <w:t>，上级下达我县专项转移支付</w:t>
      </w:r>
      <w:r>
        <w:rPr>
          <w:rFonts w:hint="eastAsia" w:ascii="Times New Roman" w:hAnsi="Times New Roman" w:eastAsia="仿宋_GB2312" w:cs="仿宋"/>
          <w:sz w:val="32"/>
          <w:szCs w:val="32"/>
          <w:lang w:val="en-US" w:eastAsia="zh-CN"/>
        </w:rPr>
        <w:t>64,639</w:t>
      </w:r>
      <w:r>
        <w:rPr>
          <w:rFonts w:hint="eastAsia" w:ascii="Times New Roman" w:hAnsi="Times New Roman" w:eastAsia="仿宋_GB2312" w:cs="仿宋"/>
          <w:sz w:val="32"/>
          <w:szCs w:val="32"/>
        </w:rPr>
        <w:t>万元，比上年</w:t>
      </w:r>
      <w:r>
        <w:rPr>
          <w:rFonts w:hint="eastAsia" w:ascii="Times New Roman" w:hAnsi="Times New Roman" w:eastAsia="仿宋_GB2312" w:cs="仿宋"/>
          <w:sz w:val="32"/>
          <w:szCs w:val="32"/>
          <w:lang w:eastAsia="zh-CN"/>
        </w:rPr>
        <w:t>增加</w:t>
      </w:r>
      <w:r>
        <w:rPr>
          <w:rFonts w:hint="eastAsia" w:ascii="Times New Roman" w:hAnsi="Times New Roman" w:eastAsia="仿宋_GB2312" w:cs="仿宋"/>
          <w:sz w:val="32"/>
          <w:szCs w:val="32"/>
        </w:rPr>
        <w:t>12866万元，</w:t>
      </w:r>
      <w:r>
        <w:rPr>
          <w:rFonts w:hint="eastAsia" w:ascii="Times New Roman" w:hAnsi="Times New Roman" w:eastAsia="仿宋_GB2312" w:cs="仿宋"/>
          <w:sz w:val="32"/>
          <w:szCs w:val="32"/>
          <w:lang w:eastAsia="zh-CN"/>
        </w:rPr>
        <w:t>增长</w:t>
      </w:r>
      <w:r>
        <w:rPr>
          <w:rFonts w:hint="eastAsia" w:ascii="Times New Roman" w:hAnsi="Times New Roman" w:eastAsia="仿宋_GB2312" w:cs="仿宋"/>
          <w:sz w:val="32"/>
          <w:szCs w:val="32"/>
          <w:lang w:val="en-US" w:eastAsia="zh-CN"/>
        </w:rPr>
        <w:t>24.85%</w:t>
      </w:r>
      <w:r>
        <w:rPr>
          <w:rFonts w:hint="eastAsia" w:ascii="Times New Roman" w:hAnsi="Times New Roman" w:eastAsia="仿宋_GB2312" w:cs="仿宋"/>
          <w:sz w:val="32"/>
          <w:szCs w:val="32"/>
        </w:rPr>
        <w:t>。</w:t>
      </w:r>
      <w:r>
        <w:rPr>
          <w:rFonts w:hint="eastAsia" w:ascii="Times New Roman" w:hAnsi="Times New Roman" w:eastAsia="仿宋_GB2312" w:cs="仿宋"/>
          <w:color w:val="auto"/>
          <w:sz w:val="32"/>
          <w:szCs w:val="32"/>
          <w:lang w:eastAsia="zh-CN"/>
        </w:rPr>
        <w:t>主要是因为节能环保</w:t>
      </w:r>
      <w:r>
        <w:rPr>
          <w:rFonts w:hint="eastAsia" w:ascii="Times New Roman" w:hAnsi="Times New Roman" w:eastAsia="仿宋_GB2312" w:cs="仿宋"/>
          <w:color w:val="auto"/>
          <w:sz w:val="32"/>
          <w:szCs w:val="32"/>
        </w:rPr>
        <w:t>、交通运输等</w:t>
      </w:r>
      <w:r>
        <w:rPr>
          <w:rFonts w:hint="eastAsia" w:ascii="Times New Roman" w:hAnsi="Times New Roman" w:eastAsia="仿宋_GB2312" w:cs="仿宋"/>
          <w:color w:val="auto"/>
          <w:sz w:val="32"/>
          <w:szCs w:val="32"/>
          <w:lang w:eastAsia="zh-CN"/>
        </w:rPr>
        <w:t>下降</w:t>
      </w:r>
      <w:r>
        <w:rPr>
          <w:rFonts w:hint="eastAsia" w:ascii="Times New Roman" w:hAnsi="Times New Roman" w:eastAsia="仿宋_GB2312" w:cs="仿宋"/>
          <w:color w:val="auto"/>
          <w:sz w:val="32"/>
          <w:szCs w:val="32"/>
        </w:rPr>
        <w:t>幅度较大</w:t>
      </w:r>
      <w:r>
        <w:rPr>
          <w:rFonts w:hint="eastAsia" w:ascii="Times New Roman" w:hAnsi="Times New Roman" w:eastAsia="仿宋_GB2312" w:cs="仿宋"/>
          <w:color w:val="auto"/>
          <w:sz w:val="32"/>
          <w:szCs w:val="32"/>
          <w:lang w:eastAsia="zh-CN"/>
        </w:rPr>
        <w:t>。</w:t>
      </w:r>
      <w:r>
        <w:rPr>
          <w:rFonts w:hint="eastAsia" w:ascii="Times New Roman" w:hAnsi="Times New Roman" w:eastAsia="仿宋_GB2312" w:cs="仿宋"/>
          <w:color w:val="auto"/>
          <w:sz w:val="32"/>
          <w:szCs w:val="32"/>
        </w:rPr>
        <w:t>具体</w:t>
      </w:r>
      <w:r>
        <w:rPr>
          <w:rFonts w:hint="eastAsia" w:ascii="Times New Roman" w:hAnsi="Times New Roman" w:eastAsia="仿宋_GB2312" w:cs="仿宋"/>
          <w:color w:val="auto"/>
          <w:sz w:val="32"/>
          <w:szCs w:val="32"/>
          <w:lang w:eastAsia="zh-CN"/>
        </w:rPr>
        <w:t>明细情况</w:t>
      </w:r>
      <w:r>
        <w:rPr>
          <w:rFonts w:hint="eastAsia" w:ascii="Times New Roman" w:hAnsi="Times New Roman" w:eastAsia="仿宋_GB2312" w:cs="仿宋"/>
          <w:color w:val="auto"/>
          <w:sz w:val="32"/>
          <w:szCs w:val="32"/>
        </w:rPr>
        <w:t>如下：</w:t>
      </w:r>
    </w:p>
    <w:p>
      <w:pPr>
        <w:numPr>
          <w:ilvl w:val="0"/>
          <w:numId w:val="1"/>
        </w:numPr>
        <w:rPr>
          <w:rFonts w:hint="eastAsia" w:ascii="Times New Roman" w:hAnsi="Times New Roman" w:eastAsia="仿宋_GB2312" w:cs="仿宋"/>
          <w:sz w:val="32"/>
          <w:szCs w:val="32"/>
        </w:rPr>
      </w:pPr>
      <w:r>
        <w:rPr>
          <w:rFonts w:hint="eastAsia" w:ascii="Times New Roman" w:hAnsi="Times New Roman" w:eastAsia="仿宋_GB2312" w:cs="仿宋"/>
          <w:sz w:val="32"/>
          <w:szCs w:val="32"/>
        </w:rPr>
        <w:t>一般公共服务</w:t>
      </w:r>
      <w:r>
        <w:rPr>
          <w:rFonts w:hint="eastAsia" w:ascii="Times New Roman" w:hAnsi="Times New Roman" w:eastAsia="仿宋_GB2312" w:cs="仿宋"/>
          <w:sz w:val="32"/>
          <w:szCs w:val="32"/>
          <w:lang w:val="en-US" w:eastAsia="zh-CN"/>
        </w:rPr>
        <w:t>1,517</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增长</w:t>
      </w:r>
      <w:r>
        <w:rPr>
          <w:rFonts w:hint="eastAsia" w:ascii="Times New Roman" w:hAnsi="Times New Roman" w:eastAsia="仿宋_GB2312" w:cs="仿宋"/>
          <w:sz w:val="32"/>
          <w:szCs w:val="32"/>
          <w:lang w:val="en-US" w:eastAsia="zh-CN"/>
        </w:rPr>
        <w:t>11.46%</w:t>
      </w:r>
      <w:r>
        <w:rPr>
          <w:rFonts w:hint="eastAsia" w:ascii="Times New Roman" w:hAnsi="Times New Roman" w:eastAsia="仿宋_GB2312" w:cs="仿宋"/>
          <w:sz w:val="32"/>
          <w:szCs w:val="32"/>
        </w:rPr>
        <w:t>。</w:t>
      </w:r>
    </w:p>
    <w:p>
      <w:pPr>
        <w:numPr>
          <w:ilvl w:val="0"/>
          <w:numId w:val="1"/>
        </w:numPr>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国防</w:t>
      </w:r>
      <w:r>
        <w:rPr>
          <w:rFonts w:hint="eastAsia" w:ascii="Times New Roman" w:hAnsi="Times New Roman" w:eastAsia="仿宋_GB2312" w:cs="仿宋"/>
          <w:sz w:val="32"/>
          <w:szCs w:val="32"/>
          <w:lang w:val="en-US" w:eastAsia="zh-CN"/>
        </w:rPr>
        <w:t>20万元，</w:t>
      </w:r>
      <w:r>
        <w:rPr>
          <w:rFonts w:hint="eastAsia" w:ascii="Times New Roman" w:hAnsi="Times New Roman" w:eastAsia="仿宋_GB2312"/>
          <w:lang w:val="en-US" w:eastAsia="zh-CN"/>
        </w:rPr>
        <w:t>今年新增收入</w:t>
      </w:r>
      <w:r>
        <w:rPr>
          <w:rFonts w:hint="eastAsia" w:ascii="Times New Roman" w:hAnsi="Times New Roman" w:eastAsia="仿宋_GB2312" w:cs="仿宋"/>
          <w:sz w:val="32"/>
          <w:szCs w:val="32"/>
          <w:lang w:eastAsia="zh-CN"/>
        </w:rPr>
        <w:t>。</w:t>
      </w:r>
    </w:p>
    <w:p>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公共安全</w:t>
      </w:r>
      <w:r>
        <w:rPr>
          <w:rFonts w:hint="eastAsia" w:ascii="Times New Roman" w:hAnsi="Times New Roman" w:eastAsia="仿宋_GB2312" w:cs="仿宋"/>
          <w:sz w:val="32"/>
          <w:szCs w:val="32"/>
          <w:lang w:val="en-US" w:eastAsia="zh-CN"/>
        </w:rPr>
        <w:t>62</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下降</w:t>
      </w:r>
      <w:r>
        <w:rPr>
          <w:rFonts w:hint="eastAsia" w:ascii="Times New Roman" w:hAnsi="Times New Roman" w:eastAsia="仿宋_GB2312" w:cs="仿宋"/>
          <w:sz w:val="32"/>
          <w:szCs w:val="32"/>
          <w:lang w:val="en-US" w:eastAsia="zh-CN"/>
        </w:rPr>
        <w:t>59.21%</w:t>
      </w:r>
      <w:r>
        <w:rPr>
          <w:rFonts w:hint="eastAsia" w:ascii="Times New Roman" w:hAnsi="Times New Roman" w:eastAsia="仿宋_GB2312" w:cs="仿宋"/>
          <w:sz w:val="32"/>
          <w:szCs w:val="32"/>
        </w:rPr>
        <w:t>。</w:t>
      </w:r>
    </w:p>
    <w:p>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4）</w:t>
      </w:r>
      <w:r>
        <w:rPr>
          <w:rFonts w:hint="eastAsia" w:ascii="Times New Roman" w:hAnsi="Times New Roman" w:eastAsia="仿宋_GB2312" w:cs="仿宋"/>
          <w:sz w:val="32"/>
          <w:szCs w:val="32"/>
        </w:rPr>
        <w:t>教育</w:t>
      </w:r>
      <w:r>
        <w:rPr>
          <w:rFonts w:hint="eastAsia" w:ascii="Times New Roman" w:hAnsi="Times New Roman" w:eastAsia="仿宋_GB2312" w:cs="仿宋"/>
          <w:sz w:val="32"/>
          <w:szCs w:val="32"/>
          <w:lang w:val="en-US" w:eastAsia="zh-CN"/>
        </w:rPr>
        <w:t>563</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下降27.45%</w:t>
      </w:r>
      <w:r>
        <w:rPr>
          <w:rFonts w:hint="eastAsia" w:ascii="Times New Roman" w:hAnsi="Times New Roman" w:eastAsia="仿宋_GB2312" w:cs="仿宋"/>
          <w:sz w:val="32"/>
          <w:szCs w:val="32"/>
        </w:rPr>
        <w:t>。</w:t>
      </w:r>
    </w:p>
    <w:p>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科学技术</w:t>
      </w:r>
      <w:r>
        <w:rPr>
          <w:rFonts w:hint="eastAsia" w:ascii="Times New Roman" w:hAnsi="Times New Roman" w:eastAsia="仿宋_GB2312" w:cs="仿宋"/>
          <w:sz w:val="32"/>
          <w:szCs w:val="32"/>
          <w:lang w:val="en-US" w:eastAsia="zh-CN"/>
        </w:rPr>
        <w:t>329</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增长</w:t>
      </w:r>
      <w:r>
        <w:rPr>
          <w:rFonts w:hint="eastAsia" w:ascii="Times New Roman" w:hAnsi="Times New Roman" w:eastAsia="仿宋_GB2312" w:cs="仿宋"/>
          <w:sz w:val="32"/>
          <w:szCs w:val="32"/>
        </w:rPr>
        <w:t>20.07%。</w:t>
      </w:r>
    </w:p>
    <w:p>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文化旅游体育与传媒</w:t>
      </w:r>
      <w:r>
        <w:rPr>
          <w:rFonts w:hint="eastAsia" w:ascii="Times New Roman" w:hAnsi="Times New Roman" w:eastAsia="仿宋_GB2312" w:cs="仿宋"/>
          <w:sz w:val="32"/>
          <w:szCs w:val="32"/>
          <w:lang w:val="en-US" w:eastAsia="zh-CN"/>
        </w:rPr>
        <w:t>291</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下降5.52%</w:t>
      </w:r>
      <w:r>
        <w:rPr>
          <w:rFonts w:hint="eastAsia" w:ascii="Times New Roman" w:hAnsi="Times New Roman" w:eastAsia="仿宋_GB2312" w:cs="仿宋"/>
          <w:sz w:val="32"/>
          <w:szCs w:val="32"/>
        </w:rPr>
        <w:t>。</w:t>
      </w:r>
    </w:p>
    <w:p>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7）</w:t>
      </w:r>
      <w:r>
        <w:rPr>
          <w:rFonts w:hint="eastAsia" w:ascii="Times New Roman" w:hAnsi="Times New Roman" w:eastAsia="仿宋_GB2312" w:cs="仿宋"/>
          <w:sz w:val="32"/>
          <w:szCs w:val="32"/>
        </w:rPr>
        <w:t>社会保障和就业</w:t>
      </w:r>
      <w:r>
        <w:rPr>
          <w:rFonts w:hint="eastAsia" w:ascii="Times New Roman" w:hAnsi="Times New Roman" w:eastAsia="仿宋_GB2312" w:cs="仿宋"/>
          <w:sz w:val="32"/>
          <w:szCs w:val="32"/>
          <w:lang w:val="en-US" w:eastAsia="zh-CN"/>
        </w:rPr>
        <w:t>428</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下降</w:t>
      </w:r>
      <w:r>
        <w:rPr>
          <w:rFonts w:hint="eastAsia" w:ascii="Times New Roman" w:hAnsi="Times New Roman" w:eastAsia="仿宋_GB2312" w:cs="仿宋"/>
          <w:sz w:val="32"/>
          <w:szCs w:val="32"/>
          <w:lang w:val="en-US" w:eastAsia="zh-CN"/>
        </w:rPr>
        <w:t>49.29%</w:t>
      </w:r>
      <w:r>
        <w:rPr>
          <w:rFonts w:hint="eastAsia" w:ascii="Times New Roman" w:hAnsi="Times New Roman" w:eastAsia="仿宋_GB2312" w:cs="仿宋"/>
          <w:sz w:val="32"/>
          <w:szCs w:val="32"/>
        </w:rPr>
        <w:t>。</w:t>
      </w:r>
    </w:p>
    <w:p>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卫生健康</w:t>
      </w:r>
      <w:r>
        <w:rPr>
          <w:rFonts w:hint="eastAsia" w:ascii="Times New Roman" w:hAnsi="Times New Roman" w:eastAsia="仿宋_GB2312" w:cs="仿宋"/>
          <w:sz w:val="32"/>
          <w:szCs w:val="32"/>
          <w:lang w:val="en-US" w:eastAsia="zh-CN"/>
        </w:rPr>
        <w:t>974</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下降39.95%</w:t>
      </w:r>
      <w:r>
        <w:rPr>
          <w:rFonts w:hint="eastAsia" w:ascii="Times New Roman" w:hAnsi="Times New Roman" w:eastAsia="仿宋_GB2312" w:cs="仿宋"/>
          <w:sz w:val="32"/>
          <w:szCs w:val="32"/>
        </w:rPr>
        <w:t>。</w:t>
      </w:r>
    </w:p>
    <w:p>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9）</w:t>
      </w:r>
      <w:r>
        <w:rPr>
          <w:rFonts w:hint="eastAsia" w:ascii="Times New Roman" w:hAnsi="Times New Roman" w:eastAsia="仿宋_GB2312" w:cs="仿宋"/>
          <w:sz w:val="32"/>
          <w:szCs w:val="32"/>
        </w:rPr>
        <w:t>节能环保</w:t>
      </w:r>
      <w:r>
        <w:rPr>
          <w:rFonts w:hint="eastAsia" w:ascii="Times New Roman" w:hAnsi="Times New Roman" w:eastAsia="仿宋_GB2312" w:cs="仿宋"/>
          <w:sz w:val="32"/>
          <w:szCs w:val="32"/>
          <w:lang w:val="en-US" w:eastAsia="zh-CN"/>
        </w:rPr>
        <w:t>14,257</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增长</w:t>
      </w:r>
      <w:r>
        <w:rPr>
          <w:rFonts w:hint="eastAsia" w:ascii="Times New Roman" w:hAnsi="Times New Roman" w:eastAsia="仿宋_GB2312" w:cs="仿宋"/>
          <w:sz w:val="32"/>
          <w:szCs w:val="32"/>
          <w:lang w:val="en-US" w:eastAsia="zh-CN"/>
        </w:rPr>
        <w:t>70.17%</w:t>
      </w:r>
      <w:r>
        <w:rPr>
          <w:rFonts w:hint="eastAsia" w:ascii="Times New Roman" w:hAnsi="Times New Roman" w:eastAsia="仿宋_GB2312" w:cs="仿宋"/>
          <w:sz w:val="32"/>
          <w:szCs w:val="32"/>
        </w:rPr>
        <w:t>。</w:t>
      </w:r>
    </w:p>
    <w:p>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10）</w:t>
      </w:r>
      <w:r>
        <w:rPr>
          <w:rFonts w:hint="eastAsia" w:ascii="Times New Roman" w:hAnsi="Times New Roman" w:eastAsia="仿宋_GB2312" w:cs="仿宋"/>
          <w:sz w:val="32"/>
          <w:szCs w:val="32"/>
        </w:rPr>
        <w:t>城乡社区</w:t>
      </w:r>
      <w:r>
        <w:rPr>
          <w:rFonts w:hint="eastAsia" w:ascii="Times New Roman" w:hAnsi="Times New Roman" w:eastAsia="仿宋_GB2312" w:cs="仿宋"/>
          <w:sz w:val="32"/>
          <w:szCs w:val="32"/>
          <w:lang w:val="en-US" w:eastAsia="zh-CN"/>
        </w:rPr>
        <w:t>1,122</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增长804.84%</w:t>
      </w:r>
      <w:r>
        <w:rPr>
          <w:rFonts w:hint="eastAsia" w:ascii="Times New Roman" w:hAnsi="Times New Roman" w:eastAsia="仿宋_GB2312" w:cs="仿宋"/>
          <w:sz w:val="32"/>
          <w:szCs w:val="32"/>
        </w:rPr>
        <w:t>。</w:t>
      </w:r>
    </w:p>
    <w:p>
      <w:pPr>
        <w:numPr>
          <w:ilvl w:val="0"/>
          <w:numId w:val="0"/>
        </w:numPr>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11）</w:t>
      </w:r>
      <w:r>
        <w:rPr>
          <w:rFonts w:hint="eastAsia" w:ascii="Times New Roman" w:hAnsi="Times New Roman" w:eastAsia="仿宋_GB2312" w:cs="仿宋"/>
          <w:sz w:val="32"/>
          <w:szCs w:val="32"/>
        </w:rPr>
        <w:t>农林水</w:t>
      </w:r>
      <w:r>
        <w:rPr>
          <w:rFonts w:hint="eastAsia" w:ascii="Times New Roman" w:hAnsi="Times New Roman" w:eastAsia="仿宋_GB2312" w:cs="仿宋"/>
          <w:sz w:val="32"/>
          <w:szCs w:val="32"/>
          <w:lang w:val="en-US" w:eastAsia="zh-CN"/>
        </w:rPr>
        <w:t>20,697</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下降</w:t>
      </w:r>
      <w:r>
        <w:rPr>
          <w:rFonts w:hint="eastAsia" w:ascii="Times New Roman" w:hAnsi="Times New Roman" w:eastAsia="仿宋_GB2312" w:cs="仿宋"/>
          <w:sz w:val="32"/>
          <w:szCs w:val="32"/>
          <w:lang w:val="en-US" w:eastAsia="zh-CN"/>
        </w:rPr>
        <w:t>21.90</w:t>
      </w:r>
      <w:r>
        <w:rPr>
          <w:rFonts w:hint="eastAsia" w:ascii="Times New Roman" w:hAnsi="Times New Roman" w:eastAsia="仿宋_GB2312" w:cs="仿宋"/>
          <w:sz w:val="32"/>
          <w:szCs w:val="32"/>
        </w:rPr>
        <w:t>%。</w:t>
      </w:r>
    </w:p>
    <w:p>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交通运输</w:t>
      </w:r>
      <w:r>
        <w:rPr>
          <w:rFonts w:hint="eastAsia" w:ascii="Times New Roman" w:hAnsi="Times New Roman" w:eastAsia="仿宋_GB2312" w:cs="仿宋"/>
          <w:sz w:val="32"/>
          <w:szCs w:val="32"/>
          <w:lang w:val="en-US" w:eastAsia="zh-CN"/>
        </w:rPr>
        <w:t>17,871</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增长3278.26%</w:t>
      </w:r>
      <w:r>
        <w:rPr>
          <w:rFonts w:hint="eastAsia" w:ascii="Times New Roman" w:hAnsi="Times New Roman" w:eastAsia="仿宋_GB2312" w:cs="仿宋"/>
          <w:sz w:val="32"/>
          <w:szCs w:val="32"/>
        </w:rPr>
        <w:t>。</w:t>
      </w:r>
    </w:p>
    <w:p>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13）</w:t>
      </w:r>
      <w:r>
        <w:rPr>
          <w:rFonts w:hint="eastAsia" w:ascii="Times New Roman" w:hAnsi="Times New Roman" w:eastAsia="仿宋_GB2312" w:cs="仿宋"/>
          <w:sz w:val="32"/>
          <w:szCs w:val="32"/>
        </w:rPr>
        <w:t>资源勘探信息等</w:t>
      </w:r>
      <w:r>
        <w:rPr>
          <w:rFonts w:hint="eastAsia" w:ascii="Times New Roman" w:hAnsi="Times New Roman" w:eastAsia="仿宋_GB2312" w:cs="仿宋"/>
          <w:sz w:val="32"/>
          <w:szCs w:val="32"/>
          <w:lang w:val="en-US" w:eastAsia="zh-CN"/>
        </w:rPr>
        <w:t>756</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下降</w:t>
      </w:r>
      <w:r>
        <w:rPr>
          <w:rFonts w:hint="eastAsia" w:ascii="Times New Roman" w:hAnsi="Times New Roman" w:eastAsia="仿宋_GB2312" w:cs="仿宋"/>
          <w:sz w:val="32"/>
          <w:szCs w:val="32"/>
          <w:lang w:val="en-US" w:eastAsia="zh-CN"/>
        </w:rPr>
        <w:t>18.53%</w:t>
      </w:r>
      <w:r>
        <w:rPr>
          <w:rFonts w:hint="eastAsia" w:ascii="Times New Roman" w:hAnsi="Times New Roman" w:eastAsia="仿宋_GB2312" w:cs="仿宋"/>
          <w:sz w:val="32"/>
          <w:szCs w:val="32"/>
        </w:rPr>
        <w:t>。</w:t>
      </w:r>
    </w:p>
    <w:p>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14）</w:t>
      </w:r>
      <w:r>
        <w:rPr>
          <w:rFonts w:hint="eastAsia" w:ascii="Times New Roman" w:hAnsi="Times New Roman" w:eastAsia="仿宋_GB2312" w:cs="仿宋"/>
          <w:sz w:val="32"/>
          <w:szCs w:val="32"/>
        </w:rPr>
        <w:t>商业服务业等</w:t>
      </w:r>
      <w:r>
        <w:rPr>
          <w:rFonts w:hint="eastAsia" w:ascii="Times New Roman" w:hAnsi="Times New Roman" w:eastAsia="仿宋_GB2312" w:cs="仿宋"/>
          <w:sz w:val="32"/>
          <w:szCs w:val="32"/>
          <w:lang w:val="en-US" w:eastAsia="zh-CN"/>
        </w:rPr>
        <w:t>705</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增长5.86%</w:t>
      </w:r>
      <w:r>
        <w:rPr>
          <w:rFonts w:hint="eastAsia" w:ascii="Times New Roman" w:hAnsi="Times New Roman" w:eastAsia="仿宋_GB2312" w:cs="仿宋"/>
          <w:sz w:val="32"/>
          <w:szCs w:val="32"/>
        </w:rPr>
        <w:t>。</w:t>
      </w:r>
    </w:p>
    <w:p>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15）</w:t>
      </w:r>
      <w:r>
        <w:rPr>
          <w:rFonts w:hint="eastAsia" w:ascii="Times New Roman" w:hAnsi="Times New Roman" w:eastAsia="仿宋_GB2312" w:cs="仿宋"/>
          <w:sz w:val="32"/>
          <w:szCs w:val="32"/>
        </w:rPr>
        <w:t>金融</w:t>
      </w:r>
      <w:r>
        <w:rPr>
          <w:rFonts w:hint="eastAsia" w:ascii="Times New Roman" w:hAnsi="Times New Roman" w:eastAsia="仿宋_GB2312" w:cs="仿宋"/>
          <w:sz w:val="32"/>
          <w:szCs w:val="32"/>
          <w:lang w:val="en-US" w:eastAsia="zh-CN"/>
        </w:rPr>
        <w:t>25</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增长400.00%</w:t>
      </w:r>
      <w:r>
        <w:rPr>
          <w:rFonts w:hint="eastAsia" w:ascii="Times New Roman" w:hAnsi="Times New Roman" w:eastAsia="仿宋_GB2312" w:cs="仿宋"/>
          <w:sz w:val="32"/>
          <w:szCs w:val="32"/>
        </w:rPr>
        <w:t>。</w:t>
      </w:r>
    </w:p>
    <w:p>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16）</w:t>
      </w:r>
      <w:r>
        <w:rPr>
          <w:rFonts w:hint="eastAsia" w:ascii="Times New Roman" w:hAnsi="Times New Roman" w:eastAsia="仿宋_GB2312" w:cs="仿宋"/>
          <w:sz w:val="32"/>
          <w:szCs w:val="32"/>
        </w:rPr>
        <w:t>自然资源海洋气象等</w:t>
      </w:r>
      <w:r>
        <w:rPr>
          <w:rFonts w:hint="eastAsia" w:ascii="Times New Roman" w:hAnsi="Times New Roman" w:eastAsia="仿宋_GB2312" w:cs="仿宋"/>
          <w:sz w:val="32"/>
          <w:szCs w:val="32"/>
          <w:lang w:val="en-US" w:eastAsia="zh-CN"/>
        </w:rPr>
        <w:t>1,704</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下降</w:t>
      </w:r>
      <w:r>
        <w:rPr>
          <w:rFonts w:hint="eastAsia" w:ascii="Times New Roman" w:hAnsi="Times New Roman" w:eastAsia="仿宋_GB2312" w:cs="仿宋"/>
          <w:sz w:val="32"/>
          <w:szCs w:val="32"/>
        </w:rPr>
        <w:t>53.16%。</w:t>
      </w:r>
    </w:p>
    <w:p>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17）</w:t>
      </w:r>
      <w:r>
        <w:rPr>
          <w:rFonts w:hint="eastAsia" w:ascii="Times New Roman" w:hAnsi="Times New Roman" w:eastAsia="仿宋_GB2312" w:cs="仿宋"/>
          <w:sz w:val="32"/>
          <w:szCs w:val="32"/>
        </w:rPr>
        <w:t>住房保障</w:t>
      </w:r>
      <w:r>
        <w:rPr>
          <w:rFonts w:hint="eastAsia" w:ascii="Times New Roman" w:hAnsi="Times New Roman" w:eastAsia="仿宋_GB2312" w:cs="仿宋"/>
          <w:sz w:val="32"/>
          <w:szCs w:val="32"/>
          <w:lang w:val="en-US" w:eastAsia="zh-CN"/>
        </w:rPr>
        <w:t>1,357</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下降69.88%</w:t>
      </w:r>
      <w:r>
        <w:rPr>
          <w:rFonts w:hint="eastAsia" w:ascii="Times New Roman" w:hAnsi="Times New Roman" w:eastAsia="仿宋_GB2312" w:cs="仿宋"/>
          <w:sz w:val="32"/>
          <w:szCs w:val="32"/>
        </w:rPr>
        <w:t>。</w:t>
      </w:r>
    </w:p>
    <w:p>
      <w:pPr>
        <w:numPr>
          <w:ilvl w:val="0"/>
          <w:numId w:val="0"/>
        </w:numPr>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18）</w:t>
      </w:r>
      <w:r>
        <w:rPr>
          <w:rFonts w:hint="eastAsia" w:ascii="Times New Roman" w:hAnsi="Times New Roman" w:eastAsia="仿宋_GB2312" w:cs="仿宋"/>
          <w:sz w:val="32"/>
          <w:szCs w:val="32"/>
        </w:rPr>
        <w:t>粮油物资储备</w:t>
      </w:r>
      <w:r>
        <w:rPr>
          <w:rFonts w:hint="eastAsia" w:ascii="Times New Roman" w:hAnsi="Times New Roman" w:eastAsia="仿宋_GB2312" w:cs="仿宋"/>
          <w:sz w:val="32"/>
          <w:szCs w:val="32"/>
          <w:lang w:val="en-US" w:eastAsia="zh-CN"/>
        </w:rPr>
        <w:t>560</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下降</w:t>
      </w:r>
      <w:r>
        <w:rPr>
          <w:rFonts w:hint="eastAsia" w:ascii="Times New Roman" w:hAnsi="Times New Roman" w:eastAsia="仿宋_GB2312" w:cs="仿宋"/>
          <w:sz w:val="32"/>
          <w:szCs w:val="32"/>
          <w:lang w:val="en-US" w:eastAsia="zh-CN"/>
        </w:rPr>
        <w:t>39.78%</w:t>
      </w:r>
      <w:r>
        <w:rPr>
          <w:rFonts w:hint="eastAsia" w:ascii="Times New Roman" w:hAnsi="Times New Roman" w:eastAsia="仿宋_GB2312" w:cs="仿宋"/>
          <w:sz w:val="32"/>
          <w:szCs w:val="32"/>
        </w:rPr>
        <w:t>。</w:t>
      </w:r>
    </w:p>
    <w:p>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19）</w:t>
      </w:r>
      <w:r>
        <w:rPr>
          <w:rFonts w:hint="eastAsia" w:ascii="Times New Roman" w:hAnsi="Times New Roman" w:eastAsia="仿宋_GB2312" w:cs="仿宋"/>
          <w:sz w:val="32"/>
          <w:szCs w:val="32"/>
        </w:rPr>
        <w:t>灾害防治及应急管理</w:t>
      </w:r>
      <w:r>
        <w:rPr>
          <w:rFonts w:hint="eastAsia" w:ascii="Times New Roman" w:hAnsi="Times New Roman" w:eastAsia="仿宋_GB2312" w:cs="仿宋"/>
          <w:sz w:val="32"/>
          <w:szCs w:val="32"/>
          <w:lang w:val="en-US" w:eastAsia="zh-CN"/>
        </w:rPr>
        <w:t>1,403</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增长587.75%</w:t>
      </w:r>
      <w:r>
        <w:rPr>
          <w:rFonts w:hint="eastAsia" w:ascii="Times New Roman" w:hAnsi="Times New Roman" w:eastAsia="仿宋_GB2312" w:cs="仿宋"/>
          <w:sz w:val="32"/>
          <w:szCs w:val="32"/>
        </w:rPr>
        <w:t>。</w:t>
      </w:r>
    </w:p>
    <w:p>
      <w:pPr>
        <w:pStyle w:val="2"/>
        <w:ind w:left="0" w:leftChars="0" w:firstLine="0" w:firstLineChars="0"/>
        <w:rPr>
          <w:rFonts w:hint="default" w:eastAsia="仿宋_GB2312"/>
          <w:lang w:val="en-US" w:eastAsia="zh-CN"/>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20</w:t>
      </w:r>
      <w:r>
        <w:rPr>
          <w:rFonts w:hint="eastAsia" w:ascii="Times New Roman" w:hAnsi="Times New Roman" w:eastAsia="仿宋_GB2312" w:cs="仿宋"/>
          <w:sz w:val="32"/>
          <w:szCs w:val="32"/>
          <w:lang w:eastAsia="zh-CN"/>
        </w:rPr>
        <w:t>）其他收入</w:t>
      </w:r>
      <w:r>
        <w:rPr>
          <w:rFonts w:hint="eastAsia" w:ascii="Times New Roman" w:hAnsi="Times New Roman" w:eastAsia="仿宋_GB2312" w:cs="仿宋"/>
          <w:sz w:val="32"/>
          <w:szCs w:val="32"/>
          <w:lang w:val="en-US" w:eastAsia="zh-CN"/>
        </w:rPr>
        <w:t>-2万元，</w:t>
      </w:r>
      <w:r>
        <w:rPr>
          <w:rFonts w:hint="eastAsia" w:ascii="Times New Roman" w:hAnsi="Times New Roman" w:eastAsia="仿宋_GB2312" w:cs="仿宋"/>
          <w:sz w:val="32"/>
          <w:szCs w:val="32"/>
          <w:lang w:eastAsia="zh-CN"/>
        </w:rPr>
        <w:t>下降107.41%</w:t>
      </w:r>
      <w:r>
        <w:rPr>
          <w:rFonts w:hint="eastAsia" w:ascii="Times New Roman" w:hAnsi="Times New Roman" w:eastAsia="仿宋_GB2312" w:cs="仿宋"/>
          <w:sz w:val="32"/>
          <w:szCs w:val="32"/>
          <w:lang w:val="en-US" w:eastAsia="zh-CN"/>
        </w:rPr>
        <w:t>。</w:t>
      </w:r>
    </w:p>
    <w:p>
      <w:pPr>
        <w:numPr>
          <w:ilvl w:val="0"/>
          <w:numId w:val="0"/>
        </w:numPr>
        <w:rPr>
          <w:rFonts w:hint="eastAsia" w:ascii="Times New Roman" w:hAnsi="Times New Roman" w:eastAsia="仿宋_GB2312" w:cs="仿宋"/>
          <w:sz w:val="32"/>
          <w:szCs w:val="32"/>
        </w:rPr>
      </w:pPr>
    </w:p>
    <w:p>
      <w:pPr>
        <w:numPr>
          <w:ilvl w:val="0"/>
          <w:numId w:val="0"/>
        </w:numPr>
        <w:rPr>
          <w:rFonts w:hint="eastAsia" w:ascii="仿宋" w:hAnsi="仿宋" w:eastAsia="仿宋" w:cs="仿宋"/>
          <w:sz w:val="32"/>
          <w:szCs w:val="32"/>
          <w:lang w:eastAsia="zh-CN"/>
        </w:rPr>
      </w:pPr>
      <w:r>
        <w:rPr>
          <w:rFonts w:hint="eastAsia" w:ascii="仿宋" w:hAnsi="仿宋" w:eastAsia="仿宋" w:cs="仿宋"/>
          <w:sz w:val="32"/>
          <w:szCs w:val="32"/>
          <w:lang w:eastAsia="zh-CN"/>
        </w:rPr>
        <w:drawing>
          <wp:anchor distT="0" distB="0" distL="114300" distR="114300" simplePos="0" relativeHeight="251665408" behindDoc="0" locked="0" layoutInCell="1" allowOverlap="1">
            <wp:simplePos x="0" y="0"/>
            <wp:positionH relativeFrom="column">
              <wp:posOffset>-295275</wp:posOffset>
            </wp:positionH>
            <wp:positionV relativeFrom="page">
              <wp:posOffset>1131570</wp:posOffset>
            </wp:positionV>
            <wp:extent cx="6084570" cy="4464050"/>
            <wp:effectExtent l="5080" t="4445" r="6350" b="825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numPr>
          <w:ilvl w:val="0"/>
          <w:numId w:val="0"/>
        </w:numPr>
        <w:rPr>
          <w:rFonts w:hint="eastAsia" w:ascii="楷体" w:hAnsi="楷体" w:eastAsia="楷体_GB2312" w:cs="楷体"/>
          <w:b/>
          <w:bCs/>
          <w:kern w:val="2"/>
          <w:sz w:val="32"/>
          <w:szCs w:val="32"/>
          <w:lang w:val="en-US" w:eastAsia="zh-CN" w:bidi="ar-SA"/>
        </w:rPr>
      </w:pPr>
      <w:r>
        <w:rPr>
          <w:rFonts w:hint="eastAsia" w:ascii="楷体" w:hAnsi="楷体" w:eastAsia="楷体_GB2312" w:cs="楷体"/>
          <w:b/>
          <w:bCs/>
          <w:kern w:val="2"/>
          <w:sz w:val="32"/>
          <w:szCs w:val="32"/>
          <w:lang w:val="en-US" w:eastAsia="zh-CN" w:bidi="ar-SA"/>
        </w:rPr>
        <w:t>（二）政府性基金预算转移支付</w:t>
      </w:r>
    </w:p>
    <w:p>
      <w:pPr>
        <w:widowControl w:val="0"/>
        <w:numPr>
          <w:ilvl w:val="0"/>
          <w:numId w:val="0"/>
        </w:numPr>
        <w:ind w:firstLine="640" w:firstLineChars="200"/>
        <w:jc w:val="both"/>
        <w:rPr>
          <w:rFonts w:hint="eastAsia" w:ascii="Times New Roman" w:hAnsi="Times New Roman" w:eastAsia="仿宋_GB2312"/>
          <w:lang w:val="en-US" w:eastAsia="zh-CN"/>
        </w:rPr>
      </w:pPr>
      <w:r>
        <w:rPr>
          <w:rFonts w:hint="eastAsia" w:ascii="Times New Roman" w:hAnsi="Times New Roman" w:eastAsia="仿宋_GB2312" w:cs="仿宋"/>
          <w:sz w:val="32"/>
          <w:szCs w:val="32"/>
          <w:lang w:val="en-US" w:eastAsia="zh-CN"/>
        </w:rPr>
        <w:t>2024年，我县收到上级下达的政府性基金预算转移支付共42,382万元，比上年减少4,484万元，增长792.63%，主要是因为：上级增加了</w:t>
      </w:r>
      <w:r>
        <w:rPr>
          <w:rFonts w:hint="eastAsia" w:ascii="Times New Roman" w:hAnsi="Times New Roman" w:eastAsia="仿宋_GB2312" w:cs="仿宋"/>
          <w:kern w:val="2"/>
          <w:sz w:val="32"/>
          <w:szCs w:val="32"/>
          <w:lang w:val="en-US" w:eastAsia="zh-CN" w:bidi="ar-SA"/>
        </w:rPr>
        <w:t>国家重大水利工程建设基金相关收入和超长期特别国债相关收入的转移支付。具体明细情况如下：</w:t>
      </w:r>
    </w:p>
    <w:p>
      <w:pPr>
        <w:numPr>
          <w:ilvl w:val="0"/>
          <w:numId w:val="0"/>
        </w:numPr>
        <w:bidi w:val="0"/>
        <w:rPr>
          <w:rFonts w:hint="eastAsia" w:ascii="Times New Roman" w:hAnsi="Times New Roman" w:eastAsia="仿宋_GB2312"/>
          <w:lang w:val="en-US" w:eastAsia="zh-CN"/>
        </w:rPr>
      </w:pPr>
      <w:r>
        <w:rPr>
          <w:rFonts w:hint="eastAsia" w:ascii="Times New Roman" w:hAnsi="Times New Roman" w:eastAsia="仿宋_GB2312"/>
          <w:lang w:val="en-US" w:eastAsia="zh-CN"/>
        </w:rPr>
        <w:t>（1）国家电影事业发展专项资金相关收入90万元，增长1400.00%。</w:t>
      </w:r>
    </w:p>
    <w:p>
      <w:pPr>
        <w:numPr>
          <w:ilvl w:val="0"/>
          <w:numId w:val="0"/>
        </w:numPr>
        <w:bidi w:val="0"/>
        <w:rPr>
          <w:rFonts w:hint="eastAsia" w:ascii="Times New Roman" w:hAnsi="Times New Roman" w:eastAsia="仿宋_GB2312"/>
          <w:lang w:val="en-US" w:eastAsia="zh-CN"/>
        </w:rPr>
      </w:pPr>
      <w:r>
        <w:rPr>
          <w:rFonts w:hint="eastAsia" w:ascii="Times New Roman" w:hAnsi="Times New Roman" w:eastAsia="仿宋_GB2312"/>
          <w:lang w:val="en-US" w:eastAsia="zh-CN"/>
        </w:rPr>
        <w:t>（2）旅游发展基金收入15万元，今年新增收入。</w:t>
      </w:r>
    </w:p>
    <w:p>
      <w:pPr>
        <w:numPr>
          <w:ilvl w:val="0"/>
          <w:numId w:val="0"/>
        </w:numPr>
        <w:bidi w:val="0"/>
        <w:rPr>
          <w:rFonts w:hint="eastAsia" w:ascii="Times New Roman" w:hAnsi="Times New Roman" w:eastAsia="仿宋_GB2312"/>
          <w:lang w:val="en-US" w:eastAsia="zh-CN"/>
        </w:rPr>
      </w:pPr>
      <w:r>
        <w:rPr>
          <w:rFonts w:hint="eastAsia" w:ascii="Times New Roman" w:hAnsi="Times New Roman" w:eastAsia="仿宋_GB2312"/>
          <w:lang w:val="en-US" w:eastAsia="zh-CN"/>
        </w:rPr>
        <w:t>（3）大中型水库移民后期扶持基金收入109万元，下降21.58%。</w:t>
      </w:r>
    </w:p>
    <w:p>
      <w:pPr>
        <w:numPr>
          <w:ilvl w:val="0"/>
          <w:numId w:val="0"/>
        </w:numPr>
        <w:bidi w:val="0"/>
        <w:rPr>
          <w:rFonts w:hint="eastAsia" w:ascii="Times New Roman" w:hAnsi="Times New Roman" w:eastAsia="仿宋_GB2312"/>
          <w:lang w:val="en-US" w:eastAsia="zh-CN"/>
        </w:rPr>
      </w:pPr>
      <w:r>
        <w:rPr>
          <w:rFonts w:hint="eastAsia" w:ascii="Times New Roman" w:hAnsi="Times New Roman" w:eastAsia="仿宋_GB2312"/>
          <w:lang w:val="en-US" w:eastAsia="zh-CN"/>
        </w:rPr>
        <w:t>（4）城市基础设施配套费相关收入20万，增长53.85%。</w:t>
      </w:r>
    </w:p>
    <w:p>
      <w:pPr>
        <w:numPr>
          <w:ilvl w:val="0"/>
          <w:numId w:val="0"/>
        </w:numPr>
        <w:bidi w:val="0"/>
        <w:rPr>
          <w:rFonts w:hint="default" w:ascii="Times New Roman" w:hAnsi="Times New Roman" w:eastAsia="仿宋_GB2312"/>
          <w:lang w:val="en-US" w:eastAsia="zh-CN"/>
        </w:rPr>
      </w:pPr>
      <w:r>
        <w:rPr>
          <w:rFonts w:hint="eastAsia" w:ascii="Times New Roman" w:hAnsi="Times New Roman" w:eastAsia="仿宋_GB2312"/>
          <w:lang w:val="en-US" w:eastAsia="zh-CN"/>
        </w:rPr>
        <w:t>（5）大中型水库库区基金相关收入0万元，今年无该收入。</w:t>
      </w:r>
    </w:p>
    <w:p>
      <w:pPr>
        <w:numPr>
          <w:ilvl w:val="0"/>
          <w:numId w:val="0"/>
        </w:numPr>
        <w:bidi w:val="0"/>
        <w:rPr>
          <w:rFonts w:hint="eastAsia" w:ascii="Times New Roman" w:hAnsi="Times New Roman" w:eastAsia="仿宋_GB2312"/>
          <w:lang w:val="en-US" w:eastAsia="zh-CN"/>
        </w:rPr>
      </w:pPr>
      <w:r>
        <w:rPr>
          <w:rFonts w:hint="eastAsia" w:ascii="Times New Roman" w:hAnsi="Times New Roman" w:eastAsia="仿宋_GB2312"/>
          <w:lang w:val="en-US" w:eastAsia="zh-CN"/>
        </w:rPr>
        <w:t>（6）国家重大水利工程建设基金相关收入13,250万元，增长706.45%。</w:t>
      </w:r>
    </w:p>
    <w:p>
      <w:pPr>
        <w:numPr>
          <w:ilvl w:val="0"/>
          <w:numId w:val="0"/>
        </w:numPr>
        <w:bidi w:val="0"/>
        <w:rPr>
          <w:rFonts w:hint="eastAsia" w:ascii="Times New Roman" w:hAnsi="Times New Roman" w:eastAsia="仿宋_GB2312"/>
          <w:lang w:val="en-US" w:eastAsia="zh-CN"/>
        </w:rPr>
      </w:pPr>
      <w:r>
        <w:rPr>
          <w:rFonts w:hint="eastAsia" w:ascii="Times New Roman" w:hAnsi="Times New Roman" w:eastAsia="仿宋_GB2312"/>
          <w:lang w:val="en-US" w:eastAsia="zh-CN"/>
        </w:rPr>
        <w:t>（7）</w:t>
      </w:r>
      <w:r>
        <w:rPr>
          <w:rFonts w:hint="default" w:ascii="Times New Roman" w:hAnsi="Times New Roman" w:eastAsia="仿宋_GB2312"/>
          <w:lang w:val="en-US" w:eastAsia="zh-CN"/>
        </w:rPr>
        <w:t>彩票发行机构和彩票销售机构的业务费用</w:t>
      </w:r>
      <w:r>
        <w:rPr>
          <w:rFonts w:hint="eastAsia" w:ascii="Times New Roman" w:hAnsi="Times New Roman" w:eastAsia="仿宋_GB2312"/>
          <w:lang w:val="en-US" w:eastAsia="zh-CN"/>
        </w:rPr>
        <w:t>35万元，增长34.62%。</w:t>
      </w:r>
    </w:p>
    <w:p>
      <w:pPr>
        <w:numPr>
          <w:ilvl w:val="0"/>
          <w:numId w:val="0"/>
        </w:numPr>
        <w:bidi w:val="0"/>
        <w:rPr>
          <w:rFonts w:hint="eastAsia" w:ascii="Times New Roman" w:hAnsi="Times New Roman" w:eastAsia="仿宋_GB2312"/>
          <w:lang w:val="en-US" w:eastAsia="zh-CN"/>
        </w:rPr>
      </w:pPr>
      <w:r>
        <w:rPr>
          <w:rFonts w:hint="eastAsia" w:ascii="Times New Roman" w:hAnsi="Times New Roman" w:eastAsia="仿宋_GB2312"/>
          <w:lang w:val="en-US" w:eastAsia="zh-CN"/>
        </w:rPr>
        <w:t>（8）彩票公益金收入1,892万元，下降35.05%。</w:t>
      </w:r>
    </w:p>
    <w:p>
      <w:pPr>
        <w:numPr>
          <w:ilvl w:val="0"/>
          <w:numId w:val="0"/>
        </w:numPr>
        <w:bidi w:val="0"/>
        <w:rPr>
          <w:rFonts w:hint="default" w:ascii="Times New Roman" w:hAnsi="Times New Roman" w:eastAsia="仿宋_GB2312"/>
          <w:lang w:val="en-US" w:eastAsia="zh-CN"/>
        </w:rPr>
      </w:pPr>
      <w:r>
        <w:rPr>
          <w:rFonts w:hint="eastAsia" w:ascii="Times New Roman" w:hAnsi="Times New Roman" w:eastAsia="仿宋_GB2312"/>
          <w:lang w:val="en-US" w:eastAsia="zh-CN"/>
        </w:rPr>
        <w:drawing>
          <wp:anchor distT="0" distB="0" distL="114300" distR="114300" simplePos="0" relativeHeight="251666432" behindDoc="0" locked="0" layoutInCell="1" allowOverlap="1">
            <wp:simplePos x="0" y="0"/>
            <wp:positionH relativeFrom="column">
              <wp:posOffset>-143510</wp:posOffset>
            </wp:positionH>
            <wp:positionV relativeFrom="page">
              <wp:posOffset>5027930</wp:posOffset>
            </wp:positionV>
            <wp:extent cx="5767070" cy="3810000"/>
            <wp:effectExtent l="4445" t="4445" r="19685" b="1460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Times New Roman" w:hAnsi="Times New Roman" w:eastAsia="仿宋_GB2312"/>
          <w:lang w:val="en-US" w:eastAsia="zh-CN"/>
        </w:rPr>
        <w:t>（9）超长期特别国债相关收入26,972元，本年新增收入。</w:t>
      </w:r>
    </w:p>
    <w:p>
      <w:pPr>
        <w:pStyle w:val="6"/>
        <w:keepNext w:val="0"/>
        <w:keepLines w:val="0"/>
        <w:pageBreakBefore w:val="0"/>
        <w:widowControl w:val="0"/>
        <w:kinsoku/>
        <w:wordWrap/>
        <w:overflowPunct/>
        <w:topLinePunct w:val="0"/>
        <w:autoSpaceDE/>
        <w:autoSpaceDN/>
        <w:bidi w:val="0"/>
        <w:adjustRightInd/>
        <w:ind w:left="-960" w:leftChars="-300"/>
        <w:jc w:val="left"/>
        <w:textAlignment w:val="auto"/>
        <w:rPr>
          <w:rFonts w:hint="eastAsia" w:ascii="仿宋" w:hAnsi="仿宋" w:eastAsia="仿宋" w:cs="仿宋"/>
          <w:sz w:val="32"/>
          <w:szCs w:val="32"/>
          <w:lang w:eastAsia="zh-CN"/>
        </w:rPr>
      </w:pPr>
    </w:p>
    <w:p>
      <w:pPr>
        <w:pStyle w:val="6"/>
        <w:keepNext w:val="0"/>
        <w:keepLines w:val="0"/>
        <w:pageBreakBefore w:val="0"/>
        <w:widowControl w:val="0"/>
        <w:kinsoku/>
        <w:wordWrap/>
        <w:overflowPunct/>
        <w:topLinePunct w:val="0"/>
        <w:autoSpaceDE/>
        <w:autoSpaceDN/>
        <w:bidi w:val="0"/>
        <w:adjustRightInd/>
        <w:ind w:left="-960" w:leftChars="-300"/>
        <w:jc w:val="left"/>
        <w:textAlignment w:val="auto"/>
        <w:rPr>
          <w:rFonts w:hint="eastAsia" w:ascii="仿宋" w:hAnsi="仿宋" w:eastAsia="仿宋" w:cs="仿宋"/>
          <w:sz w:val="32"/>
          <w:szCs w:val="32"/>
          <w:lang w:eastAsia="zh-CN"/>
        </w:rPr>
      </w:pPr>
    </w:p>
    <w:p>
      <w:pPr>
        <w:rPr>
          <w:rFonts w:ascii="宋体" w:hAnsi="宋体" w:eastAsia="宋体" w:cs="宋体"/>
          <w:sz w:val="28"/>
          <w:szCs w:val="28"/>
        </w:rPr>
      </w:pPr>
    </w:p>
    <w:p>
      <w:pPr>
        <w:rPr>
          <w:rFonts w:ascii="宋体" w:hAnsi="宋体" w:eastAsia="宋体" w:cs="宋体"/>
          <w:sz w:val="28"/>
          <w:szCs w:val="28"/>
        </w:rPr>
      </w:pPr>
    </w:p>
    <w:p>
      <w:pPr>
        <w:ind w:left="640" w:leftChars="200"/>
        <w:rPr>
          <w:rFonts w:ascii="宋体" w:hAnsi="宋体" w:eastAsia="宋体" w:cs="宋体"/>
          <w:sz w:val="28"/>
          <w:szCs w:val="28"/>
        </w:rPr>
      </w:pPr>
    </w:p>
    <w:p>
      <w:pPr>
        <w:ind w:left="640" w:leftChars="200"/>
        <w:rPr>
          <w:rFonts w:ascii="宋体" w:hAnsi="宋体" w:eastAsia="宋体" w:cs="宋体"/>
          <w:sz w:val="28"/>
          <w:szCs w:val="28"/>
        </w:rPr>
      </w:pPr>
      <w:r>
        <w:rPr>
          <w:sz w:val="21"/>
        </w:rPr>
        <w:pict>
          <v:shape id="_x0000_s2051" o:spid="_x0000_s2051" o:spt="202" type="#_x0000_t202" style="position:absolute;left:0pt;margin-left:-91.4pt;margin-top:5.85pt;height:124.4pt;width:596.95pt;z-index:251660288;mso-width-relative:page;mso-height-relative:page;" fillcolor="#9DC3E6" filled="t" stroked="t" coordsize="21600,21600">
            <v:path/>
            <v:fill type="gradientRadial" on="t" color2="fill lighten(147)" focus="100%" focussize="0f,0f" focusposition="0f,0f" method="linear sigma">
              <o:fill type="gradientCenter" v:ext="backwardCompatible"/>
            </v:fill>
            <v:stroke color="#FFC000"/>
            <v:imagedata o:title=""/>
            <o:lock v:ext="edit" aspectratio="f"/>
            <v:textbox>
              <w:txbxContent>
                <w:p>
                  <w:pPr>
                    <w:keepNext w:val="0"/>
                    <w:keepLines w:val="0"/>
                    <w:pageBreakBefore w:val="0"/>
                    <w:widowControl w:val="0"/>
                    <w:kinsoku/>
                    <w:wordWrap/>
                    <w:overflowPunct/>
                    <w:topLinePunct w:val="0"/>
                    <w:autoSpaceDE/>
                    <w:autoSpaceDN/>
                    <w:bidi w:val="0"/>
                    <w:adjustRightInd/>
                    <w:snapToGrid/>
                    <w:ind w:firstLine="1084" w:firstLineChars="300"/>
                    <w:jc w:val="left"/>
                    <w:textAlignment w:val="auto"/>
                    <w:rPr>
                      <w:rFonts w:hint="eastAsia" w:ascii="黑体" w:hAnsi="黑体" w:eastAsia="黑体" w:cs="黑体"/>
                      <w:b/>
                      <w:sz w:val="36"/>
                      <w:szCs w:val="36"/>
                    </w:rPr>
                  </w:pPr>
                </w:p>
                <w:p>
                  <w:pPr>
                    <w:keepNext w:val="0"/>
                    <w:keepLines w:val="0"/>
                    <w:pageBreakBefore w:val="0"/>
                    <w:widowControl w:val="0"/>
                    <w:kinsoku/>
                    <w:wordWrap/>
                    <w:overflowPunct/>
                    <w:topLinePunct w:val="0"/>
                    <w:autoSpaceDE/>
                    <w:autoSpaceDN/>
                    <w:bidi w:val="0"/>
                    <w:adjustRightInd/>
                    <w:snapToGrid/>
                    <w:ind w:firstLine="1606" w:firstLineChars="400"/>
                    <w:jc w:val="left"/>
                    <w:textAlignment w:val="auto"/>
                    <w:rPr>
                      <w:rFonts w:hint="eastAsia" w:ascii="方正小标宋简体" w:hAnsi="方正小标宋简体" w:eastAsia="方正小标宋简体" w:cs="方正小标宋简体"/>
                      <w:b/>
                      <w:bCs/>
                      <w:i w:val="0"/>
                      <w:iCs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bCs/>
                      <w:i w:val="0"/>
                      <w:iCs w:val="0"/>
                      <w:caps w:val="0"/>
                      <w:color w:val="333333"/>
                      <w:spacing w:val="0"/>
                      <w:kern w:val="0"/>
                      <w:sz w:val="40"/>
                      <w:szCs w:val="40"/>
                      <w:shd w:val="clear" w:color="auto" w:fill="FFFFFF"/>
                      <w:lang w:val="en-US" w:eastAsia="zh-CN" w:bidi="ar"/>
                    </w:rPr>
                    <w:t>二、关于2024年南县“三公”经费支出情况说明</w:t>
                  </w:r>
                </w:p>
                <w:p>
                  <w:pPr>
                    <w:rPr>
                      <w:rFonts w:hint="eastAsia" w:eastAsiaTheme="minorEastAsia"/>
                      <w:lang w:val="en-US" w:eastAsia="zh-CN"/>
                    </w:rPr>
                  </w:pPr>
                </w:p>
              </w:txbxContent>
            </v:textbox>
          </v:shape>
        </w:pict>
      </w:r>
    </w:p>
    <w:p>
      <w:pPr>
        <w:ind w:left="640" w:leftChars="200"/>
        <w:rPr>
          <w:rFonts w:ascii="宋体" w:hAnsi="宋体" w:eastAsia="宋体" w:cs="宋体"/>
          <w:sz w:val="28"/>
          <w:szCs w:val="28"/>
        </w:rPr>
      </w:pPr>
    </w:p>
    <w:p>
      <w:pPr>
        <w:ind w:left="640" w:leftChars="200"/>
        <w:rPr>
          <w:rFonts w:ascii="宋体" w:hAnsi="宋体" w:eastAsia="宋体" w:cs="宋体"/>
          <w:sz w:val="28"/>
          <w:szCs w:val="28"/>
        </w:rPr>
      </w:pPr>
    </w:p>
    <w:p>
      <w:pPr>
        <w:ind w:left="640" w:leftChars="200"/>
        <w:rPr>
          <w:rFonts w:ascii="宋体" w:hAnsi="宋体" w:eastAsia="宋体" w:cs="宋体"/>
          <w:sz w:val="28"/>
          <w:szCs w:val="28"/>
        </w:rPr>
      </w:pPr>
    </w:p>
    <w:p>
      <w:pPr>
        <w:rPr>
          <w:b/>
          <w:sz w:val="30"/>
          <w:szCs w:val="30"/>
        </w:rPr>
      </w:pPr>
    </w:p>
    <w:p>
      <w:pPr>
        <w:bidi w:val="0"/>
        <w:ind w:firstLine="640" w:firstLineChars="200"/>
        <w:rPr>
          <w:rFonts w:hint="eastAsia"/>
          <w:color w:val="auto"/>
          <w:highlight w:val="none"/>
        </w:rPr>
      </w:pPr>
      <w:r>
        <w:rPr>
          <w:rFonts w:hint="eastAsia"/>
          <w:color w:val="auto"/>
          <w:highlight w:val="none"/>
          <w:lang w:eastAsia="zh-CN"/>
        </w:rPr>
        <w:t>2024年</w:t>
      </w:r>
      <w:r>
        <w:rPr>
          <w:rFonts w:hint="eastAsia"/>
          <w:color w:val="auto"/>
          <w:highlight w:val="none"/>
        </w:rPr>
        <w:t>，县本级一般公共预算“三公经费”决算数为</w:t>
      </w:r>
      <w:r>
        <w:rPr>
          <w:rFonts w:hint="eastAsia"/>
          <w:color w:val="auto"/>
          <w:highlight w:val="none"/>
          <w:lang w:val="en-US" w:eastAsia="zh-CN"/>
        </w:rPr>
        <w:t>816</w:t>
      </w:r>
      <w:r>
        <w:rPr>
          <w:rFonts w:hint="eastAsia"/>
          <w:color w:val="auto"/>
          <w:highlight w:val="none"/>
        </w:rPr>
        <w:t>万元，为预算数</w:t>
      </w:r>
      <w:r>
        <w:rPr>
          <w:rFonts w:hint="eastAsia"/>
          <w:color w:val="auto"/>
          <w:highlight w:val="none"/>
          <w:lang w:val="en-US" w:eastAsia="zh-CN"/>
        </w:rPr>
        <w:t>988</w:t>
      </w:r>
      <w:r>
        <w:rPr>
          <w:rFonts w:hint="eastAsia"/>
          <w:color w:val="auto"/>
          <w:highlight w:val="none"/>
        </w:rPr>
        <w:t>万元的</w:t>
      </w:r>
      <w:r>
        <w:rPr>
          <w:rFonts w:hint="eastAsia"/>
          <w:color w:val="auto"/>
          <w:highlight w:val="none"/>
          <w:lang w:val="en-US" w:eastAsia="zh-CN"/>
        </w:rPr>
        <w:t>82.59</w:t>
      </w:r>
      <w:r>
        <w:rPr>
          <w:rFonts w:hint="eastAsia"/>
          <w:color w:val="auto"/>
          <w:highlight w:val="none"/>
        </w:rPr>
        <w:t>%。其中：</w:t>
      </w:r>
    </w:p>
    <w:p>
      <w:pPr>
        <w:bidi w:val="0"/>
        <w:ind w:firstLine="640" w:firstLineChars="200"/>
        <w:rPr>
          <w:rFonts w:hint="eastAsia"/>
          <w:color w:val="auto"/>
          <w:highlight w:val="none"/>
        </w:rPr>
      </w:pPr>
      <w:r>
        <w:rPr>
          <w:rFonts w:hint="eastAsia"/>
          <w:color w:val="auto"/>
          <w:highlight w:val="none"/>
        </w:rPr>
        <w:t>公务接待费</w:t>
      </w:r>
      <w:r>
        <w:rPr>
          <w:rFonts w:hint="eastAsia"/>
          <w:color w:val="auto"/>
          <w:highlight w:val="none"/>
          <w:lang w:val="en-US" w:eastAsia="zh-CN"/>
        </w:rPr>
        <w:t>238</w:t>
      </w:r>
      <w:r>
        <w:rPr>
          <w:rFonts w:hint="eastAsia"/>
          <w:color w:val="auto"/>
          <w:highlight w:val="none"/>
        </w:rPr>
        <w:t>万元，为预算数</w:t>
      </w:r>
      <w:r>
        <w:rPr>
          <w:rFonts w:hint="eastAsia"/>
          <w:color w:val="auto"/>
          <w:highlight w:val="none"/>
          <w:lang w:val="en-US" w:eastAsia="zh-CN"/>
        </w:rPr>
        <w:t>368</w:t>
      </w:r>
      <w:r>
        <w:rPr>
          <w:rFonts w:hint="eastAsia"/>
          <w:color w:val="auto"/>
          <w:highlight w:val="none"/>
        </w:rPr>
        <w:t>万元的</w:t>
      </w:r>
      <w:r>
        <w:rPr>
          <w:rFonts w:hint="eastAsia"/>
          <w:color w:val="auto"/>
          <w:highlight w:val="none"/>
          <w:lang w:val="en-US" w:eastAsia="zh-CN"/>
        </w:rPr>
        <w:t>64.67</w:t>
      </w:r>
      <w:r>
        <w:rPr>
          <w:rFonts w:hint="eastAsia"/>
          <w:color w:val="auto"/>
          <w:highlight w:val="none"/>
        </w:rPr>
        <w:t>%。</w:t>
      </w:r>
    </w:p>
    <w:p>
      <w:pPr>
        <w:bidi w:val="0"/>
        <w:ind w:firstLine="640" w:firstLineChars="200"/>
        <w:rPr>
          <w:rFonts w:hint="eastAsia"/>
          <w:color w:val="auto"/>
          <w:highlight w:val="none"/>
        </w:rPr>
      </w:pPr>
      <w:r>
        <w:rPr>
          <w:rFonts w:hint="eastAsia"/>
          <w:color w:val="auto"/>
          <w:highlight w:val="none"/>
        </w:rPr>
        <w:t>因公出国（境）费0万元，为预算数0万元的0%。</w:t>
      </w:r>
    </w:p>
    <w:p>
      <w:pPr>
        <w:bidi w:val="0"/>
        <w:ind w:firstLine="640" w:firstLineChars="200"/>
        <w:rPr>
          <w:rFonts w:hint="default" w:eastAsia="仿宋"/>
          <w:color w:val="auto"/>
          <w:highlight w:val="none"/>
          <w:lang w:val="en-US" w:eastAsia="zh-CN"/>
        </w:rPr>
      </w:pPr>
      <w:r>
        <w:rPr>
          <w:rFonts w:hint="eastAsia"/>
          <w:color w:val="auto"/>
          <w:highlight w:val="none"/>
        </w:rPr>
        <w:t>公务用车购置及运行维护费</w:t>
      </w:r>
      <w:r>
        <w:rPr>
          <w:rFonts w:hint="eastAsia"/>
          <w:color w:val="auto"/>
          <w:highlight w:val="none"/>
          <w:lang w:val="en-US" w:eastAsia="zh-CN"/>
        </w:rPr>
        <w:t>578</w:t>
      </w:r>
      <w:r>
        <w:rPr>
          <w:rFonts w:hint="eastAsia"/>
          <w:color w:val="auto"/>
          <w:highlight w:val="none"/>
        </w:rPr>
        <w:t>万元，为预算数</w:t>
      </w:r>
      <w:r>
        <w:rPr>
          <w:rFonts w:hint="eastAsia"/>
          <w:color w:val="auto"/>
          <w:highlight w:val="none"/>
          <w:lang w:val="en-US" w:eastAsia="zh-CN"/>
        </w:rPr>
        <w:t>620</w:t>
      </w:r>
      <w:r>
        <w:rPr>
          <w:rFonts w:hint="eastAsia"/>
          <w:color w:val="auto"/>
          <w:highlight w:val="none"/>
        </w:rPr>
        <w:t>万元的</w:t>
      </w:r>
      <w:r>
        <w:rPr>
          <w:rFonts w:hint="eastAsia"/>
          <w:color w:val="auto"/>
          <w:highlight w:val="none"/>
          <w:lang w:val="en-US" w:eastAsia="zh-CN"/>
        </w:rPr>
        <w:t>93.23</w:t>
      </w:r>
      <w:r>
        <w:rPr>
          <w:rFonts w:hint="eastAsia"/>
          <w:color w:val="auto"/>
          <w:highlight w:val="none"/>
        </w:rPr>
        <w:t>%。</w:t>
      </w:r>
      <w:r>
        <w:rPr>
          <w:rFonts w:hint="eastAsia"/>
          <w:color w:val="auto"/>
          <w:highlight w:val="none"/>
          <w:lang w:eastAsia="zh-CN"/>
        </w:rPr>
        <w:t>其中</w:t>
      </w:r>
      <w:r>
        <w:rPr>
          <w:rFonts w:hint="eastAsia"/>
          <w:color w:val="auto"/>
          <w:highlight w:val="none"/>
        </w:rPr>
        <w:t>公务用车购置</w:t>
      </w:r>
      <w:r>
        <w:rPr>
          <w:rFonts w:hint="eastAsia"/>
          <w:color w:val="auto"/>
          <w:highlight w:val="none"/>
          <w:lang w:eastAsia="zh-CN"/>
        </w:rPr>
        <w:t>费</w:t>
      </w:r>
      <w:r>
        <w:rPr>
          <w:rFonts w:hint="eastAsia"/>
          <w:color w:val="auto"/>
          <w:highlight w:val="none"/>
          <w:lang w:val="en-US" w:eastAsia="zh-CN"/>
        </w:rPr>
        <w:t>0万元，预算未安排资金。公务用车运行费578万元，</w:t>
      </w:r>
      <w:r>
        <w:rPr>
          <w:rFonts w:hint="eastAsia"/>
          <w:color w:val="auto"/>
          <w:highlight w:val="none"/>
        </w:rPr>
        <w:t>为预算数</w:t>
      </w:r>
      <w:r>
        <w:rPr>
          <w:rFonts w:hint="eastAsia"/>
          <w:color w:val="auto"/>
          <w:highlight w:val="none"/>
          <w:lang w:val="en-US" w:eastAsia="zh-CN"/>
        </w:rPr>
        <w:t>620</w:t>
      </w:r>
      <w:r>
        <w:rPr>
          <w:rFonts w:hint="eastAsia"/>
          <w:color w:val="auto"/>
          <w:highlight w:val="none"/>
        </w:rPr>
        <w:t>万元的</w:t>
      </w:r>
      <w:r>
        <w:rPr>
          <w:rFonts w:hint="eastAsia"/>
          <w:color w:val="auto"/>
          <w:highlight w:val="none"/>
          <w:lang w:val="en-US" w:eastAsia="zh-CN"/>
        </w:rPr>
        <w:t>93.23</w:t>
      </w:r>
      <w:r>
        <w:rPr>
          <w:rFonts w:hint="eastAsia"/>
          <w:color w:val="auto"/>
          <w:highlight w:val="none"/>
        </w:rPr>
        <w:t>%。</w:t>
      </w:r>
    </w:p>
    <w:p>
      <w:pPr>
        <w:bidi w:val="0"/>
        <w:ind w:firstLine="640" w:firstLineChars="200"/>
        <w:rPr>
          <w:rFonts w:hint="eastAsia"/>
          <w:color w:val="auto"/>
          <w:highlight w:val="none"/>
        </w:rPr>
      </w:pPr>
      <w:r>
        <w:rPr>
          <w:rFonts w:hint="eastAsia"/>
          <w:color w:val="auto"/>
          <w:highlight w:val="none"/>
        </w:rPr>
        <w:t>我县“三公”经费下降主要是各预算单位严格按照中央八项规定和厉行节约要求，从严编列预算，从紧安排开支，确保了只减不增。</w:t>
      </w:r>
    </w:p>
    <w:p>
      <w:pPr>
        <w:pStyle w:val="2"/>
        <w:rPr>
          <w:rFonts w:hint="eastAsia"/>
          <w:highlight w:val="none"/>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10"/>
        <w:tblW w:w="96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4"/>
        <w:gridCol w:w="810"/>
        <w:gridCol w:w="780"/>
        <w:gridCol w:w="780"/>
        <w:gridCol w:w="780"/>
        <w:gridCol w:w="780"/>
        <w:gridCol w:w="907"/>
        <w:gridCol w:w="653"/>
        <w:gridCol w:w="780"/>
        <w:gridCol w:w="780"/>
        <w:gridCol w:w="780"/>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9624" w:type="dxa"/>
            <w:gridSpan w:val="12"/>
            <w:tcBorders>
              <w:top w:val="nil"/>
              <w:left w:val="nil"/>
              <w:bottom w:val="nil"/>
              <w:right w:val="nil"/>
            </w:tcBorders>
            <w:shd w:val="clear" w:color="auto" w:fill="auto"/>
            <w:noWrap/>
            <w:tcMar>
              <w:top w:w="0" w:type="dxa"/>
              <w:left w:w="108" w:type="dxa"/>
              <w:bottom w:w="0" w:type="dxa"/>
              <w:right w:w="108" w:type="dxa"/>
            </w:tcMar>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南县“三公"经费支出决算表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014" w:type="dxa"/>
            <w:tcBorders>
              <w:top w:val="nil"/>
              <w:left w:val="nil"/>
              <w:bottom w:val="nil"/>
              <w:right w:val="nil"/>
            </w:tcBorders>
            <w:shd w:val="clear" w:color="auto" w:fill="auto"/>
            <w:noWrap/>
            <w:tcMar>
              <w:top w:w="0" w:type="dxa"/>
              <w:left w:w="108" w:type="dxa"/>
              <w:bottom w:w="0" w:type="dxa"/>
              <w:right w:w="108" w:type="dxa"/>
            </w:tcMar>
            <w:vAlign w:val="bottom"/>
          </w:tcPr>
          <w:p>
            <w:pPr>
              <w:rPr>
                <w:rFonts w:hint="eastAsia" w:ascii="宋体" w:hAnsi="宋体" w:eastAsia="宋体" w:cs="宋体"/>
                <w:i w:val="0"/>
                <w:iCs w:val="0"/>
                <w:color w:val="000000"/>
                <w:sz w:val="20"/>
                <w:szCs w:val="20"/>
                <w:u w:val="none"/>
              </w:rPr>
            </w:pPr>
          </w:p>
        </w:tc>
        <w:tc>
          <w:tcPr>
            <w:tcW w:w="810" w:type="dxa"/>
            <w:tcBorders>
              <w:top w:val="nil"/>
              <w:left w:val="nil"/>
              <w:bottom w:val="nil"/>
              <w:right w:val="nil"/>
            </w:tcBorders>
            <w:shd w:val="clear" w:color="auto" w:fill="auto"/>
            <w:noWrap/>
            <w:tcMar>
              <w:top w:w="0" w:type="dxa"/>
              <w:left w:w="108" w:type="dxa"/>
              <w:bottom w:w="0" w:type="dxa"/>
              <w:right w:w="108" w:type="dxa"/>
            </w:tcMar>
            <w:vAlign w:val="bottom"/>
          </w:tcPr>
          <w:p>
            <w:pPr>
              <w:rPr>
                <w:rFonts w:hint="default" w:ascii="Arial" w:hAnsi="Arial" w:eastAsia="宋体" w:cs="Arial"/>
                <w:i w:val="0"/>
                <w:iCs w:val="0"/>
                <w:color w:val="000000"/>
                <w:sz w:val="20"/>
                <w:szCs w:val="20"/>
                <w:u w:val="none"/>
              </w:rPr>
            </w:pPr>
          </w:p>
        </w:tc>
        <w:tc>
          <w:tcPr>
            <w:tcW w:w="780" w:type="dxa"/>
            <w:tcBorders>
              <w:top w:val="nil"/>
              <w:left w:val="nil"/>
              <w:bottom w:val="nil"/>
              <w:right w:val="nil"/>
            </w:tcBorders>
            <w:shd w:val="clear" w:color="auto" w:fill="auto"/>
            <w:noWrap/>
            <w:tcMar>
              <w:top w:w="0" w:type="dxa"/>
              <w:left w:w="108" w:type="dxa"/>
              <w:bottom w:w="0" w:type="dxa"/>
              <w:right w:w="108" w:type="dxa"/>
            </w:tcMar>
            <w:vAlign w:val="bottom"/>
          </w:tcPr>
          <w:p>
            <w:pPr>
              <w:rPr>
                <w:rFonts w:hint="default" w:ascii="Arial" w:hAnsi="Arial" w:eastAsia="宋体" w:cs="Arial"/>
                <w:i w:val="0"/>
                <w:iCs w:val="0"/>
                <w:color w:val="000000"/>
                <w:sz w:val="20"/>
                <w:szCs w:val="20"/>
                <w:u w:val="none"/>
              </w:rPr>
            </w:pPr>
          </w:p>
        </w:tc>
        <w:tc>
          <w:tcPr>
            <w:tcW w:w="780" w:type="dxa"/>
            <w:tcBorders>
              <w:top w:val="nil"/>
              <w:left w:val="nil"/>
              <w:bottom w:val="nil"/>
              <w:right w:val="nil"/>
            </w:tcBorders>
            <w:shd w:val="clear" w:color="auto" w:fill="auto"/>
            <w:noWrap/>
            <w:tcMar>
              <w:top w:w="0" w:type="dxa"/>
              <w:left w:w="108" w:type="dxa"/>
              <w:bottom w:w="0" w:type="dxa"/>
              <w:right w:w="108" w:type="dxa"/>
            </w:tcMar>
            <w:vAlign w:val="bottom"/>
          </w:tcPr>
          <w:p>
            <w:pPr>
              <w:rPr>
                <w:rFonts w:hint="default" w:ascii="Arial" w:hAnsi="Arial" w:eastAsia="宋体" w:cs="Arial"/>
                <w:i w:val="0"/>
                <w:iCs w:val="0"/>
                <w:color w:val="000000"/>
                <w:sz w:val="20"/>
                <w:szCs w:val="20"/>
                <w:u w:val="none"/>
              </w:rPr>
            </w:pPr>
          </w:p>
        </w:tc>
        <w:tc>
          <w:tcPr>
            <w:tcW w:w="780" w:type="dxa"/>
            <w:tcBorders>
              <w:top w:val="nil"/>
              <w:left w:val="nil"/>
              <w:bottom w:val="nil"/>
              <w:right w:val="nil"/>
            </w:tcBorders>
            <w:shd w:val="clear" w:color="auto" w:fill="auto"/>
            <w:noWrap/>
            <w:tcMar>
              <w:top w:w="0" w:type="dxa"/>
              <w:left w:w="108" w:type="dxa"/>
              <w:bottom w:w="0" w:type="dxa"/>
              <w:right w:w="108" w:type="dxa"/>
            </w:tcMar>
            <w:vAlign w:val="bottom"/>
          </w:tcPr>
          <w:p>
            <w:pPr>
              <w:rPr>
                <w:rFonts w:hint="default" w:ascii="Arial" w:hAnsi="Arial" w:eastAsia="宋体" w:cs="Arial"/>
                <w:i w:val="0"/>
                <w:iCs w:val="0"/>
                <w:color w:val="000000"/>
                <w:sz w:val="20"/>
                <w:szCs w:val="20"/>
                <w:u w:val="none"/>
              </w:rPr>
            </w:pPr>
          </w:p>
        </w:tc>
        <w:tc>
          <w:tcPr>
            <w:tcW w:w="780" w:type="dxa"/>
            <w:tcBorders>
              <w:top w:val="nil"/>
              <w:left w:val="nil"/>
              <w:bottom w:val="nil"/>
              <w:right w:val="nil"/>
            </w:tcBorders>
            <w:shd w:val="clear" w:color="auto" w:fill="auto"/>
            <w:noWrap/>
            <w:tcMar>
              <w:top w:w="0" w:type="dxa"/>
              <w:left w:w="108" w:type="dxa"/>
              <w:bottom w:w="0" w:type="dxa"/>
              <w:right w:w="108" w:type="dxa"/>
            </w:tcMar>
            <w:vAlign w:val="bottom"/>
          </w:tcPr>
          <w:p>
            <w:pPr>
              <w:rPr>
                <w:rFonts w:hint="default" w:ascii="Arial" w:hAnsi="Arial" w:eastAsia="宋体" w:cs="Arial"/>
                <w:i w:val="0"/>
                <w:iCs w:val="0"/>
                <w:color w:val="000000"/>
                <w:sz w:val="20"/>
                <w:szCs w:val="20"/>
                <w:u w:val="none"/>
              </w:rPr>
            </w:pPr>
          </w:p>
        </w:tc>
        <w:tc>
          <w:tcPr>
            <w:tcW w:w="907" w:type="dxa"/>
            <w:tcBorders>
              <w:top w:val="nil"/>
              <w:left w:val="nil"/>
              <w:bottom w:val="nil"/>
              <w:right w:val="nil"/>
            </w:tcBorders>
            <w:shd w:val="clear" w:color="auto" w:fill="auto"/>
            <w:noWrap/>
            <w:tcMar>
              <w:top w:w="0" w:type="dxa"/>
              <w:left w:w="108" w:type="dxa"/>
              <w:bottom w:w="0" w:type="dxa"/>
              <w:right w:w="108" w:type="dxa"/>
            </w:tcMar>
            <w:vAlign w:val="bottom"/>
          </w:tcPr>
          <w:p>
            <w:pPr>
              <w:rPr>
                <w:rFonts w:hint="default" w:ascii="Arial" w:hAnsi="Arial" w:eastAsia="宋体" w:cs="Arial"/>
                <w:i w:val="0"/>
                <w:iCs w:val="0"/>
                <w:color w:val="000000"/>
                <w:sz w:val="20"/>
                <w:szCs w:val="20"/>
                <w:u w:val="none"/>
              </w:rPr>
            </w:pPr>
          </w:p>
        </w:tc>
        <w:tc>
          <w:tcPr>
            <w:tcW w:w="653" w:type="dxa"/>
            <w:tcBorders>
              <w:top w:val="nil"/>
              <w:left w:val="nil"/>
              <w:bottom w:val="nil"/>
              <w:right w:val="nil"/>
            </w:tcBorders>
            <w:shd w:val="clear" w:color="auto" w:fill="auto"/>
            <w:noWrap/>
            <w:tcMar>
              <w:top w:w="0" w:type="dxa"/>
              <w:left w:w="108" w:type="dxa"/>
              <w:bottom w:w="0" w:type="dxa"/>
              <w:right w:w="108" w:type="dxa"/>
            </w:tcMar>
            <w:vAlign w:val="bottom"/>
          </w:tcPr>
          <w:p>
            <w:pPr>
              <w:rPr>
                <w:rFonts w:hint="default" w:ascii="Arial" w:hAnsi="Arial" w:eastAsia="宋体" w:cs="Arial"/>
                <w:i w:val="0"/>
                <w:iCs w:val="0"/>
                <w:color w:val="000000"/>
                <w:sz w:val="20"/>
                <w:szCs w:val="20"/>
                <w:u w:val="none"/>
              </w:rPr>
            </w:pPr>
          </w:p>
        </w:tc>
        <w:tc>
          <w:tcPr>
            <w:tcW w:w="780" w:type="dxa"/>
            <w:tcBorders>
              <w:top w:val="nil"/>
              <w:left w:val="nil"/>
              <w:bottom w:val="nil"/>
              <w:right w:val="nil"/>
            </w:tcBorders>
            <w:shd w:val="clear" w:color="auto" w:fill="auto"/>
            <w:noWrap/>
            <w:tcMar>
              <w:top w:w="0" w:type="dxa"/>
              <w:left w:w="108" w:type="dxa"/>
              <w:bottom w:w="0" w:type="dxa"/>
              <w:right w:w="108" w:type="dxa"/>
            </w:tcMar>
            <w:vAlign w:val="bottom"/>
          </w:tcPr>
          <w:p>
            <w:pPr>
              <w:rPr>
                <w:rFonts w:hint="default" w:ascii="Arial" w:hAnsi="Arial" w:eastAsia="宋体" w:cs="Arial"/>
                <w:i w:val="0"/>
                <w:iCs w:val="0"/>
                <w:color w:val="000000"/>
                <w:sz w:val="20"/>
                <w:szCs w:val="20"/>
                <w:u w:val="none"/>
              </w:rPr>
            </w:pPr>
          </w:p>
        </w:tc>
        <w:tc>
          <w:tcPr>
            <w:tcW w:w="780" w:type="dxa"/>
            <w:tcBorders>
              <w:top w:val="nil"/>
              <w:left w:val="nil"/>
              <w:bottom w:val="nil"/>
              <w:right w:val="nil"/>
            </w:tcBorders>
            <w:shd w:val="clear" w:color="auto" w:fill="auto"/>
            <w:noWrap/>
            <w:tcMar>
              <w:top w:w="0" w:type="dxa"/>
              <w:left w:w="108" w:type="dxa"/>
              <w:bottom w:w="0" w:type="dxa"/>
              <w:right w:w="108" w:type="dxa"/>
            </w:tcMar>
            <w:vAlign w:val="bottom"/>
          </w:tcPr>
          <w:p>
            <w:pPr>
              <w:rPr>
                <w:rFonts w:hint="default" w:ascii="Arial" w:hAnsi="Arial" w:eastAsia="宋体" w:cs="Arial"/>
                <w:i w:val="0"/>
                <w:iCs w:val="0"/>
                <w:color w:val="000000"/>
                <w:sz w:val="20"/>
                <w:szCs w:val="20"/>
                <w:u w:val="none"/>
              </w:rPr>
            </w:pPr>
          </w:p>
        </w:tc>
        <w:tc>
          <w:tcPr>
            <w:tcW w:w="1560" w:type="dxa"/>
            <w:gridSpan w:val="2"/>
            <w:tcBorders>
              <w:top w:val="nil"/>
              <w:left w:val="nil"/>
              <w:bottom w:val="nil"/>
              <w:right w:val="nil"/>
            </w:tcBorders>
            <w:shd w:val="clear" w:color="auto" w:fill="auto"/>
            <w:noWrap/>
            <w:tcMar>
              <w:top w:w="0" w:type="dxa"/>
              <w:left w:w="108" w:type="dxa"/>
              <w:bottom w:w="0" w:type="dxa"/>
              <w:right w:w="108" w:type="dxa"/>
            </w:tcMar>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4944" w:type="dxa"/>
            <w:gridSpan w:val="6"/>
            <w:tcBorders>
              <w:top w:val="single" w:color="000000" w:sz="4" w:space="0"/>
              <w:left w:val="single" w:color="000000" w:sz="4" w:space="0"/>
              <w:bottom w:val="single" w:color="000000" w:sz="4" w:space="0"/>
              <w:right w:val="single" w:color="000000" w:sz="4" w:space="0"/>
            </w:tcBorders>
            <w:shd w:val="clear" w:color="FFFFFF" w:fill="C0C0C0"/>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4680" w:type="dxa"/>
            <w:gridSpan w:val="6"/>
            <w:tcBorders>
              <w:top w:val="single" w:color="000000" w:sz="4" w:space="0"/>
              <w:left w:val="nil"/>
              <w:bottom w:val="single" w:color="000000" w:sz="4" w:space="0"/>
              <w:right w:val="single" w:color="000000" w:sz="4" w:space="0"/>
            </w:tcBorders>
            <w:shd w:val="clear" w:color="FFFFFF" w:fill="C0C0C0"/>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014" w:type="dxa"/>
            <w:vMerge w:val="restart"/>
            <w:tcBorders>
              <w:top w:val="nil"/>
              <w:left w:val="single" w:color="000000" w:sz="4" w:space="0"/>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10" w:type="dxa"/>
            <w:vMerge w:val="restart"/>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340" w:type="dxa"/>
            <w:gridSpan w:val="3"/>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780" w:type="dxa"/>
            <w:vMerge w:val="restart"/>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907" w:type="dxa"/>
            <w:vMerge w:val="restart"/>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53" w:type="dxa"/>
            <w:vMerge w:val="restart"/>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340" w:type="dxa"/>
            <w:gridSpan w:val="3"/>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780" w:type="dxa"/>
            <w:vMerge w:val="restart"/>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jc w:val="center"/>
        </w:trPr>
        <w:tc>
          <w:tcPr>
            <w:tcW w:w="1014" w:type="dxa"/>
            <w:vMerge w:val="continue"/>
            <w:tcBorders>
              <w:top w:val="nil"/>
              <w:left w:val="single" w:color="000000" w:sz="4" w:space="0"/>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810" w:type="dxa"/>
            <w:vMerge w:val="continue"/>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780" w:type="dxa"/>
            <w:tcBorders>
              <w:top w:val="nil"/>
              <w:left w:val="nil"/>
              <w:bottom w:val="single" w:color="000000" w:sz="4" w:space="0"/>
              <w:right w:val="single" w:color="000000" w:sz="4" w:space="0"/>
            </w:tcBorders>
            <w:shd w:val="clear" w:color="FFFFFF" w:fill="C0C0C0"/>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780" w:type="dxa"/>
            <w:vMerge w:val="continue"/>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907" w:type="dxa"/>
            <w:vMerge w:val="continue"/>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653" w:type="dxa"/>
            <w:vMerge w:val="continue"/>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780" w:type="dxa"/>
            <w:vMerge w:val="continue"/>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014" w:type="dxa"/>
            <w:tcBorders>
              <w:top w:val="nil"/>
              <w:left w:val="single" w:color="000000" w:sz="4" w:space="0"/>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1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07"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3"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014" w:type="dxa"/>
            <w:tcBorders>
              <w:top w:val="nil"/>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988.00</w:t>
            </w:r>
          </w:p>
        </w:tc>
        <w:tc>
          <w:tcPr>
            <w:tcW w:w="810"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宋体" w:hAnsi="宋体" w:eastAsia="宋体" w:cs="宋体"/>
                <w:i w:val="0"/>
                <w:iCs w:val="0"/>
                <w:color w:val="auto"/>
                <w:sz w:val="18"/>
                <w:szCs w:val="18"/>
                <w:u w:val="none"/>
                <w:lang w:val="en-US" w:eastAsia="zh-CN"/>
              </w:rPr>
            </w:pPr>
          </w:p>
        </w:tc>
        <w:tc>
          <w:tcPr>
            <w:tcW w:w="780"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620.00</w:t>
            </w:r>
          </w:p>
        </w:tc>
        <w:tc>
          <w:tcPr>
            <w:tcW w:w="780"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i w:val="0"/>
                <w:iCs w:val="0"/>
                <w:color w:val="auto"/>
                <w:sz w:val="18"/>
                <w:szCs w:val="18"/>
                <w:u w:val="none"/>
              </w:rPr>
            </w:pPr>
          </w:p>
        </w:tc>
        <w:tc>
          <w:tcPr>
            <w:tcW w:w="780"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620.00</w:t>
            </w:r>
          </w:p>
        </w:tc>
        <w:tc>
          <w:tcPr>
            <w:tcW w:w="780"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368.00</w:t>
            </w:r>
          </w:p>
        </w:tc>
        <w:tc>
          <w:tcPr>
            <w:tcW w:w="907"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816.00</w:t>
            </w:r>
          </w:p>
        </w:tc>
        <w:tc>
          <w:tcPr>
            <w:tcW w:w="653"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i w:val="0"/>
                <w:iCs w:val="0"/>
                <w:color w:val="000000"/>
                <w:sz w:val="18"/>
                <w:szCs w:val="18"/>
                <w:u w:val="none"/>
              </w:rPr>
            </w:pPr>
          </w:p>
        </w:tc>
        <w:tc>
          <w:tcPr>
            <w:tcW w:w="780"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578.00</w:t>
            </w:r>
          </w:p>
        </w:tc>
        <w:tc>
          <w:tcPr>
            <w:tcW w:w="780"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i w:val="0"/>
                <w:iCs w:val="0"/>
                <w:color w:val="000000"/>
                <w:sz w:val="18"/>
                <w:szCs w:val="18"/>
                <w:u w:val="none"/>
              </w:rPr>
            </w:pPr>
          </w:p>
        </w:tc>
        <w:tc>
          <w:tcPr>
            <w:tcW w:w="780"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578.00</w:t>
            </w:r>
          </w:p>
        </w:tc>
        <w:tc>
          <w:tcPr>
            <w:tcW w:w="780"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238.00</w:t>
            </w:r>
          </w:p>
        </w:tc>
      </w:tr>
    </w:tbl>
    <w:p>
      <w:pPr>
        <w:pStyle w:val="8"/>
        <w:rPr>
          <w:rFonts w:hint="eastAsia"/>
        </w:rPr>
      </w:pPr>
    </w:p>
    <w:p>
      <w:pPr>
        <w:bidi w:val="0"/>
      </w:pPr>
    </w:p>
    <w:p>
      <w:pPr>
        <w:pStyle w:val="2"/>
      </w:pPr>
    </w:p>
    <w:p>
      <w:pPr>
        <w:pStyle w:val="4"/>
      </w:pPr>
    </w:p>
    <w:p>
      <w:pPr>
        <w:pStyle w:val="4"/>
      </w:pPr>
    </w:p>
    <w:p>
      <w:pPr>
        <w:pStyle w:val="4"/>
      </w:pPr>
    </w:p>
    <w:p>
      <w:pPr>
        <w:pStyle w:val="4"/>
      </w:pPr>
    </w:p>
    <w:p>
      <w:pPr>
        <w:pStyle w:val="4"/>
      </w:pPr>
    </w:p>
    <w:p>
      <w:pPr>
        <w:pStyle w:val="4"/>
      </w:pPr>
    </w:p>
    <w:p>
      <w:pPr>
        <w:pStyle w:val="4"/>
        <w:rPr>
          <w:rFonts w:hint="eastAsia"/>
        </w:rPr>
      </w:pPr>
    </w:p>
    <w:p>
      <w:pPr>
        <w:pStyle w:val="4"/>
        <w:rPr>
          <w:rFonts w:hint="eastAsia"/>
        </w:rPr>
      </w:pPr>
    </w:p>
    <w:p>
      <w:pPr>
        <w:pStyle w:val="4"/>
        <w:rPr>
          <w:rFonts w:hint="eastAsia"/>
        </w:rPr>
      </w:pPr>
    </w:p>
    <w:p>
      <w:pPr>
        <w:pStyle w:val="4"/>
        <w:rPr>
          <w:rFonts w:hint="eastAsia"/>
        </w:rPr>
      </w:pPr>
    </w:p>
    <w:p>
      <w:pPr>
        <w:ind w:firstLine="210" w:firstLineChars="100"/>
        <w:rPr>
          <w:b/>
          <w:sz w:val="36"/>
          <w:szCs w:val="36"/>
        </w:rPr>
      </w:pPr>
      <w:r>
        <w:rPr>
          <w:sz w:val="21"/>
        </w:rPr>
        <w:pict>
          <v:shape id="_x0000_s2052" o:spid="_x0000_s2052" o:spt="202" type="#_x0000_t202" style="position:absolute;left:0pt;margin-left:-96.45pt;margin-top:16pt;height:124.4pt;width:596.95pt;z-index:251670528;mso-width-relative:page;mso-height-relative:page;" fillcolor="#9DC3E6" filled="t" stroked="t" coordsize="21600,21600">
            <v:path/>
            <v:fill type="gradientRadial" on="t" color2="fill lighten(147)" focus="100%" focussize="0f,0f" focusposition="0f,0f" method="linear sigma">
              <o:fill type="gradientCenter" v:ext="backwardCompatible"/>
            </v:fill>
            <v:stroke color="#FFC000"/>
            <v:imagedata o:title=""/>
            <o:lock v:ext="edit" aspectratio="f"/>
            <v:textbox>
              <w:txbxContent>
                <w:p>
                  <w:pPr>
                    <w:rPr>
                      <w:rFonts w:hint="eastAsia" w:ascii="黑体" w:hAnsi="黑体" w:eastAsia="黑体" w:cs="黑体"/>
                      <w:b/>
                      <w:sz w:val="44"/>
                      <w:szCs w:val="44"/>
                    </w:rPr>
                  </w:pPr>
                </w:p>
                <w:p>
                  <w:pPr>
                    <w:keepNext w:val="0"/>
                    <w:keepLines w:val="0"/>
                    <w:pageBreakBefore w:val="0"/>
                    <w:widowControl w:val="0"/>
                    <w:kinsoku/>
                    <w:wordWrap/>
                    <w:overflowPunct/>
                    <w:topLinePunct w:val="0"/>
                    <w:autoSpaceDE/>
                    <w:autoSpaceDN/>
                    <w:bidi w:val="0"/>
                    <w:adjustRightInd/>
                    <w:snapToGrid/>
                    <w:ind w:firstLine="1606" w:firstLineChars="400"/>
                    <w:jc w:val="left"/>
                    <w:textAlignment w:val="auto"/>
                    <w:rPr>
                      <w:rFonts w:hint="eastAsia" w:ascii="方正小标宋简体" w:hAnsi="方正小标宋简体" w:eastAsia="方正小标宋简体" w:cs="方正小标宋简体"/>
                      <w:b/>
                      <w:bCs/>
                      <w:i w:val="0"/>
                      <w:iCs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bCs/>
                      <w:i w:val="0"/>
                      <w:iCs w:val="0"/>
                      <w:caps w:val="0"/>
                      <w:color w:val="333333"/>
                      <w:spacing w:val="0"/>
                      <w:kern w:val="0"/>
                      <w:sz w:val="40"/>
                      <w:szCs w:val="40"/>
                      <w:shd w:val="clear" w:color="auto" w:fill="FFFFFF"/>
                      <w:lang w:val="en-US" w:eastAsia="zh-CN" w:bidi="ar"/>
                    </w:rPr>
                    <w:t>三、关于2024年南县政府债务情况说明</w:t>
                  </w:r>
                </w:p>
                <w:p>
                  <w:pPr>
                    <w:keepNext w:val="0"/>
                    <w:keepLines w:val="0"/>
                    <w:pageBreakBefore w:val="0"/>
                    <w:widowControl w:val="0"/>
                    <w:kinsoku/>
                    <w:wordWrap/>
                    <w:overflowPunct/>
                    <w:topLinePunct w:val="0"/>
                    <w:autoSpaceDE/>
                    <w:autoSpaceDN/>
                    <w:bidi w:val="0"/>
                    <w:adjustRightInd/>
                    <w:snapToGrid/>
                    <w:ind w:firstLine="960" w:firstLineChars="300"/>
                    <w:jc w:val="left"/>
                    <w:textAlignment w:val="auto"/>
                  </w:pPr>
                </w:p>
              </w:txbxContent>
            </v:textbox>
          </v:shape>
        </w:pict>
      </w:r>
    </w:p>
    <w:p>
      <w:pPr>
        <w:ind w:firstLine="361" w:firstLineChars="100"/>
        <w:rPr>
          <w:b/>
          <w:sz w:val="36"/>
          <w:szCs w:val="36"/>
        </w:rPr>
      </w:pPr>
    </w:p>
    <w:p>
      <w:pPr>
        <w:ind w:firstLine="361" w:firstLineChars="100"/>
        <w:rPr>
          <w:b/>
          <w:sz w:val="36"/>
          <w:szCs w:val="36"/>
        </w:rPr>
      </w:pPr>
    </w:p>
    <w:p>
      <w:pPr>
        <w:ind w:firstLine="361" w:firstLineChars="100"/>
        <w:rPr>
          <w:b/>
          <w:sz w:val="36"/>
          <w:szCs w:val="36"/>
        </w:rPr>
      </w:pPr>
    </w:p>
    <w:p>
      <w:pPr>
        <w:bidi w:val="0"/>
        <w:rPr>
          <w:rFonts w:hint="eastAsia"/>
        </w:rPr>
      </w:pPr>
    </w:p>
    <w:p>
      <w:pPr>
        <w:bidi w:val="0"/>
        <w:ind w:firstLine="640" w:firstLineChars="200"/>
        <w:rPr>
          <w:rFonts w:hint="eastAsia"/>
        </w:rPr>
      </w:pPr>
      <w:r>
        <w:rPr>
          <w:rFonts w:hint="eastAsia"/>
          <w:lang w:eastAsia="zh-CN"/>
        </w:rPr>
        <w:t>2024年</w:t>
      </w:r>
      <w:r>
        <w:rPr>
          <w:rFonts w:hint="eastAsia"/>
        </w:rPr>
        <w:t>，我县地方政府债务限额</w:t>
      </w:r>
      <w:r>
        <w:rPr>
          <w:rFonts w:hint="eastAsia"/>
          <w:lang w:val="en-US" w:eastAsia="zh-CN"/>
        </w:rPr>
        <w:t>693,294</w:t>
      </w:r>
      <w:r>
        <w:rPr>
          <w:rFonts w:hint="eastAsia"/>
        </w:rPr>
        <w:t>万元，即我县 </w:t>
      </w:r>
      <w:r>
        <w:rPr>
          <w:rFonts w:hint="eastAsia"/>
          <w:lang w:val="en-US" w:eastAsia="zh-CN"/>
        </w:rPr>
        <w:t>2023</w:t>
      </w:r>
      <w:r>
        <w:rPr>
          <w:rFonts w:hint="eastAsia"/>
        </w:rPr>
        <w:t>年政府债务限额567,094万元，</w:t>
      </w:r>
      <w:r>
        <w:rPr>
          <w:rFonts w:hint="eastAsia"/>
          <w:color w:val="auto"/>
        </w:rPr>
        <w:t>加上202</w:t>
      </w:r>
      <w:r>
        <w:rPr>
          <w:rFonts w:hint="eastAsia"/>
          <w:color w:val="auto"/>
          <w:lang w:val="en-US" w:eastAsia="zh-CN"/>
        </w:rPr>
        <w:t>4</w:t>
      </w:r>
      <w:r>
        <w:rPr>
          <w:rFonts w:hint="eastAsia"/>
          <w:color w:val="auto"/>
        </w:rPr>
        <w:t> 年新增债务限额</w:t>
      </w:r>
      <w:r>
        <w:rPr>
          <w:rFonts w:hint="eastAsia"/>
          <w:color w:val="auto"/>
          <w:lang w:val="en-US" w:eastAsia="zh-CN"/>
        </w:rPr>
        <w:t>126,200</w:t>
      </w:r>
      <w:r>
        <w:rPr>
          <w:rFonts w:hint="eastAsia"/>
          <w:color w:val="auto"/>
        </w:rPr>
        <w:t>万元</w:t>
      </w:r>
      <w:r>
        <w:rPr>
          <w:rFonts w:hint="eastAsia"/>
          <w:color w:val="auto"/>
          <w:lang w:eastAsia="zh-CN"/>
        </w:rPr>
        <w:t>，</w:t>
      </w:r>
      <w:r>
        <w:rPr>
          <w:rFonts w:hint="eastAsia"/>
        </w:rPr>
        <w:t>则</w:t>
      </w:r>
      <w:r>
        <w:rPr>
          <w:rFonts w:hint="eastAsia"/>
          <w:lang w:eastAsia="zh-CN"/>
        </w:rPr>
        <w:t>2024年</w:t>
      </w:r>
      <w:r>
        <w:rPr>
          <w:rFonts w:hint="eastAsia"/>
        </w:rPr>
        <w:t>政府债务限额</w:t>
      </w:r>
      <w:r>
        <w:rPr>
          <w:rFonts w:hint="eastAsia"/>
          <w:lang w:val="en-US" w:eastAsia="zh-CN"/>
        </w:rPr>
        <w:t>693,294</w:t>
      </w:r>
      <w:r>
        <w:rPr>
          <w:rFonts w:hint="eastAsia"/>
        </w:rPr>
        <w:t>万元，其中一般债务限额</w:t>
      </w:r>
      <w:r>
        <w:rPr>
          <w:rFonts w:hint="eastAsia"/>
          <w:lang w:val="en-US" w:eastAsia="zh-CN"/>
        </w:rPr>
        <w:t>315,862</w:t>
      </w:r>
      <w:r>
        <w:rPr>
          <w:rFonts w:hint="eastAsia"/>
        </w:rPr>
        <w:t>万元，专项债务限额</w:t>
      </w:r>
      <w:r>
        <w:rPr>
          <w:rFonts w:hint="eastAsia"/>
          <w:lang w:val="en-US" w:eastAsia="zh-CN"/>
        </w:rPr>
        <w:t>377,432</w:t>
      </w:r>
      <w:r>
        <w:rPr>
          <w:rFonts w:hint="eastAsia"/>
        </w:rPr>
        <w:t>万元。</w:t>
      </w:r>
    </w:p>
    <w:p>
      <w:pPr>
        <w:bidi w:val="0"/>
        <w:ind w:firstLine="640" w:firstLineChars="200"/>
        <w:rPr>
          <w:rFonts w:hint="eastAsia"/>
        </w:rPr>
      </w:pPr>
      <w:r>
        <w:rPr>
          <w:rFonts w:hint="eastAsia"/>
        </w:rPr>
        <w:t>根据上述限额，202</w:t>
      </w:r>
      <w:r>
        <w:rPr>
          <w:rFonts w:hint="eastAsia"/>
          <w:lang w:val="en-US" w:eastAsia="zh-CN"/>
        </w:rPr>
        <w:t>4</w:t>
      </w:r>
      <w:r>
        <w:rPr>
          <w:rFonts w:hint="eastAsia"/>
        </w:rPr>
        <w:t>年我县新增</w:t>
      </w:r>
      <w:r>
        <w:rPr>
          <w:rFonts w:hint="eastAsia"/>
          <w:lang w:eastAsia="zh-CN"/>
        </w:rPr>
        <w:t>一般</w:t>
      </w:r>
      <w:r>
        <w:rPr>
          <w:rFonts w:hint="eastAsia"/>
        </w:rPr>
        <w:t>债券</w:t>
      </w:r>
      <w:r>
        <w:rPr>
          <w:rFonts w:hint="eastAsia"/>
          <w:lang w:val="en-US" w:eastAsia="zh-CN"/>
        </w:rPr>
        <w:t>22,800</w:t>
      </w:r>
      <w:r>
        <w:rPr>
          <w:rFonts w:hint="eastAsia"/>
        </w:rPr>
        <w:t>万元，新增</w:t>
      </w:r>
      <w:r>
        <w:rPr>
          <w:rFonts w:hint="eastAsia"/>
          <w:lang w:eastAsia="zh-CN"/>
        </w:rPr>
        <w:t>专项</w:t>
      </w:r>
      <w:r>
        <w:rPr>
          <w:rFonts w:hint="eastAsia"/>
        </w:rPr>
        <w:t>债券</w:t>
      </w:r>
      <w:r>
        <w:rPr>
          <w:rFonts w:hint="eastAsia"/>
          <w:lang w:val="en-US" w:eastAsia="zh-CN"/>
        </w:rPr>
        <w:t>78,300</w:t>
      </w:r>
      <w:r>
        <w:rPr>
          <w:rFonts w:hint="eastAsia"/>
        </w:rPr>
        <w:t>万元，</w:t>
      </w:r>
      <w:r>
        <w:rPr>
          <w:rFonts w:hint="eastAsia"/>
          <w:lang w:eastAsia="zh-CN"/>
        </w:rPr>
        <w:t>特殊</w:t>
      </w:r>
      <w:r>
        <w:rPr>
          <w:rFonts w:hint="eastAsia"/>
        </w:rPr>
        <w:t>再融资债券</w:t>
      </w:r>
      <w:r>
        <w:rPr>
          <w:rFonts w:hint="eastAsia"/>
          <w:lang w:val="en-US" w:eastAsia="zh-CN"/>
        </w:rPr>
        <w:t>25,100</w:t>
      </w:r>
      <w:r>
        <w:rPr>
          <w:rFonts w:hint="eastAsia"/>
        </w:rPr>
        <w:t>万元</w:t>
      </w:r>
      <w:r>
        <w:rPr>
          <w:rFonts w:hint="eastAsia"/>
          <w:lang w:eastAsia="zh-CN"/>
        </w:rPr>
        <w:t>，</w:t>
      </w:r>
      <w:r>
        <w:rPr>
          <w:rFonts w:hint="eastAsia"/>
        </w:rPr>
        <w:t>共计</w:t>
      </w:r>
      <w:r>
        <w:rPr>
          <w:rFonts w:hint="eastAsia"/>
          <w:lang w:val="en-US" w:eastAsia="zh-CN"/>
        </w:rPr>
        <w:t>126,200</w:t>
      </w:r>
      <w:r>
        <w:rPr>
          <w:rFonts w:hint="eastAsia"/>
        </w:rPr>
        <w:t>万元。</w:t>
      </w:r>
    </w:p>
    <w:p>
      <w:pPr>
        <w:bidi w:val="0"/>
        <w:ind w:firstLine="640" w:firstLineChars="200"/>
        <w:rPr>
          <w:rFonts w:hint="eastAsia"/>
        </w:rPr>
      </w:pPr>
      <w:r>
        <w:rPr>
          <w:rFonts w:hint="eastAsia"/>
          <w:lang w:eastAsia="zh-CN"/>
        </w:rPr>
        <w:t>2024年</w:t>
      </w:r>
      <w:r>
        <w:rPr>
          <w:rFonts w:hint="eastAsia"/>
        </w:rPr>
        <w:t>债务还本支出108,220万元，其中:一般债务还本支出</w:t>
      </w:r>
      <w:r>
        <w:rPr>
          <w:rFonts w:hint="eastAsia"/>
          <w:lang w:val="en-US" w:eastAsia="zh-CN"/>
        </w:rPr>
        <w:t>67,770</w:t>
      </w:r>
      <w:r>
        <w:rPr>
          <w:rFonts w:hint="eastAsia"/>
        </w:rPr>
        <w:t>万元，专项债务还本</w:t>
      </w:r>
      <w:r>
        <w:rPr>
          <w:rFonts w:hint="eastAsia"/>
          <w:lang w:val="en-US" w:eastAsia="zh-CN"/>
        </w:rPr>
        <w:t>15,350</w:t>
      </w:r>
      <w:r>
        <w:rPr>
          <w:rFonts w:hint="eastAsia"/>
        </w:rPr>
        <w:t>万元</w:t>
      </w:r>
      <w:r>
        <w:rPr>
          <w:rFonts w:hint="eastAsia"/>
          <w:lang w:val="en-US" w:eastAsia="zh-CN"/>
        </w:rPr>
        <w:t>,本年采用其他方式化解的债务本金特殊再融资25100万元</w:t>
      </w:r>
      <w:r>
        <w:rPr>
          <w:rFonts w:hint="eastAsia"/>
        </w:rPr>
        <w:t>。</w:t>
      </w:r>
    </w:p>
    <w:p>
      <w:pPr>
        <w:bidi w:val="0"/>
        <w:ind w:firstLine="640" w:firstLineChars="200"/>
        <w:rPr>
          <w:rFonts w:hint="eastAsia"/>
        </w:rPr>
      </w:pPr>
      <w:r>
        <w:rPr>
          <w:rFonts w:hint="eastAsia"/>
          <w:lang w:eastAsia="zh-CN"/>
        </w:rPr>
        <w:t>2024年</w:t>
      </w:r>
      <w:r>
        <w:rPr>
          <w:rFonts w:hint="eastAsia"/>
        </w:rPr>
        <w:t>债务付息支出</w:t>
      </w:r>
      <w:r>
        <w:rPr>
          <w:rFonts w:hint="eastAsia"/>
          <w:lang w:val="en-US" w:eastAsia="zh-CN"/>
        </w:rPr>
        <w:t>18,763</w:t>
      </w:r>
      <w:r>
        <w:rPr>
          <w:rFonts w:hint="eastAsia"/>
        </w:rPr>
        <w:t>万元，其中：一般债务付息支出</w:t>
      </w:r>
      <w:r>
        <w:rPr>
          <w:rFonts w:hint="eastAsia"/>
          <w:lang w:val="en-US" w:eastAsia="zh-CN"/>
        </w:rPr>
        <w:t>9,194</w:t>
      </w:r>
      <w:r>
        <w:rPr>
          <w:rFonts w:hint="eastAsia"/>
        </w:rPr>
        <w:t>万元，专项债务付息支出</w:t>
      </w:r>
      <w:r>
        <w:rPr>
          <w:rFonts w:hint="eastAsia"/>
          <w:lang w:val="en-US" w:eastAsia="zh-CN"/>
        </w:rPr>
        <w:t>9,569</w:t>
      </w:r>
      <w:r>
        <w:rPr>
          <w:rFonts w:hint="eastAsia"/>
        </w:rPr>
        <w:t>万元。</w:t>
      </w:r>
    </w:p>
    <w:p>
      <w:pPr>
        <w:bidi w:val="0"/>
        <w:ind w:firstLine="640" w:firstLineChars="200"/>
        <w:rPr>
          <w:rFonts w:hint="eastAsia" w:ascii="仿宋" w:hAnsi="仿宋" w:eastAsia="仿宋" w:cs="仿宋"/>
          <w:color w:val="000000" w:themeColor="text1"/>
          <w:kern w:val="0"/>
          <w:sz w:val="32"/>
          <w:szCs w:val="32"/>
        </w:rPr>
      </w:pPr>
      <w:r>
        <w:rPr>
          <w:rFonts w:hint="eastAsia"/>
        </w:rPr>
        <w:t>截至</w:t>
      </w:r>
      <w:r>
        <w:rPr>
          <w:rFonts w:hint="eastAsia"/>
          <w:lang w:eastAsia="zh-CN"/>
        </w:rPr>
        <w:t>2024年</w:t>
      </w:r>
      <w:r>
        <w:rPr>
          <w:rFonts w:hint="eastAsia"/>
        </w:rPr>
        <w:t>底，我县地方政府债务余额</w:t>
      </w:r>
      <w:r>
        <w:rPr>
          <w:rFonts w:hint="eastAsia"/>
          <w:lang w:val="en-US" w:eastAsia="zh-CN"/>
        </w:rPr>
        <w:t>684,971</w:t>
      </w:r>
      <w:r>
        <w:rPr>
          <w:rFonts w:hint="eastAsia"/>
        </w:rPr>
        <w:t>万元，其中：一般债务余额</w:t>
      </w:r>
      <w:r>
        <w:rPr>
          <w:rFonts w:hint="eastAsia"/>
          <w:lang w:val="en-US" w:eastAsia="zh-CN"/>
        </w:rPr>
        <w:t>315,853</w:t>
      </w:r>
      <w:r>
        <w:rPr>
          <w:rFonts w:hint="eastAsia"/>
        </w:rPr>
        <w:t>万元，专项债务余额</w:t>
      </w:r>
      <w:r>
        <w:rPr>
          <w:rFonts w:hint="eastAsia"/>
          <w:lang w:val="en-US" w:eastAsia="zh-CN"/>
        </w:rPr>
        <w:t>369,118</w:t>
      </w:r>
      <w:r>
        <w:rPr>
          <w:rFonts w:hint="eastAsia"/>
        </w:rPr>
        <w:t>万元。</w:t>
      </w:r>
      <w:r>
        <w:rPr>
          <w:rFonts w:hint="eastAsia"/>
          <w:color w:val="auto"/>
        </w:rPr>
        <w:t>控制在中央核定的债务限额</w:t>
      </w:r>
      <w:r>
        <w:rPr>
          <w:rFonts w:hint="eastAsia"/>
          <w:lang w:val="en-US" w:eastAsia="zh-CN"/>
        </w:rPr>
        <w:t>693,294</w:t>
      </w:r>
      <w:r>
        <w:rPr>
          <w:rFonts w:hint="eastAsia"/>
          <w:color w:val="auto"/>
        </w:rPr>
        <w:t>万元以内。</w:t>
      </w:r>
      <w:r>
        <w:rPr>
          <w:rFonts w:hint="eastAsia"/>
          <w:color w:val="auto"/>
          <w:lang w:eastAsia="zh-CN"/>
        </w:rPr>
        <w:t>2024年</w:t>
      </w:r>
      <w:r>
        <w:rPr>
          <w:rFonts w:hint="eastAsia"/>
          <w:color w:val="auto"/>
        </w:rPr>
        <w:t>平均利率</w:t>
      </w:r>
      <w:r>
        <w:rPr>
          <w:rFonts w:hint="eastAsia"/>
          <w:color w:val="auto"/>
          <w:lang w:val="en-US" w:eastAsia="zh-CN"/>
        </w:rPr>
        <w:t>2.39</w:t>
      </w:r>
      <w:bookmarkStart w:id="0" w:name="_GoBack"/>
      <w:bookmarkEnd w:id="0"/>
      <w:r>
        <w:rPr>
          <w:rFonts w:hint="eastAsia"/>
          <w:color w:val="auto"/>
        </w:rPr>
        <w:t>%。</w:t>
      </w:r>
      <w:r>
        <w:rPr>
          <w:rFonts w:hint="eastAsia"/>
          <w:lang w:val="en-US" w:eastAsia="zh-CN"/>
        </w:rPr>
        <w:t>新增</w:t>
      </w:r>
      <w:r>
        <w:rPr>
          <w:rFonts w:hint="eastAsia"/>
        </w:rPr>
        <w:t>债券从申报到发行再到使用，严格按照省厅下发的专项债券负面清单管理，依法依规用于公益性资本支出，按时按量拨付到项目单位，并对项目单位资金使用进行动态监管，确保债券资金不沉淀，不挪用。</w:t>
      </w:r>
    </w:p>
    <w:p>
      <w:pPr>
        <w:rPr>
          <w:rFonts w:hint="eastAsia"/>
        </w:rPr>
      </w:pPr>
    </w:p>
    <w:p>
      <w:pPr>
        <w:pStyle w:val="6"/>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widowControl/>
        <w:shd w:val="clear" w:color="auto" w:fill="FFFFFF"/>
        <w:spacing w:line="480" w:lineRule="auto"/>
        <w:ind w:firstLine="600" w:firstLineChars="200"/>
        <w:jc w:val="left"/>
        <w:rPr>
          <w:rFonts w:ascii="宋体" w:hAnsi="宋体" w:eastAsia="宋体" w:cs="宋体"/>
          <w:sz w:val="30"/>
          <w:szCs w:val="30"/>
        </w:rPr>
      </w:pPr>
    </w:p>
    <w:p>
      <w:pPr>
        <w:ind w:firstLine="361" w:firstLineChars="100"/>
        <w:rPr>
          <w:b/>
          <w:sz w:val="36"/>
          <w:szCs w:val="36"/>
        </w:rPr>
      </w:pPr>
    </w:p>
    <w:p>
      <w:pPr>
        <w:ind w:firstLine="361" w:firstLineChars="100"/>
        <w:rPr>
          <w:b/>
          <w:sz w:val="36"/>
          <w:szCs w:val="36"/>
        </w:rPr>
      </w:pPr>
    </w:p>
    <w:p>
      <w:pPr>
        <w:ind w:firstLine="361" w:firstLineChars="100"/>
        <w:rPr>
          <w:b/>
          <w:sz w:val="36"/>
          <w:szCs w:val="36"/>
        </w:rPr>
      </w:pPr>
    </w:p>
    <w:p>
      <w:pPr>
        <w:ind w:firstLine="361" w:firstLineChars="100"/>
        <w:rPr>
          <w:b/>
          <w:sz w:val="36"/>
          <w:szCs w:val="36"/>
        </w:rPr>
      </w:pPr>
    </w:p>
    <w:p>
      <w:pPr>
        <w:pStyle w:val="6"/>
        <w:rPr>
          <w:rFonts w:hint="eastAsia" w:eastAsia="仿宋"/>
          <w:lang w:eastAsia="zh-CN"/>
        </w:rPr>
      </w:pPr>
    </w:p>
    <w:p>
      <w:pPr>
        <w:pStyle w:val="5"/>
        <w:rPr>
          <w:rFonts w:hint="eastAsia" w:eastAsia="仿宋"/>
          <w:lang w:eastAsia="zh-CN"/>
        </w:rPr>
      </w:pPr>
    </w:p>
    <w:p>
      <w:pPr>
        <w:rPr>
          <w:rFonts w:hint="eastAsia" w:eastAsia="仿宋"/>
          <w:lang w:eastAsia="zh-CN"/>
        </w:rPr>
      </w:pPr>
    </w:p>
    <w:p/>
    <w:p>
      <w:pPr>
        <w:pStyle w:val="2"/>
      </w:pPr>
    </w:p>
    <w:p>
      <w:pPr>
        <w:rPr>
          <w:b/>
          <w:sz w:val="30"/>
          <w:szCs w:val="30"/>
        </w:rPr>
      </w:pPr>
      <w:r>
        <w:rPr>
          <w:sz w:val="21"/>
        </w:rPr>
        <w:pict>
          <v:shape id="_x0000_s2053" o:spid="_x0000_s2053" o:spt="202" type="#_x0000_t202" style="position:absolute;left:0pt;margin-left:-92.9pt;margin-top:7.9pt;height:124.4pt;width:601.4pt;z-index:251673600;mso-width-relative:page;mso-height-relative:page;" fillcolor="#9DC3E6" filled="t" stroked="t" coordsize="21600,21600" o:gfxdata="UEsDBAoAAAAAAIdO4kAAAAAAAAAAAAAAAAAEAAAAZHJzL1BLAwQUAAAACACHTuJAHVZB5dkAAAAM&#10;AQAADwAAAGRycy9kb3ducmV2LnhtbE2PzU7DMBCE70i8g7WVuLV2ohKiEKcHRBHcoO2FmxsvSdR4&#10;HbLuDzw9zomeVqMZzX5Tri6uFyccufOkIVkoEEi1tx01Gnbb9TwHwcGQNb0n1PCDDKvq9qY0hfVn&#10;+sDTJjQilhAXRkMbwlBIyXWLzvDCD0jR+/KjMyHKsZF2NOdY7nqZKpVJZzqKH1oz4FOL9WFzdBr4&#10;5XU5ouL8bfv7+c3Neveeds9a380S9Qgi4CX8h2HCj+hQRaa9P5Jl0WuYJ/l9ZA/Rme6UUMlDnLfX&#10;kGbLDGRVyusR1R9QSwMEFAAAAAgAh07iQK+HOcp5AgAAJwUAAA4AAABkcnMvZTJvRG9jLnhtbK1U&#10;S27bMBTcF+gdCO4b2UltJ0LsAI3jbIq2aFJ0TUuURIA/kIwtX6C9QVfdZN9z5Rwdkorjpl1kUS/k&#10;p/eGwzfDR51f9EqSDXdeGD2n46MRJVxXpha6ndMvt6s3p5T4wHTNpNF8Tnfc04vF61fnW1vyY9MZ&#10;WXNHQKJ9ubVz2oVgy6LwVccV80fGco1iY5xiAa+uLWrHtmBXsjgejabF1rjaOlNx75Fd5iIdGN1L&#10;CE3TiIovTXWnuA6Z1XHJAiT5TlhPF6nbpuFV+Ng0ngci5xRKQ3piE8Tr+CwW56xsHbOdqIYW2Eta&#10;eKZJMaGx6Z5qyQIjd078RaVE5Yw3TTiqjCqykOQIVIxHz7y56ZjlSQus9nZvuv9/tNWHzSdHRI1J&#10;oEQzhQN/+PH94eevh/tvZBLt2VpfAnVjgQv9O9NH6JD3SEbVfeNU/IcegjrM3e3N5X0gFZKz6cls&#10;dopShdp4Mjs7xQt4iqfl1vlwzY0iMZhTh9NLprLNex8y9BEyeF2vhJTEmfBVhC7ZFfdNRY81OSDW&#10;wLGc9q5dX0pHNgwDcba8PLmaDk20/hA9HsVfYvrXkgRlSjF0xcogdMiMk9n07SwSslLozfWAgMSB&#10;JMmNOyHVPnZoWehIfBxIbqDr1nyGAwTTOnQTR3YIBzewKDcgecTmLMY5+RIrUpMthE6OJzCe4bo2&#10;uCYIlcWRe91mhUaK/Yo/5K5Wl9GGzOsPYfEglsx3WXcqZd1KBO6SAx1n9ZWuSdhZjJXG14TGZhSv&#10;KZEcH58YJWRgQr4ECdekhnlxJvPsxSj06x40MVybeoc5vbNOtB1GKE1qguP+ZNfzXY8X9PA9kT59&#10;3x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B1WQeXZAAAADAEAAA8AAAAAAAAAAQAgAAAAIgAA&#10;AGRycy9kb3ducmV2LnhtbFBLAQIUABQAAAAIAIdO4kCvhznKeQIAACcFAAAOAAAAAAAAAAEAIAAA&#10;ACgBAABkcnMvZTJvRG9jLnhtbFBLBQYAAAAABgAGAFkBAAATBgAAAAA=&#10;">
            <v:path/>
            <v:fill type="gradientRadial" on="t" color2="#C7DCF1" focus="100%" focussize="0f,0f" focusposition="0f,0f">
              <o:fill type="gradientCenter" v:ext="backwardCompatible"/>
            </v:fill>
            <v:stroke color="#FFC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ind w:firstLine="900" w:firstLineChars="300"/>
                    <w:jc w:val="lef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ind w:firstLine="1606" w:firstLineChars="400"/>
                    <w:jc w:val="left"/>
                    <w:textAlignment w:val="auto"/>
                    <w:rPr>
                      <w:rFonts w:hint="eastAsia" w:ascii="方正小标宋简体" w:hAnsi="方正小标宋简体" w:eastAsia="方正小标宋简体" w:cs="方正小标宋简体"/>
                      <w:b/>
                      <w:bCs/>
                      <w:i w:val="0"/>
                      <w:iCs w:val="0"/>
                      <w:caps w:val="0"/>
                      <w:color w:val="333333"/>
                      <w:spacing w:val="0"/>
                      <w:kern w:val="0"/>
                      <w:sz w:val="40"/>
                      <w:szCs w:val="40"/>
                      <w:shd w:val="clear" w:color="auto" w:fill="FFFFFF"/>
                      <w:lang w:val="en-US" w:eastAsia="zh-CN" w:bidi="ar"/>
                    </w:rPr>
                  </w:pPr>
                  <w:r>
                    <w:rPr>
                      <w:rFonts w:hint="eastAsia" w:ascii="方正小标宋简体" w:hAnsi="方正小标宋简体" w:eastAsia="方正小标宋简体" w:cs="方正小标宋简体"/>
                      <w:b/>
                      <w:bCs/>
                      <w:i w:val="0"/>
                      <w:iCs w:val="0"/>
                      <w:caps w:val="0"/>
                      <w:color w:val="333333"/>
                      <w:spacing w:val="0"/>
                      <w:kern w:val="0"/>
                      <w:sz w:val="40"/>
                      <w:szCs w:val="40"/>
                      <w:shd w:val="clear" w:color="auto" w:fill="FFFFFF"/>
                      <w:lang w:val="en-US" w:eastAsia="zh-CN" w:bidi="ar"/>
                    </w:rPr>
                    <w:t>四、关于2024年度南县预算绩效管理工作情况说明</w:t>
                  </w:r>
                </w:p>
                <w:p>
                  <w:pPr>
                    <w:keepNext w:val="0"/>
                    <w:keepLines w:val="0"/>
                    <w:pageBreakBefore w:val="0"/>
                    <w:widowControl w:val="0"/>
                    <w:kinsoku/>
                    <w:wordWrap/>
                    <w:overflowPunct/>
                    <w:topLinePunct w:val="0"/>
                    <w:autoSpaceDE/>
                    <w:autoSpaceDN/>
                    <w:bidi w:val="0"/>
                    <w:adjustRightInd/>
                    <w:snapToGrid/>
                    <w:ind w:firstLine="960" w:firstLineChars="300"/>
                    <w:jc w:val="left"/>
                    <w:textAlignment w:val="auto"/>
                  </w:pPr>
                </w:p>
              </w:txbxContent>
            </v:textbox>
          </v:shape>
        </w:pict>
      </w:r>
    </w:p>
    <w:p>
      <w:pPr>
        <w:rPr>
          <w:b/>
          <w:sz w:val="30"/>
          <w:szCs w:val="30"/>
        </w:rPr>
      </w:pPr>
    </w:p>
    <w:p>
      <w:pPr>
        <w:rPr>
          <w:b/>
          <w:sz w:val="30"/>
          <w:szCs w:val="30"/>
        </w:rPr>
      </w:pPr>
    </w:p>
    <w:p>
      <w:pPr>
        <w:rPr>
          <w:b/>
          <w:sz w:val="30"/>
          <w:szCs w:val="30"/>
        </w:rPr>
      </w:pPr>
    </w:p>
    <w:p>
      <w:pPr>
        <w:spacing w:line="600" w:lineRule="exact"/>
        <w:rPr>
          <w:rFonts w:ascii="仿宋_GB2312" w:hAnsi="仿宋_GB2312" w:eastAsia="仿宋_GB2312" w:cs="仿宋_GB2312"/>
        </w:rPr>
      </w:pPr>
    </w:p>
    <w:p>
      <w:pPr>
        <w:widowControl/>
        <w:shd w:val="clear" w:color="auto" w:fill="FFFFFF"/>
        <w:spacing w:line="480" w:lineRule="auto"/>
        <w:ind w:firstLine="640" w:firstLineChars="200"/>
        <w:jc w:val="left"/>
        <w:rPr>
          <w:rFonts w:hint="eastAsia" w:ascii="仿宋" w:hAnsi="仿宋" w:eastAsia="仿宋" w:cs="仿宋"/>
          <w:color w:val="000000" w:themeColor="text1"/>
          <w:kern w:val="0"/>
          <w:sz w:val="32"/>
          <w:szCs w:val="32"/>
          <w:lang w:val="en-US" w:eastAsia="zh-CN"/>
        </w:rPr>
      </w:pPr>
      <w:r>
        <w:rPr>
          <w:rFonts w:hint="eastAsia" w:ascii="仿宋" w:hAnsi="仿宋" w:eastAsia="仿宋" w:cs="仿宋"/>
          <w:color w:val="000000" w:themeColor="text1"/>
          <w:kern w:val="0"/>
          <w:sz w:val="32"/>
          <w:szCs w:val="32"/>
          <w:lang w:val="en-US" w:eastAsia="zh-CN"/>
        </w:rPr>
        <w:t>（一）绩效目标管理全面开展</w:t>
      </w:r>
    </w:p>
    <w:p>
      <w:pPr>
        <w:widowControl/>
        <w:shd w:val="clear" w:color="auto" w:fill="FFFFFF"/>
        <w:spacing w:line="480" w:lineRule="auto"/>
        <w:ind w:firstLine="640" w:firstLineChars="200"/>
        <w:jc w:val="left"/>
        <w:rPr>
          <w:rFonts w:hint="eastAsia" w:ascii="仿宋" w:hAnsi="仿宋" w:eastAsia="仿宋" w:cs="仿宋"/>
          <w:color w:val="000000" w:themeColor="text1"/>
          <w:kern w:val="0"/>
          <w:sz w:val="32"/>
          <w:szCs w:val="32"/>
          <w:lang w:val="en-US" w:eastAsia="zh-CN"/>
        </w:rPr>
      </w:pPr>
      <w:r>
        <w:rPr>
          <w:rFonts w:hint="eastAsia" w:ascii="仿宋" w:hAnsi="仿宋" w:eastAsia="仿宋" w:cs="仿宋"/>
          <w:color w:val="000000" w:themeColor="text1"/>
          <w:kern w:val="0"/>
          <w:sz w:val="32"/>
          <w:szCs w:val="32"/>
          <w:lang w:val="en-US" w:eastAsia="zh-CN"/>
        </w:rPr>
        <w:t>根据《南县财政局关于做好202</w:t>
      </w:r>
      <w:r>
        <w:rPr>
          <w:rFonts w:hint="eastAsia" w:cs="仿宋"/>
          <w:color w:val="000000" w:themeColor="text1"/>
          <w:kern w:val="0"/>
          <w:sz w:val="32"/>
          <w:szCs w:val="32"/>
          <w:lang w:val="en-US" w:eastAsia="zh-CN"/>
        </w:rPr>
        <w:t>4</w:t>
      </w:r>
      <w:r>
        <w:rPr>
          <w:rFonts w:hint="eastAsia" w:ascii="仿宋" w:hAnsi="仿宋" w:eastAsia="仿宋" w:cs="仿宋"/>
          <w:color w:val="000000" w:themeColor="text1"/>
          <w:kern w:val="0"/>
          <w:sz w:val="32"/>
          <w:szCs w:val="32"/>
          <w:lang w:val="en-US" w:eastAsia="zh-CN"/>
        </w:rPr>
        <w:t>年度预算绩效目标申报工作的通知》文件要求，组织各预算部门对申请预算资金的项目及部门整体支出，同步申报绩效目标。凡是未申报绩效目标的项目，一律不准安排预算资金；绩效指标不完善的项目，一律退回修改至完善方可进入项目库。预算资金的安排充分考虑绩效目标设置情况，将绩效目标管理结果作为预算安排前置条件，确保做到绩效目标覆盖率100%。并将绩效目标情况随预算草案同步报送县人大审批，待预算确定后，将绩效目标随预算情况同步批复至各部门。全年批复的项目支出涉及公安、交通、司法、生态、发改、国土、教育、文化、旅游、卫生、计生、农业、科技等 9</w:t>
      </w:r>
      <w:r>
        <w:rPr>
          <w:rFonts w:hint="eastAsia" w:cs="仿宋"/>
          <w:color w:val="000000" w:themeColor="text1"/>
          <w:kern w:val="0"/>
          <w:sz w:val="32"/>
          <w:szCs w:val="32"/>
          <w:lang w:val="en-US" w:eastAsia="zh-CN"/>
        </w:rPr>
        <w:t>3</w:t>
      </w:r>
      <w:r>
        <w:rPr>
          <w:rFonts w:hint="eastAsia" w:ascii="仿宋" w:hAnsi="仿宋" w:eastAsia="仿宋" w:cs="仿宋"/>
          <w:color w:val="000000" w:themeColor="text1"/>
          <w:kern w:val="0"/>
          <w:sz w:val="32"/>
          <w:szCs w:val="32"/>
          <w:lang w:val="en-US" w:eastAsia="zh-CN"/>
        </w:rPr>
        <w:t>个部门及12个乡镇。</w:t>
      </w:r>
    </w:p>
    <w:p>
      <w:pPr>
        <w:widowControl/>
        <w:shd w:val="clear" w:color="auto" w:fill="FFFFFF"/>
        <w:spacing w:line="480" w:lineRule="auto"/>
        <w:ind w:firstLine="640" w:firstLineChars="200"/>
        <w:jc w:val="left"/>
        <w:rPr>
          <w:rFonts w:hint="eastAsia" w:ascii="仿宋" w:hAnsi="仿宋" w:eastAsia="仿宋" w:cs="仿宋"/>
          <w:color w:val="000000" w:themeColor="text1"/>
          <w:kern w:val="0"/>
          <w:sz w:val="32"/>
          <w:szCs w:val="32"/>
          <w:lang w:val="en-US" w:eastAsia="zh-CN"/>
        </w:rPr>
      </w:pPr>
      <w:r>
        <w:rPr>
          <w:rFonts w:hint="eastAsia" w:ascii="仿宋" w:hAnsi="仿宋" w:eastAsia="仿宋" w:cs="仿宋"/>
          <w:color w:val="000000" w:themeColor="text1"/>
          <w:kern w:val="0"/>
          <w:sz w:val="32"/>
          <w:szCs w:val="32"/>
          <w:lang w:val="en-US" w:eastAsia="zh-CN"/>
        </w:rPr>
        <w:t>（二）绩效监控管理常态开展</w:t>
      </w:r>
    </w:p>
    <w:p>
      <w:pPr>
        <w:widowControl/>
        <w:shd w:val="clear" w:color="auto" w:fill="FFFFFF"/>
        <w:spacing w:line="480" w:lineRule="auto"/>
        <w:ind w:firstLine="640" w:firstLineChars="200"/>
        <w:jc w:val="left"/>
        <w:rPr>
          <w:rFonts w:hint="eastAsia" w:ascii="仿宋" w:hAnsi="仿宋" w:eastAsia="仿宋" w:cs="仿宋"/>
          <w:color w:val="000000" w:themeColor="text1"/>
          <w:kern w:val="0"/>
          <w:sz w:val="32"/>
          <w:szCs w:val="32"/>
          <w:lang w:val="en-US" w:eastAsia="zh-CN"/>
        </w:rPr>
      </w:pPr>
      <w:r>
        <w:rPr>
          <w:rFonts w:hint="eastAsia" w:ascii="仿宋" w:hAnsi="仿宋" w:eastAsia="仿宋" w:cs="仿宋"/>
          <w:color w:val="000000" w:themeColor="text1"/>
          <w:kern w:val="0"/>
          <w:sz w:val="32"/>
          <w:szCs w:val="32"/>
          <w:lang w:val="en-US" w:eastAsia="zh-CN"/>
        </w:rPr>
        <w:t>根据《南县财政局关于对财政支出项目开展资金绩效运行跟踪监控工作的通知》文件要求，组织各预算部门对本部门预算项目1-</w:t>
      </w:r>
      <w:r>
        <w:rPr>
          <w:rFonts w:hint="eastAsia" w:cs="仿宋"/>
          <w:color w:val="000000" w:themeColor="text1"/>
          <w:kern w:val="0"/>
          <w:sz w:val="32"/>
          <w:szCs w:val="32"/>
          <w:lang w:val="en-US" w:eastAsia="zh-CN"/>
        </w:rPr>
        <w:t>8</w:t>
      </w:r>
      <w:r>
        <w:rPr>
          <w:rFonts w:hint="eastAsia" w:ascii="仿宋" w:hAnsi="仿宋" w:eastAsia="仿宋" w:cs="仿宋"/>
          <w:color w:val="000000" w:themeColor="text1"/>
          <w:kern w:val="0"/>
          <w:sz w:val="32"/>
          <w:szCs w:val="32"/>
          <w:lang w:val="en-US" w:eastAsia="zh-CN"/>
        </w:rPr>
        <w:t>月预算执行情况与绩效目标实现情况进行双监控，对预算执行情况或绩效目标实现情况有严重偏离的部门进行及时纠偏，以确保年度目标如期实现。经对部门监控报告抽查发现，仍有部分单位预算执行情况有所偏离，有的项目预算执行进度达到80%，有的却还低于30%。针对这些情况，县财政局已及时通知相关部门，并加强后续跟踪监控，确保绩效目标的完成。</w:t>
      </w:r>
    </w:p>
    <w:p>
      <w:pPr>
        <w:widowControl/>
        <w:shd w:val="clear" w:color="auto" w:fill="FFFFFF"/>
        <w:spacing w:line="480" w:lineRule="auto"/>
        <w:ind w:firstLine="640" w:firstLineChars="200"/>
        <w:jc w:val="left"/>
        <w:rPr>
          <w:rFonts w:hint="eastAsia" w:ascii="仿宋" w:hAnsi="仿宋" w:eastAsia="仿宋" w:cs="仿宋"/>
          <w:color w:val="000000" w:themeColor="text1"/>
          <w:kern w:val="0"/>
          <w:sz w:val="32"/>
          <w:szCs w:val="32"/>
          <w:lang w:val="en-US" w:eastAsia="zh-CN"/>
        </w:rPr>
      </w:pPr>
      <w:r>
        <w:rPr>
          <w:rFonts w:hint="eastAsia" w:ascii="仿宋" w:hAnsi="仿宋" w:eastAsia="仿宋" w:cs="仿宋"/>
          <w:color w:val="000000" w:themeColor="text1"/>
          <w:kern w:val="0"/>
          <w:sz w:val="32"/>
          <w:szCs w:val="32"/>
          <w:lang w:val="en-US" w:eastAsia="zh-CN"/>
        </w:rPr>
        <w:t>（三）绩效评价管理有序开展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color w:val="000000" w:themeColor="text1"/>
          <w:kern w:val="0"/>
          <w:sz w:val="32"/>
          <w:szCs w:val="32"/>
          <w:lang w:val="en-US" w:eastAsia="zh-CN"/>
        </w:rPr>
        <w:t>根据《南县财政局关于做好202</w:t>
      </w:r>
      <w:r>
        <w:rPr>
          <w:rFonts w:hint="eastAsia" w:cs="仿宋"/>
          <w:color w:val="000000" w:themeColor="text1"/>
          <w:kern w:val="0"/>
          <w:sz w:val="32"/>
          <w:szCs w:val="32"/>
          <w:lang w:val="en-US" w:eastAsia="zh-CN"/>
        </w:rPr>
        <w:t>3</w:t>
      </w:r>
      <w:r>
        <w:rPr>
          <w:rFonts w:hint="eastAsia" w:ascii="仿宋" w:hAnsi="仿宋" w:eastAsia="仿宋" w:cs="仿宋"/>
          <w:color w:val="000000" w:themeColor="text1"/>
          <w:kern w:val="0"/>
          <w:sz w:val="32"/>
          <w:szCs w:val="32"/>
          <w:lang w:val="en-US" w:eastAsia="zh-CN"/>
        </w:rPr>
        <w:t>年度预算绩效自评工作的通知》文件要求，组织各预算部门对本部门（单位）202</w:t>
      </w:r>
      <w:r>
        <w:rPr>
          <w:rFonts w:hint="eastAsia" w:cs="仿宋"/>
          <w:color w:val="000000" w:themeColor="text1"/>
          <w:kern w:val="0"/>
          <w:sz w:val="32"/>
          <w:szCs w:val="32"/>
          <w:lang w:val="en-US" w:eastAsia="zh-CN"/>
        </w:rPr>
        <w:t>3</w:t>
      </w:r>
      <w:r>
        <w:rPr>
          <w:rFonts w:hint="eastAsia" w:ascii="仿宋" w:hAnsi="仿宋" w:eastAsia="仿宋" w:cs="仿宋"/>
          <w:color w:val="000000" w:themeColor="text1"/>
          <w:kern w:val="0"/>
          <w:sz w:val="32"/>
          <w:szCs w:val="32"/>
          <w:lang w:val="en-US" w:eastAsia="zh-CN"/>
        </w:rPr>
        <w:t>年度整体支出及项目支出进行绩效自评，提交绩效自评报告，并由县财政局组织相关业务股室，对自评报告情况进行抽查与复核，发现有弄虚作假或态度敷衍的部门，将抽查结果纳入绩效考评结果之中，并压减相关部门次年预算资金，以进一步推进全面实施预算绩效管理工作。202</w:t>
      </w:r>
      <w:r>
        <w:rPr>
          <w:rFonts w:hint="eastAsia" w:cs="仿宋"/>
          <w:color w:val="000000" w:themeColor="text1"/>
          <w:kern w:val="0"/>
          <w:sz w:val="32"/>
          <w:szCs w:val="32"/>
          <w:lang w:val="en-US" w:eastAsia="zh-CN"/>
        </w:rPr>
        <w:t>4</w:t>
      </w:r>
      <w:r>
        <w:rPr>
          <w:rFonts w:hint="eastAsia" w:ascii="仿宋" w:hAnsi="仿宋" w:eastAsia="仿宋" w:cs="仿宋"/>
          <w:color w:val="000000" w:themeColor="text1"/>
          <w:kern w:val="0"/>
          <w:sz w:val="32"/>
          <w:szCs w:val="32"/>
          <w:lang w:val="en-US" w:eastAsia="zh-CN"/>
        </w:rPr>
        <w:t>年度，采取“项目单位自评、中介机构现场评价、财政部门复核”的方式，</w:t>
      </w:r>
      <w:r>
        <w:rPr>
          <w:rFonts w:hint="eastAsia" w:ascii="仿宋" w:hAnsi="仿宋" w:eastAsia="仿宋" w:cs="仿宋"/>
          <w:spacing w:val="11"/>
          <w:sz w:val="32"/>
          <w:szCs w:val="32"/>
          <w:lang w:val="en-US" w:eastAsia="zh-CN"/>
        </w:rPr>
        <w:t>组织对“14周岁以下儿童凭有效证件免费乘坐公交政策”“农贸市场改造以奖代补政策”项目开展事前绩效评估；选取“2022—2023年度中央与省级财政衔接推进乡村振兴产业发展项目”“农村人居环境整治专项”等资金量大、社会影响广、关注度高的16个项目进行重点绩效评价，并对南县环境卫生服务中心、南县征地拆迁与安置事务中心、南县青树嘴镇政府部门整体支出进行绩效评价，涉及财政资金20900.47万元，延伸检查乡镇所站35次，</w:t>
      </w:r>
      <w:r>
        <w:rPr>
          <w:rFonts w:hint="eastAsia" w:ascii="仿宋" w:hAnsi="仿宋" w:eastAsia="仿宋" w:cs="仿宋"/>
          <w:sz w:val="32"/>
          <w:szCs w:val="32"/>
        </w:rPr>
        <w:t>评价过程公平公正，</w:t>
      </w:r>
      <w:r>
        <w:rPr>
          <w:rFonts w:hint="eastAsia" w:ascii="仿宋" w:hAnsi="仿宋" w:eastAsia="仿宋" w:cs="仿宋"/>
          <w:sz w:val="32"/>
          <w:szCs w:val="32"/>
          <w:lang w:val="en-US" w:eastAsia="zh-CN"/>
        </w:rPr>
        <w:t>我们</w:t>
      </w:r>
      <w:r>
        <w:rPr>
          <w:rFonts w:hint="eastAsia" w:ascii="仿宋" w:hAnsi="仿宋" w:eastAsia="仿宋" w:cs="仿宋"/>
          <w:sz w:val="32"/>
          <w:szCs w:val="32"/>
        </w:rPr>
        <w:t>对项目的决策、实施、产出、效益等方面进行综合评分，</w:t>
      </w:r>
      <w:r>
        <w:rPr>
          <w:rFonts w:hint="eastAsia" w:ascii="仿宋" w:hAnsi="仿宋" w:eastAsia="仿宋" w:cs="仿宋"/>
          <w:sz w:val="32"/>
          <w:szCs w:val="32"/>
          <w:lang w:val="en-US" w:eastAsia="zh-CN"/>
        </w:rPr>
        <w:t>最终</w:t>
      </w:r>
      <w:r>
        <w:rPr>
          <w:rFonts w:hint="eastAsia" w:ascii="仿宋" w:hAnsi="仿宋" w:eastAsia="仿宋" w:cs="仿宋"/>
          <w:sz w:val="32"/>
          <w:szCs w:val="32"/>
        </w:rPr>
        <w:t>平均分为</w:t>
      </w:r>
      <w:r>
        <w:rPr>
          <w:rFonts w:hint="eastAsia" w:ascii="仿宋" w:hAnsi="仿宋" w:eastAsia="仿宋" w:cs="仿宋"/>
          <w:sz w:val="32"/>
          <w:szCs w:val="32"/>
          <w:lang w:val="en-US" w:eastAsia="zh-CN"/>
        </w:rPr>
        <w:t>81.38</w:t>
      </w:r>
      <w:r>
        <w:rPr>
          <w:rFonts w:hint="eastAsia" w:ascii="仿宋" w:hAnsi="仿宋" w:eastAsia="仿宋" w:cs="仿宋"/>
          <w:sz w:val="32"/>
          <w:szCs w:val="32"/>
        </w:rPr>
        <w:t>分，最高得分</w:t>
      </w:r>
      <w:r>
        <w:rPr>
          <w:rFonts w:hint="eastAsia" w:ascii="仿宋" w:hAnsi="仿宋" w:eastAsia="仿宋" w:cs="仿宋"/>
          <w:sz w:val="32"/>
          <w:szCs w:val="32"/>
          <w:lang w:val="en-US" w:eastAsia="zh-CN"/>
        </w:rPr>
        <w:t>91</w:t>
      </w:r>
      <w:r>
        <w:rPr>
          <w:rFonts w:hint="eastAsia" w:ascii="仿宋" w:hAnsi="仿宋" w:eastAsia="仿宋" w:cs="仿宋"/>
          <w:sz w:val="32"/>
          <w:szCs w:val="32"/>
        </w:rPr>
        <w:t>分，最低得分</w:t>
      </w:r>
      <w:r>
        <w:rPr>
          <w:rFonts w:hint="eastAsia" w:ascii="仿宋" w:hAnsi="仿宋" w:eastAsia="仿宋" w:cs="仿宋"/>
          <w:sz w:val="32"/>
          <w:szCs w:val="32"/>
          <w:lang w:val="en-US" w:eastAsia="zh-CN"/>
        </w:rPr>
        <w:t>72</w:t>
      </w:r>
      <w:r>
        <w:rPr>
          <w:rFonts w:hint="eastAsia" w:ascii="仿宋" w:hAnsi="仿宋" w:eastAsia="仿宋" w:cs="仿宋"/>
          <w:sz w:val="32"/>
          <w:szCs w:val="32"/>
        </w:rPr>
        <w:t>分。</w:t>
      </w:r>
      <w:r>
        <w:rPr>
          <w:rFonts w:hint="eastAsia" w:ascii="仿宋" w:hAnsi="仿宋" w:eastAsia="仿宋" w:cs="仿宋"/>
          <w:sz w:val="32"/>
          <w:szCs w:val="32"/>
          <w:lang w:eastAsia="zh-CN"/>
        </w:rPr>
        <w:t>其中，</w:t>
      </w:r>
      <w:r>
        <w:rPr>
          <w:rFonts w:hint="eastAsia" w:ascii="仿宋" w:hAnsi="仿宋" w:eastAsia="仿宋" w:cs="仿宋"/>
          <w:sz w:val="32"/>
          <w:szCs w:val="32"/>
        </w:rPr>
        <w:t>项目等级达到“优秀”</w:t>
      </w:r>
      <w:r>
        <w:rPr>
          <w:rFonts w:hint="eastAsia" w:ascii="仿宋" w:hAnsi="仿宋" w:eastAsia="仿宋" w:cs="仿宋"/>
          <w:sz w:val="32"/>
          <w:szCs w:val="32"/>
          <w:lang w:val="en-US" w:eastAsia="zh-CN"/>
        </w:rPr>
        <w:t>为1</w:t>
      </w:r>
      <w:r>
        <w:rPr>
          <w:rFonts w:hint="eastAsia" w:ascii="仿宋" w:hAnsi="仿宋" w:eastAsia="仿宋" w:cs="仿宋"/>
          <w:sz w:val="32"/>
          <w:szCs w:val="32"/>
        </w:rPr>
        <w:t>个（</w:t>
      </w:r>
      <w:r>
        <w:rPr>
          <w:rFonts w:hint="eastAsia" w:ascii="仿宋" w:hAnsi="仿宋" w:eastAsia="仿宋" w:cs="仿宋"/>
          <w:sz w:val="32"/>
          <w:szCs w:val="32"/>
          <w:lang w:val="en-US" w:eastAsia="zh-CN"/>
        </w:rPr>
        <w:t>民政局</w:t>
      </w:r>
      <w:r>
        <w:rPr>
          <w:rFonts w:hint="eastAsia" w:ascii="仿宋" w:hAnsi="仿宋" w:eastAsia="仿宋" w:cs="仿宋"/>
          <w:sz w:val="32"/>
          <w:szCs w:val="32"/>
        </w:rPr>
        <w:t>2023年特殊困难老年人家庭和老化改造项目），</w:t>
      </w:r>
      <w:r>
        <w:rPr>
          <w:rFonts w:hint="eastAsia" w:ascii="仿宋" w:hAnsi="仿宋" w:eastAsia="仿宋" w:cs="仿宋"/>
          <w:sz w:val="32"/>
          <w:szCs w:val="32"/>
          <w:lang w:eastAsia="zh-CN"/>
        </w:rPr>
        <w:t>占比</w:t>
      </w:r>
      <w:r>
        <w:rPr>
          <w:rFonts w:hint="eastAsia" w:ascii="仿宋" w:hAnsi="仿宋" w:eastAsia="仿宋" w:cs="仿宋"/>
          <w:sz w:val="32"/>
          <w:szCs w:val="32"/>
          <w:lang w:val="en-US" w:eastAsia="zh-CN"/>
        </w:rPr>
        <w:t xml:space="preserve"> 5%；</w:t>
      </w:r>
      <w:r>
        <w:rPr>
          <w:rFonts w:hint="eastAsia" w:ascii="仿宋" w:hAnsi="仿宋" w:eastAsia="仿宋" w:cs="仿宋"/>
          <w:sz w:val="32"/>
          <w:szCs w:val="32"/>
        </w:rPr>
        <w:t>“良好”</w:t>
      </w:r>
      <w:r>
        <w:rPr>
          <w:rFonts w:hint="eastAsia" w:ascii="仿宋" w:hAnsi="仿宋" w:eastAsia="仿宋" w:cs="仿宋"/>
          <w:sz w:val="32"/>
          <w:szCs w:val="32"/>
          <w:lang w:val="en-US" w:eastAsia="zh-CN"/>
        </w:rPr>
        <w:t>12</w:t>
      </w:r>
      <w:r>
        <w:rPr>
          <w:rFonts w:hint="eastAsia" w:ascii="仿宋" w:hAnsi="仿宋" w:eastAsia="仿宋" w:cs="仿宋"/>
          <w:sz w:val="32"/>
          <w:szCs w:val="32"/>
        </w:rPr>
        <w:t>个，</w:t>
      </w:r>
      <w:r>
        <w:rPr>
          <w:rFonts w:hint="eastAsia" w:ascii="仿宋" w:hAnsi="仿宋" w:eastAsia="仿宋" w:cs="仿宋"/>
          <w:sz w:val="32"/>
          <w:szCs w:val="32"/>
          <w:lang w:eastAsia="zh-CN"/>
        </w:rPr>
        <w:t>占比</w:t>
      </w:r>
      <w:r>
        <w:rPr>
          <w:rFonts w:hint="eastAsia" w:ascii="仿宋" w:hAnsi="仿宋" w:eastAsia="仿宋" w:cs="仿宋"/>
          <w:sz w:val="32"/>
          <w:szCs w:val="32"/>
          <w:lang w:val="en-US" w:eastAsia="zh-CN"/>
        </w:rPr>
        <w:t>63%；</w:t>
      </w:r>
      <w:r>
        <w:rPr>
          <w:rFonts w:hint="eastAsia" w:ascii="仿宋" w:hAnsi="仿宋" w:eastAsia="仿宋" w:cs="仿宋"/>
          <w:sz w:val="32"/>
          <w:szCs w:val="32"/>
        </w:rPr>
        <w:t>“合格”</w:t>
      </w:r>
      <w:r>
        <w:rPr>
          <w:rFonts w:hint="eastAsia" w:ascii="仿宋" w:hAnsi="仿宋" w:eastAsia="仿宋" w:cs="仿宋"/>
          <w:sz w:val="32"/>
          <w:szCs w:val="32"/>
          <w:lang w:val="en-US" w:eastAsia="zh-CN"/>
        </w:rPr>
        <w:t>5个</w:t>
      </w:r>
      <w:r>
        <w:rPr>
          <w:rFonts w:hint="eastAsia" w:ascii="仿宋" w:hAnsi="仿宋" w:eastAsia="仿宋" w:cs="仿宋"/>
          <w:sz w:val="32"/>
          <w:szCs w:val="32"/>
          <w:lang w:eastAsia="zh-CN"/>
        </w:rPr>
        <w:t>占比</w:t>
      </w:r>
      <w:r>
        <w:rPr>
          <w:rFonts w:hint="eastAsia" w:ascii="仿宋" w:hAnsi="仿宋" w:eastAsia="仿宋" w:cs="仿宋"/>
          <w:sz w:val="32"/>
          <w:szCs w:val="32"/>
          <w:lang w:val="en-US" w:eastAsia="zh-CN"/>
        </w:rPr>
        <w:t>32%；无</w:t>
      </w:r>
      <w:r>
        <w:rPr>
          <w:rFonts w:hint="eastAsia" w:ascii="仿宋" w:hAnsi="仿宋" w:eastAsia="仿宋" w:cs="仿宋"/>
          <w:sz w:val="32"/>
          <w:szCs w:val="32"/>
        </w:rPr>
        <w:t>不合格”等级项目。</w:t>
      </w:r>
    </w:p>
    <w:p>
      <w:pPr>
        <w:widowControl/>
        <w:shd w:val="clear" w:color="auto" w:fill="FFFFFF"/>
        <w:spacing w:line="480" w:lineRule="auto"/>
        <w:ind w:firstLine="640" w:firstLineChars="200"/>
        <w:jc w:val="left"/>
        <w:rPr>
          <w:rFonts w:hint="eastAsia" w:ascii="仿宋" w:hAnsi="仿宋" w:eastAsia="仿宋" w:cs="仿宋"/>
          <w:color w:val="000000" w:themeColor="text1"/>
          <w:kern w:val="0"/>
          <w:sz w:val="32"/>
          <w:szCs w:val="32"/>
          <w:lang w:val="en-US" w:eastAsia="zh-CN"/>
        </w:rPr>
      </w:pPr>
      <w:r>
        <w:rPr>
          <w:rFonts w:hint="eastAsia" w:ascii="仿宋" w:hAnsi="仿宋" w:eastAsia="仿宋" w:cs="仿宋"/>
          <w:color w:val="000000" w:themeColor="text1"/>
          <w:kern w:val="0"/>
          <w:sz w:val="32"/>
          <w:szCs w:val="32"/>
          <w:lang w:val="en-US" w:eastAsia="zh-CN"/>
        </w:rPr>
        <w:t>（四）评价结果应用不断加强</w:t>
      </w:r>
    </w:p>
    <w:p>
      <w:pPr>
        <w:widowControl/>
        <w:shd w:val="clear" w:color="auto" w:fill="FFFFFF"/>
        <w:spacing w:line="480" w:lineRule="auto"/>
        <w:ind w:firstLine="640" w:firstLineChars="200"/>
        <w:jc w:val="left"/>
        <w:rPr>
          <w:rFonts w:hint="eastAsia" w:ascii="仿宋" w:hAnsi="仿宋" w:eastAsia="仿宋" w:cs="仿宋"/>
          <w:color w:val="000000" w:themeColor="text1"/>
          <w:kern w:val="0"/>
          <w:sz w:val="32"/>
          <w:szCs w:val="32"/>
          <w:lang w:val="en-US" w:eastAsia="zh-CN"/>
        </w:rPr>
      </w:pPr>
      <w:r>
        <w:rPr>
          <w:rFonts w:hint="eastAsia" w:ascii="仿宋" w:hAnsi="仿宋" w:eastAsia="仿宋" w:cs="仿宋"/>
          <w:color w:val="000000" w:themeColor="text1"/>
          <w:kern w:val="0"/>
          <w:sz w:val="32"/>
          <w:szCs w:val="32"/>
          <w:lang w:val="en-US" w:eastAsia="zh-CN"/>
        </w:rPr>
        <w:t>将事前绩效评估结果、绩效目标设置情况、绩效监控结果以及绩效评价结果都纳入预算安排、政策调整的重要参考依据中，强化绩效管理全过程理念。</w:t>
      </w:r>
    </w:p>
    <w:p>
      <w:pPr>
        <w:widowControl/>
        <w:shd w:val="clear" w:color="auto" w:fill="FFFFFF"/>
        <w:spacing w:line="480" w:lineRule="auto"/>
        <w:ind w:firstLine="640" w:firstLineChars="200"/>
        <w:jc w:val="left"/>
        <w:rPr>
          <w:rFonts w:hint="eastAsia" w:ascii="仿宋" w:hAnsi="仿宋" w:eastAsia="仿宋" w:cs="仿宋"/>
          <w:color w:val="000000" w:themeColor="text1"/>
          <w:kern w:val="0"/>
          <w:sz w:val="32"/>
          <w:szCs w:val="32"/>
          <w:lang w:val="en-US" w:eastAsia="zh-CN"/>
        </w:rPr>
      </w:pPr>
      <w:r>
        <w:rPr>
          <w:rFonts w:hint="eastAsia" w:ascii="仿宋" w:hAnsi="仿宋" w:eastAsia="仿宋" w:cs="仿宋"/>
          <w:color w:val="000000" w:themeColor="text1"/>
          <w:kern w:val="0"/>
          <w:sz w:val="32"/>
          <w:szCs w:val="32"/>
          <w:lang w:val="en-US" w:eastAsia="zh-CN"/>
        </w:rPr>
        <w:t>（五）绩效管理信息公开透明</w:t>
      </w:r>
    </w:p>
    <w:p>
      <w:pPr>
        <w:widowControl/>
        <w:shd w:val="clear" w:color="auto" w:fill="FFFFFF"/>
        <w:spacing w:line="480" w:lineRule="auto"/>
        <w:ind w:firstLine="640" w:firstLineChars="200"/>
        <w:jc w:val="left"/>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lang w:val="en-US" w:eastAsia="zh-CN"/>
        </w:rPr>
        <w:t>为提升工作透明度，发挥社会的监督作用，防治腐败，我县本年度加强了绩效评价工作的公示公开，包括在预算公开时，同步公开单位整体支出绩效目标与项目支出绩效目标；在决算公开时，同步公开单位整体支出绩效自评与项目支出绩效自评；在重点评价结束后，主动公开绩效评价结果，推动政府由“暗箱操作”转变为“阳光行政”，助力提高政府公信力，塑造良好的政府形象。</w:t>
      </w:r>
    </w:p>
    <w:p>
      <w:pPr>
        <w:widowControl/>
        <w:shd w:val="clear" w:color="auto" w:fill="FFFFFF"/>
        <w:spacing w:line="480" w:lineRule="auto"/>
        <w:jc w:val="left"/>
        <w:rPr>
          <w:rFonts w:hint="eastAsia" w:ascii="仿宋" w:hAnsi="仿宋" w:eastAsia="仿宋" w:cs="仿宋"/>
          <w:color w:val="000000" w:themeColor="text1"/>
          <w:kern w:val="0"/>
          <w:sz w:val="32"/>
          <w:szCs w:val="32"/>
        </w:rPr>
      </w:pPr>
    </w:p>
    <w:sectPr>
      <w:headerReference r:id="rId3" w:type="default"/>
      <w:footerReference r:id="rId4" w:type="default"/>
      <w:pgSz w:w="11850" w:h="16783"/>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dotted"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B582E"/>
    <w:multiLevelType w:val="singleLevel"/>
    <w:tmpl w:val="230B582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M2YzE0YjJmOGE2ZWExNTNhZDc4OTRhYjEzMDk1OGYifQ=="/>
  </w:docVars>
  <w:rsids>
    <w:rsidRoot w:val="731F1D87"/>
    <w:rsid w:val="002B32B4"/>
    <w:rsid w:val="003E7C2D"/>
    <w:rsid w:val="005877F5"/>
    <w:rsid w:val="006A7BB7"/>
    <w:rsid w:val="00740D17"/>
    <w:rsid w:val="007E436B"/>
    <w:rsid w:val="008A2853"/>
    <w:rsid w:val="00B00F4F"/>
    <w:rsid w:val="00F26B55"/>
    <w:rsid w:val="02A46433"/>
    <w:rsid w:val="02FE6915"/>
    <w:rsid w:val="04C46A2F"/>
    <w:rsid w:val="05914349"/>
    <w:rsid w:val="062D4B09"/>
    <w:rsid w:val="0888072F"/>
    <w:rsid w:val="0C7402CC"/>
    <w:rsid w:val="0C8C682A"/>
    <w:rsid w:val="0D7F0E90"/>
    <w:rsid w:val="0DD85BC2"/>
    <w:rsid w:val="10C73459"/>
    <w:rsid w:val="1113634D"/>
    <w:rsid w:val="123C2298"/>
    <w:rsid w:val="141454D8"/>
    <w:rsid w:val="144925A5"/>
    <w:rsid w:val="149C0630"/>
    <w:rsid w:val="157F04ED"/>
    <w:rsid w:val="15E77FCB"/>
    <w:rsid w:val="171B6EBA"/>
    <w:rsid w:val="171C150C"/>
    <w:rsid w:val="172F175A"/>
    <w:rsid w:val="18865FBE"/>
    <w:rsid w:val="1AE83F7B"/>
    <w:rsid w:val="1C020117"/>
    <w:rsid w:val="1C3324C3"/>
    <w:rsid w:val="1D176ECA"/>
    <w:rsid w:val="1D7D64CD"/>
    <w:rsid w:val="1E5A013E"/>
    <w:rsid w:val="1F9C51A1"/>
    <w:rsid w:val="2024256D"/>
    <w:rsid w:val="20F24F11"/>
    <w:rsid w:val="22324DBA"/>
    <w:rsid w:val="22F11CAA"/>
    <w:rsid w:val="239E4685"/>
    <w:rsid w:val="23A13C03"/>
    <w:rsid w:val="25AC4CEB"/>
    <w:rsid w:val="25B0796E"/>
    <w:rsid w:val="266D43BF"/>
    <w:rsid w:val="26851D97"/>
    <w:rsid w:val="26AC4B80"/>
    <w:rsid w:val="28DC02B9"/>
    <w:rsid w:val="2A4F241A"/>
    <w:rsid w:val="2C0A47CF"/>
    <w:rsid w:val="2C383294"/>
    <w:rsid w:val="2C3916B6"/>
    <w:rsid w:val="2D7D66FC"/>
    <w:rsid w:val="2E187120"/>
    <w:rsid w:val="2F2F5238"/>
    <w:rsid w:val="2F43204B"/>
    <w:rsid w:val="314D322A"/>
    <w:rsid w:val="319B2F2C"/>
    <w:rsid w:val="31A35EBA"/>
    <w:rsid w:val="31E43988"/>
    <w:rsid w:val="32550EFA"/>
    <w:rsid w:val="32B12C73"/>
    <w:rsid w:val="335F4DC3"/>
    <w:rsid w:val="33A04C43"/>
    <w:rsid w:val="33AC66C5"/>
    <w:rsid w:val="33F055C6"/>
    <w:rsid w:val="346B1773"/>
    <w:rsid w:val="34793538"/>
    <w:rsid w:val="359C3444"/>
    <w:rsid w:val="37390EDC"/>
    <w:rsid w:val="376318F3"/>
    <w:rsid w:val="37636201"/>
    <w:rsid w:val="38E94889"/>
    <w:rsid w:val="3A696F0D"/>
    <w:rsid w:val="3AA67748"/>
    <w:rsid w:val="3B6815D5"/>
    <w:rsid w:val="3C166A9A"/>
    <w:rsid w:val="3D657ADC"/>
    <w:rsid w:val="3DC71406"/>
    <w:rsid w:val="3E9E394C"/>
    <w:rsid w:val="3F272188"/>
    <w:rsid w:val="40375CDF"/>
    <w:rsid w:val="42CA782A"/>
    <w:rsid w:val="437F331A"/>
    <w:rsid w:val="43AB7AD9"/>
    <w:rsid w:val="44C67FA7"/>
    <w:rsid w:val="45022447"/>
    <w:rsid w:val="452832A9"/>
    <w:rsid w:val="45857AEE"/>
    <w:rsid w:val="462163AE"/>
    <w:rsid w:val="46221B58"/>
    <w:rsid w:val="47217198"/>
    <w:rsid w:val="48DE4996"/>
    <w:rsid w:val="491C07F8"/>
    <w:rsid w:val="4AE40163"/>
    <w:rsid w:val="4BD05960"/>
    <w:rsid w:val="4D0C6327"/>
    <w:rsid w:val="4D7A2C7B"/>
    <w:rsid w:val="4DAE2DDC"/>
    <w:rsid w:val="4DB23E36"/>
    <w:rsid w:val="4F5D7AAB"/>
    <w:rsid w:val="50254ABB"/>
    <w:rsid w:val="50B97663"/>
    <w:rsid w:val="50D32298"/>
    <w:rsid w:val="5275758C"/>
    <w:rsid w:val="52F008B7"/>
    <w:rsid w:val="53CE5257"/>
    <w:rsid w:val="54186687"/>
    <w:rsid w:val="542748C0"/>
    <w:rsid w:val="54620362"/>
    <w:rsid w:val="56E122AF"/>
    <w:rsid w:val="572802EF"/>
    <w:rsid w:val="574F4F4E"/>
    <w:rsid w:val="57C77502"/>
    <w:rsid w:val="581922E5"/>
    <w:rsid w:val="581C2A0F"/>
    <w:rsid w:val="58CC2FCD"/>
    <w:rsid w:val="59230ACB"/>
    <w:rsid w:val="599C0E6D"/>
    <w:rsid w:val="59E77376"/>
    <w:rsid w:val="5AC56BB4"/>
    <w:rsid w:val="5B3E2EAE"/>
    <w:rsid w:val="5B9B710A"/>
    <w:rsid w:val="5BB328C6"/>
    <w:rsid w:val="5C216890"/>
    <w:rsid w:val="5CD62661"/>
    <w:rsid w:val="5DD621CE"/>
    <w:rsid w:val="5F1D1BC2"/>
    <w:rsid w:val="5F2D1B2C"/>
    <w:rsid w:val="5F6A37EC"/>
    <w:rsid w:val="608B2E0E"/>
    <w:rsid w:val="611D1779"/>
    <w:rsid w:val="61537B9D"/>
    <w:rsid w:val="62E750E4"/>
    <w:rsid w:val="6454361F"/>
    <w:rsid w:val="64FD1FFD"/>
    <w:rsid w:val="65EE2909"/>
    <w:rsid w:val="66324C52"/>
    <w:rsid w:val="665B3234"/>
    <w:rsid w:val="668D59CF"/>
    <w:rsid w:val="67AD0940"/>
    <w:rsid w:val="68346681"/>
    <w:rsid w:val="68433C5A"/>
    <w:rsid w:val="68844EC3"/>
    <w:rsid w:val="68AA2899"/>
    <w:rsid w:val="69D75673"/>
    <w:rsid w:val="6C8C3CA0"/>
    <w:rsid w:val="6D0475DF"/>
    <w:rsid w:val="6D2407A1"/>
    <w:rsid w:val="6D3E3815"/>
    <w:rsid w:val="6D6A7A6C"/>
    <w:rsid w:val="6DD1766D"/>
    <w:rsid w:val="702C24BB"/>
    <w:rsid w:val="705C0059"/>
    <w:rsid w:val="719621B0"/>
    <w:rsid w:val="71DB3050"/>
    <w:rsid w:val="72D50D77"/>
    <w:rsid w:val="731F1D87"/>
    <w:rsid w:val="7339739F"/>
    <w:rsid w:val="74FA5D9A"/>
    <w:rsid w:val="75C14B9F"/>
    <w:rsid w:val="771F22A4"/>
    <w:rsid w:val="77EB7040"/>
    <w:rsid w:val="782B77FD"/>
    <w:rsid w:val="784B5465"/>
    <w:rsid w:val="79362B73"/>
    <w:rsid w:val="797F6FDC"/>
    <w:rsid w:val="79CC4690"/>
    <w:rsid w:val="7A353A84"/>
    <w:rsid w:val="7A9B4E04"/>
    <w:rsid w:val="7AE44B13"/>
    <w:rsid w:val="7B4B5555"/>
    <w:rsid w:val="7C5657E4"/>
    <w:rsid w:val="7D112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auto"/>
      <w:jc w:val="both"/>
    </w:pPr>
    <w:rPr>
      <w:rFonts w:ascii="仿宋" w:hAnsi="仿宋" w:eastAsia="仿宋" w:cstheme="minorBidi"/>
      <w:kern w:val="2"/>
      <w:sz w:val="3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1"/>
    <w:pPr>
      <w:autoSpaceDE w:val="0"/>
      <w:autoSpaceDN w:val="0"/>
      <w:ind w:left="131"/>
      <w:jc w:val="left"/>
    </w:pPr>
    <w:rPr>
      <w:rFonts w:ascii="方正仿宋_GBK" w:hAnsi="方正仿宋_GBK" w:eastAsia="方正仿宋_GBK" w:cs="方正仿宋_GBK"/>
      <w:kern w:val="0"/>
      <w:sz w:val="30"/>
      <w:szCs w:val="30"/>
      <w:lang w:val="zh-CN" w:bidi="zh-CN"/>
    </w:rPr>
  </w:style>
  <w:style w:type="paragraph" w:styleId="5">
    <w:name w:val="index 5"/>
    <w:basedOn w:val="1"/>
    <w:next w:val="1"/>
    <w:qFormat/>
    <w:uiPriority w:val="0"/>
    <w:pPr>
      <w:ind w:left="1680"/>
    </w:pPr>
    <w:rPr>
      <w:szCs w:val="24"/>
    </w:rPr>
  </w:style>
  <w:style w:type="paragraph" w:styleId="6">
    <w:name w:val="footer"/>
    <w:basedOn w:val="1"/>
    <w:next w:val="5"/>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2">
    <w:name w:val="页眉 Char"/>
    <w:basedOn w:val="11"/>
    <w:link w:val="7"/>
    <w:qFormat/>
    <w:uiPriority w:val="0"/>
    <w:rPr>
      <w:kern w:val="2"/>
      <w:sz w:val="18"/>
      <w:szCs w:val="18"/>
    </w:rPr>
  </w:style>
  <w:style w:type="character" w:customStyle="1" w:styleId="13">
    <w:name w:val="页脚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800">
                <a:latin typeface="楷体" panose="02010609060101010101" charset="-122"/>
                <a:ea typeface="楷体" panose="02010609060101010101" charset="-122"/>
              </a:rPr>
              <a:t>一般公共预算转移支付总体情况（单位：万元）</a:t>
            </a:r>
            <a:endParaRPr sz="1800">
              <a:latin typeface="楷体" panose="02010609060101010101" charset="-122"/>
              <a:ea typeface="楷体" panose="02010609060101010101" charset="-122"/>
            </a:endParaRPr>
          </a:p>
        </c:rich>
      </c:tx>
      <c:layout>
        <c:manualLayout>
          <c:xMode val="edge"/>
          <c:yMode val="edge"/>
          <c:x val="0.1451875"/>
          <c:y val="0.028333333333333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Pt>
            <c:idx val="1"/>
            <c:invertIfNegative val="0"/>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2023年</c:v>
                </c:pt>
              </c:strCache>
            </c:strRef>
          </c:cat>
          <c:val>
            <c:numRef>
              <c:f>Sheet1!$B$2:$B$3</c:f>
              <c:numCache>
                <c:formatCode>General</c:formatCode>
                <c:ptCount val="2"/>
                <c:pt idx="0">
                  <c:v>381711</c:v>
                </c:pt>
                <c:pt idx="1">
                  <c:v>346834</c:v>
                </c:pt>
              </c:numCache>
            </c:numRef>
          </c:val>
        </c:ser>
        <c:dLbls>
          <c:showLegendKey val="0"/>
          <c:showVal val="1"/>
          <c:showCatName val="0"/>
          <c:showSerName val="0"/>
          <c:showPercent val="0"/>
          <c:showBubbleSize val="0"/>
        </c:dLbls>
        <c:gapWidth val="219"/>
        <c:overlap val="-27"/>
        <c:axId val="846683248"/>
        <c:axId val="518808610"/>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2024年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2024年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8466832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8808610"/>
        <c:crosses val="autoZero"/>
        <c:auto val="1"/>
        <c:lblAlgn val="ctr"/>
        <c:lblOffset val="100"/>
        <c:noMultiLvlLbl val="0"/>
      </c:catAx>
      <c:valAx>
        <c:axId val="5188086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6683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800">
                <a:latin typeface="楷体" panose="02010609060101010101" charset="-122"/>
                <a:ea typeface="楷体" panose="02010609060101010101" charset="-122"/>
              </a:rPr>
              <a:t>一般性转移支付情况（单位：万元）</a:t>
            </a:r>
            <a:endParaRPr sz="1800">
              <a:latin typeface="楷体" panose="02010609060101010101" charset="-122"/>
              <a:ea typeface="楷体" panose="02010609060101010101" charset="-122"/>
            </a:endParaRPr>
          </a:p>
        </c:rich>
      </c:tx>
      <c:layout/>
      <c:overlay val="0"/>
      <c:spPr>
        <a:noFill/>
        <a:ln>
          <a:noFill/>
        </a:ln>
        <a:effectLst/>
      </c:spPr>
    </c:title>
    <c:autoTitleDeleted val="0"/>
    <c:plotArea>
      <c:layout>
        <c:manualLayout>
          <c:layoutTarget val="inner"/>
          <c:xMode val="edge"/>
          <c:yMode val="edge"/>
          <c:x val="0.113370237797941"/>
          <c:y val="0.0957045968349661"/>
          <c:w val="0.864161047753822"/>
          <c:h val="0.455337854810349"/>
        </c:manualLayout>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Sheet1!$A$2:$A$26</c:f>
              <c:strCache>
                <c:ptCount val="25"/>
                <c:pt idx="0">
                  <c:v>均衡性转移支付收入</c:v>
                </c:pt>
                <c:pt idx="1">
                  <c:v>县级基本财力保障机制奖补资金收入</c:v>
                </c:pt>
                <c:pt idx="2">
                  <c:v>结算补助收入</c:v>
                </c:pt>
                <c:pt idx="3">
                  <c:v>企业事业单位划转补助收入</c:v>
                </c:pt>
                <c:pt idx="4">
                  <c:v>产粮(油)大县奖励资金收入</c:v>
                </c:pt>
                <c:pt idx="5">
                  <c:v>重点生态功能区转移支付收入</c:v>
                </c:pt>
                <c:pt idx="6">
                  <c:v>固定数额补助收入</c:v>
                </c:pt>
                <c:pt idx="7">
                  <c:v>革命老区转移支付收入</c:v>
                </c:pt>
                <c:pt idx="8">
                  <c:v>欠发达地区转移支付收入（贫困地区转移支付收入）</c:v>
                </c:pt>
                <c:pt idx="9">
                  <c:v>一般公共服务共同财政事权转移支付收入</c:v>
                </c:pt>
                <c:pt idx="10">
                  <c:v>公共安全共同财政事权转移支付收入</c:v>
                </c:pt>
                <c:pt idx="11">
                  <c:v>教育共同财政事权转移支付收入</c:v>
                </c:pt>
                <c:pt idx="12">
                  <c:v>科学技术共同财政事权转移支付收入</c:v>
                </c:pt>
                <c:pt idx="13">
                  <c:v>文化旅游体育与传媒共同财政事权转移支付收入</c:v>
                </c:pt>
                <c:pt idx="14">
                  <c:v>社会保障和就业共同财政事权转移支付收入</c:v>
                </c:pt>
                <c:pt idx="15">
                  <c:v>医疗卫生共同财政事权转移支付收入</c:v>
                </c:pt>
                <c:pt idx="16">
                  <c:v>节能环保共同财政事权转移支付收入</c:v>
                </c:pt>
                <c:pt idx="17">
                  <c:v>农林水共同财政事权转移支付收入</c:v>
                </c:pt>
                <c:pt idx="18">
                  <c:v>交通运输共同财政事权转移支付收入</c:v>
                </c:pt>
                <c:pt idx="19">
                  <c:v>住房保障共同财政事权转移支付收入</c:v>
                </c:pt>
                <c:pt idx="20">
                  <c:v>粮油物资储备共同财政事权转移支付收入</c:v>
                </c:pt>
                <c:pt idx="21">
                  <c:v>灾害防治及应急管理共同财政事权转移支付收入</c:v>
                </c:pt>
                <c:pt idx="22">
                  <c:v>增值税留抵退税转移支付收入</c:v>
                </c:pt>
                <c:pt idx="23">
                  <c:v>其他退税减税降费转移支付收入</c:v>
                </c:pt>
                <c:pt idx="24">
                  <c:v>其他一般性转移支付收入</c:v>
                </c:pt>
              </c:strCache>
            </c:strRef>
          </c:cat>
          <c:val>
            <c:numRef>
              <c:f>Sheet1!$B$2:$B$25</c:f>
              <c:numCache>
                <c:formatCode>#,##0</c:formatCode>
                <c:ptCount val="24"/>
                <c:pt idx="0">
                  <c:v>89637</c:v>
                </c:pt>
                <c:pt idx="1">
                  <c:v>31995</c:v>
                </c:pt>
                <c:pt idx="2">
                  <c:v>5777</c:v>
                </c:pt>
                <c:pt idx="3">
                  <c:v>89</c:v>
                </c:pt>
                <c:pt idx="4">
                  <c:v>5472</c:v>
                </c:pt>
                <c:pt idx="5">
                  <c:v>4091</c:v>
                </c:pt>
                <c:pt idx="6">
                  <c:v>21239</c:v>
                </c:pt>
                <c:pt idx="7">
                  <c:v>2366</c:v>
                </c:pt>
                <c:pt idx="8">
                  <c:v>11860</c:v>
                </c:pt>
                <c:pt idx="9">
                  <c:v>50</c:v>
                </c:pt>
                <c:pt idx="10">
                  <c:v>1019</c:v>
                </c:pt>
                <c:pt idx="11">
                  <c:v>15480</c:v>
                </c:pt>
                <c:pt idx="12" c:formatCode="General">
                  <c:v>70</c:v>
                </c:pt>
                <c:pt idx="13">
                  <c:v>669</c:v>
                </c:pt>
                <c:pt idx="14">
                  <c:v>35670</c:v>
                </c:pt>
                <c:pt idx="15">
                  <c:v>10248</c:v>
                </c:pt>
                <c:pt idx="16">
                  <c:v>734</c:v>
                </c:pt>
                <c:pt idx="17">
                  <c:v>66834</c:v>
                </c:pt>
                <c:pt idx="18">
                  <c:v>2908</c:v>
                </c:pt>
                <c:pt idx="19">
                  <c:v>2087</c:v>
                </c:pt>
                <c:pt idx="20" c:formatCode="General">
                  <c:v>298</c:v>
                </c:pt>
                <c:pt idx="21">
                  <c:v>257</c:v>
                </c:pt>
                <c:pt idx="22">
                  <c:v>0</c:v>
                </c:pt>
                <c:pt idx="23" c:formatCode="General">
                  <c:v>0</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Sheet1!$A$2:$A$26</c:f>
              <c:strCache>
                <c:ptCount val="25"/>
                <c:pt idx="0">
                  <c:v>均衡性转移支付收入</c:v>
                </c:pt>
                <c:pt idx="1">
                  <c:v>县级基本财力保障机制奖补资金收入</c:v>
                </c:pt>
                <c:pt idx="2">
                  <c:v>结算补助收入</c:v>
                </c:pt>
                <c:pt idx="3">
                  <c:v>企业事业单位划转补助收入</c:v>
                </c:pt>
                <c:pt idx="4">
                  <c:v>产粮(油)大县奖励资金收入</c:v>
                </c:pt>
                <c:pt idx="5">
                  <c:v>重点生态功能区转移支付收入</c:v>
                </c:pt>
                <c:pt idx="6">
                  <c:v>固定数额补助收入</c:v>
                </c:pt>
                <c:pt idx="7">
                  <c:v>革命老区转移支付收入</c:v>
                </c:pt>
                <c:pt idx="8">
                  <c:v>欠发达地区转移支付收入（贫困地区转移支付收入）</c:v>
                </c:pt>
                <c:pt idx="9">
                  <c:v>一般公共服务共同财政事权转移支付收入</c:v>
                </c:pt>
                <c:pt idx="10">
                  <c:v>公共安全共同财政事权转移支付收入</c:v>
                </c:pt>
                <c:pt idx="11">
                  <c:v>教育共同财政事权转移支付收入</c:v>
                </c:pt>
                <c:pt idx="12">
                  <c:v>科学技术共同财政事权转移支付收入</c:v>
                </c:pt>
                <c:pt idx="13">
                  <c:v>文化旅游体育与传媒共同财政事权转移支付收入</c:v>
                </c:pt>
                <c:pt idx="14">
                  <c:v>社会保障和就业共同财政事权转移支付收入</c:v>
                </c:pt>
                <c:pt idx="15">
                  <c:v>医疗卫生共同财政事权转移支付收入</c:v>
                </c:pt>
                <c:pt idx="16">
                  <c:v>节能环保共同财政事权转移支付收入</c:v>
                </c:pt>
                <c:pt idx="17">
                  <c:v>农林水共同财政事权转移支付收入</c:v>
                </c:pt>
                <c:pt idx="18">
                  <c:v>交通运输共同财政事权转移支付收入</c:v>
                </c:pt>
                <c:pt idx="19">
                  <c:v>住房保障共同财政事权转移支付收入</c:v>
                </c:pt>
                <c:pt idx="20">
                  <c:v>粮油物资储备共同财政事权转移支付收入</c:v>
                </c:pt>
                <c:pt idx="21">
                  <c:v>灾害防治及应急管理共同财政事权转移支付收入</c:v>
                </c:pt>
                <c:pt idx="22">
                  <c:v>增值税留抵退税转移支付收入</c:v>
                </c:pt>
                <c:pt idx="23">
                  <c:v>其他退税减税降费转移支付收入</c:v>
                </c:pt>
                <c:pt idx="24">
                  <c:v>其他一般性转移支付收入</c:v>
                </c:pt>
              </c:strCache>
            </c:strRef>
          </c:cat>
          <c:val>
            <c:numRef>
              <c:f>Sheet1!$C$2:$C$25</c:f>
              <c:numCache>
                <c:formatCode>#,##0</c:formatCode>
                <c:ptCount val="24"/>
                <c:pt idx="0">
                  <c:v>88247</c:v>
                </c:pt>
                <c:pt idx="1">
                  <c:v>32134</c:v>
                </c:pt>
                <c:pt idx="2" c:formatCode="General">
                  <c:v>8722</c:v>
                </c:pt>
                <c:pt idx="3">
                  <c:v>89</c:v>
                </c:pt>
                <c:pt idx="4">
                  <c:v>5597</c:v>
                </c:pt>
                <c:pt idx="5">
                  <c:v>4155</c:v>
                </c:pt>
                <c:pt idx="6">
                  <c:v>21239</c:v>
                </c:pt>
                <c:pt idx="7">
                  <c:v>2354</c:v>
                </c:pt>
                <c:pt idx="8" c:formatCode="General">
                  <c:v>6096</c:v>
                </c:pt>
                <c:pt idx="9">
                  <c:v>0</c:v>
                </c:pt>
                <c:pt idx="10">
                  <c:v>1017</c:v>
                </c:pt>
                <c:pt idx="11" c:formatCode="General">
                  <c:v>15367</c:v>
                </c:pt>
                <c:pt idx="12" c:formatCode="General">
                  <c:v>150</c:v>
                </c:pt>
                <c:pt idx="13">
                  <c:v>754</c:v>
                </c:pt>
                <c:pt idx="14">
                  <c:v>32407</c:v>
                </c:pt>
                <c:pt idx="15">
                  <c:v>9755</c:v>
                </c:pt>
                <c:pt idx="16">
                  <c:v>609</c:v>
                </c:pt>
                <c:pt idx="17">
                  <c:v>42913</c:v>
                </c:pt>
                <c:pt idx="18">
                  <c:v>2810</c:v>
                </c:pt>
                <c:pt idx="19">
                  <c:v>3532</c:v>
                </c:pt>
                <c:pt idx="20" c:formatCode="General">
                  <c:v>348</c:v>
                </c:pt>
                <c:pt idx="21" c:formatCode="General">
                  <c:v>97</c:v>
                </c:pt>
                <c:pt idx="22" c:formatCode="General">
                  <c:v>973</c:v>
                </c:pt>
                <c:pt idx="23" c:formatCode="General">
                  <c:v>362</c:v>
                </c:pt>
              </c:numCache>
            </c:numRef>
          </c:val>
        </c:ser>
        <c:dLbls>
          <c:showLegendKey val="0"/>
          <c:showVal val="1"/>
          <c:showCatName val="0"/>
          <c:showSerName val="0"/>
          <c:showPercent val="0"/>
          <c:showBubbleSize val="0"/>
        </c:dLbls>
        <c:gapWidth val="219"/>
        <c:overlap val="-27"/>
        <c:axId val="159211627"/>
        <c:axId val="139959189"/>
      </c:barChart>
      <c:catAx>
        <c:axId val="1592116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9959189"/>
        <c:crosses val="autoZero"/>
        <c:auto val="1"/>
        <c:lblAlgn val="ctr"/>
        <c:lblOffset val="100"/>
        <c:noMultiLvlLbl val="0"/>
      </c:catAx>
      <c:valAx>
        <c:axId val="13995918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921162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nchor="t" anchorCtr="0"/>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800">
                <a:latin typeface="楷体" panose="02010609060101010101" charset="-122"/>
                <a:ea typeface="楷体" panose="02010609060101010101" charset="-122"/>
              </a:rPr>
              <a:t>专项转移支付情况（单位：万元）</a:t>
            </a:r>
            <a:endParaRPr sz="1800">
              <a:latin typeface="楷体" panose="02010609060101010101" charset="-122"/>
              <a:ea typeface="楷体" panose="02010609060101010101" charset="-122"/>
            </a:endParaRPr>
          </a:p>
        </c:rich>
      </c:tx>
      <c:layout>
        <c:manualLayout>
          <c:xMode val="edge"/>
          <c:yMode val="edge"/>
          <c:x val="0.230432060112711"/>
          <c:y val="0.0216216216216216"/>
        </c:manualLayout>
      </c:layout>
      <c:overlay val="0"/>
      <c:spPr>
        <a:noFill/>
        <a:ln>
          <a:noFill/>
        </a:ln>
        <a:effectLst/>
      </c:spPr>
    </c:title>
    <c:autoTitleDeleted val="0"/>
    <c:plotArea>
      <c:layout>
        <c:manualLayout>
          <c:layoutTarget val="inner"/>
          <c:xMode val="edge"/>
          <c:yMode val="edge"/>
          <c:x val="0.0887936247986342"/>
          <c:y val="0.120199146514936"/>
          <c:w val="0.889916456603996"/>
          <c:h val="0.586685633001422"/>
        </c:manualLayout>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一般公共服务</c:v>
                </c:pt>
                <c:pt idx="1">
                  <c:v>外交</c:v>
                </c:pt>
                <c:pt idx="2">
                  <c:v>国防</c:v>
                </c:pt>
                <c:pt idx="3">
                  <c:v>公共安全</c:v>
                </c:pt>
                <c:pt idx="4">
                  <c:v>教育</c:v>
                </c:pt>
                <c:pt idx="5">
                  <c:v>科学技术</c:v>
                </c:pt>
                <c:pt idx="6">
                  <c:v>文化旅游体育与传媒</c:v>
                </c:pt>
                <c:pt idx="7">
                  <c:v>社会保障和就业</c:v>
                </c:pt>
                <c:pt idx="8">
                  <c:v>卫生健康</c:v>
                </c:pt>
                <c:pt idx="9">
                  <c:v>节能环保</c:v>
                </c:pt>
                <c:pt idx="10">
                  <c:v>城乡社区</c:v>
                </c:pt>
                <c:pt idx="11">
                  <c:v>农林水</c:v>
                </c:pt>
                <c:pt idx="12">
                  <c:v>交通运输</c:v>
                </c:pt>
                <c:pt idx="13">
                  <c:v>资源勘探信息等</c:v>
                </c:pt>
                <c:pt idx="14">
                  <c:v>商业服务业等</c:v>
                </c:pt>
                <c:pt idx="15">
                  <c:v>金融</c:v>
                </c:pt>
                <c:pt idx="16">
                  <c:v>自然资源海洋气象等</c:v>
                </c:pt>
                <c:pt idx="17">
                  <c:v>住房保障</c:v>
                </c:pt>
                <c:pt idx="18">
                  <c:v>粮油物资储备</c:v>
                </c:pt>
                <c:pt idx="19">
                  <c:v>灾害防治及应急管理</c:v>
                </c:pt>
                <c:pt idx="20">
                  <c:v>其他收入</c:v>
                </c:pt>
              </c:strCache>
            </c:strRef>
          </c:cat>
          <c:val>
            <c:numRef>
              <c:f>Sheet1!$B$2:$B$22</c:f>
              <c:numCache>
                <c:formatCode>#,##0</c:formatCode>
                <c:ptCount val="21"/>
                <c:pt idx="0">
                  <c:v>1517</c:v>
                </c:pt>
                <c:pt idx="1" c:formatCode="General">
                  <c:v>0</c:v>
                </c:pt>
                <c:pt idx="2" c:formatCode="General">
                  <c:v>20</c:v>
                </c:pt>
                <c:pt idx="3" c:formatCode="General">
                  <c:v>62</c:v>
                </c:pt>
                <c:pt idx="4" c:formatCode="General">
                  <c:v>563</c:v>
                </c:pt>
                <c:pt idx="5" c:formatCode="General">
                  <c:v>329</c:v>
                </c:pt>
                <c:pt idx="6" c:formatCode="General">
                  <c:v>291</c:v>
                </c:pt>
                <c:pt idx="7" c:formatCode="General">
                  <c:v>428</c:v>
                </c:pt>
                <c:pt idx="8">
                  <c:v>974</c:v>
                </c:pt>
                <c:pt idx="9">
                  <c:v>14257</c:v>
                </c:pt>
                <c:pt idx="10">
                  <c:v>1122</c:v>
                </c:pt>
                <c:pt idx="11">
                  <c:v>20697</c:v>
                </c:pt>
                <c:pt idx="12">
                  <c:v>17871</c:v>
                </c:pt>
                <c:pt idx="13">
                  <c:v>756</c:v>
                </c:pt>
                <c:pt idx="14">
                  <c:v>705</c:v>
                </c:pt>
                <c:pt idx="15">
                  <c:v>25</c:v>
                </c:pt>
                <c:pt idx="16">
                  <c:v>1704</c:v>
                </c:pt>
                <c:pt idx="17">
                  <c:v>1357</c:v>
                </c:pt>
                <c:pt idx="18">
                  <c:v>560</c:v>
                </c:pt>
                <c:pt idx="19">
                  <c:v>1403</c:v>
                </c:pt>
                <c:pt idx="20" c:formatCode="General">
                  <c:v>-2</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Sheet1!$A$2:$A$22</c:f>
              <c:strCache>
                <c:ptCount val="21"/>
                <c:pt idx="0">
                  <c:v>一般公共服务</c:v>
                </c:pt>
                <c:pt idx="1">
                  <c:v>外交</c:v>
                </c:pt>
                <c:pt idx="2">
                  <c:v>国防</c:v>
                </c:pt>
                <c:pt idx="3">
                  <c:v>公共安全</c:v>
                </c:pt>
                <c:pt idx="4">
                  <c:v>教育</c:v>
                </c:pt>
                <c:pt idx="5">
                  <c:v>科学技术</c:v>
                </c:pt>
                <c:pt idx="6">
                  <c:v>文化旅游体育与传媒</c:v>
                </c:pt>
                <c:pt idx="7">
                  <c:v>社会保障和就业</c:v>
                </c:pt>
                <c:pt idx="8">
                  <c:v>卫生健康</c:v>
                </c:pt>
                <c:pt idx="9">
                  <c:v>节能环保</c:v>
                </c:pt>
                <c:pt idx="10">
                  <c:v>城乡社区</c:v>
                </c:pt>
                <c:pt idx="11">
                  <c:v>农林水</c:v>
                </c:pt>
                <c:pt idx="12">
                  <c:v>交通运输</c:v>
                </c:pt>
                <c:pt idx="13">
                  <c:v>资源勘探信息等</c:v>
                </c:pt>
                <c:pt idx="14">
                  <c:v>商业服务业等</c:v>
                </c:pt>
                <c:pt idx="15">
                  <c:v>金融</c:v>
                </c:pt>
                <c:pt idx="16">
                  <c:v>自然资源海洋气象等</c:v>
                </c:pt>
                <c:pt idx="17">
                  <c:v>住房保障</c:v>
                </c:pt>
                <c:pt idx="18">
                  <c:v>粮油物资储备</c:v>
                </c:pt>
                <c:pt idx="19">
                  <c:v>灾害防治及应急管理</c:v>
                </c:pt>
                <c:pt idx="20">
                  <c:v>其他收入</c:v>
                </c:pt>
              </c:strCache>
            </c:strRef>
          </c:cat>
          <c:val>
            <c:numRef>
              <c:f>Sheet1!$C$2:$C$22</c:f>
              <c:numCache>
                <c:formatCode>#,##0</c:formatCode>
                <c:ptCount val="21"/>
                <c:pt idx="0">
                  <c:v>1361</c:v>
                </c:pt>
                <c:pt idx="1" c:formatCode="General">
                  <c:v>0</c:v>
                </c:pt>
                <c:pt idx="2" c:formatCode="General">
                  <c:v>0</c:v>
                </c:pt>
                <c:pt idx="3" c:formatCode="General">
                  <c:v>152</c:v>
                </c:pt>
                <c:pt idx="4" c:formatCode="General">
                  <c:v>776</c:v>
                </c:pt>
                <c:pt idx="5" c:formatCode="General">
                  <c:v>274</c:v>
                </c:pt>
                <c:pt idx="6" c:formatCode="General">
                  <c:v>308</c:v>
                </c:pt>
                <c:pt idx="7">
                  <c:v>844</c:v>
                </c:pt>
                <c:pt idx="8">
                  <c:v>1622</c:v>
                </c:pt>
                <c:pt idx="9">
                  <c:v>8378</c:v>
                </c:pt>
                <c:pt idx="10">
                  <c:v>124</c:v>
                </c:pt>
                <c:pt idx="11">
                  <c:v>26502</c:v>
                </c:pt>
                <c:pt idx="12">
                  <c:v>529</c:v>
                </c:pt>
                <c:pt idx="13">
                  <c:v>928</c:v>
                </c:pt>
                <c:pt idx="14">
                  <c:v>666</c:v>
                </c:pt>
                <c:pt idx="15" c:formatCode="General">
                  <c:v>5</c:v>
                </c:pt>
                <c:pt idx="16">
                  <c:v>3638</c:v>
                </c:pt>
                <c:pt idx="17">
                  <c:v>4505</c:v>
                </c:pt>
                <c:pt idx="18" c:formatCode="General">
                  <c:v>930</c:v>
                </c:pt>
                <c:pt idx="19" c:formatCode="General">
                  <c:v>204</c:v>
                </c:pt>
                <c:pt idx="20" c:formatCode="General">
                  <c:v>27</c:v>
                </c:pt>
              </c:numCache>
            </c:numRef>
          </c:val>
        </c:ser>
        <c:dLbls>
          <c:showLegendKey val="0"/>
          <c:showVal val="1"/>
          <c:showCatName val="0"/>
          <c:showSerName val="0"/>
          <c:showPercent val="0"/>
          <c:showBubbleSize val="0"/>
        </c:dLbls>
        <c:gapWidth val="219"/>
        <c:overlap val="-27"/>
        <c:axId val="585089879"/>
        <c:axId val="961659356"/>
      </c:barChart>
      <c:catAx>
        <c:axId val="5850898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1659356"/>
        <c:crosses val="autoZero"/>
        <c:auto val="1"/>
        <c:lblAlgn val="ctr"/>
        <c:lblOffset val="100"/>
        <c:noMultiLvlLbl val="0"/>
      </c:catAx>
      <c:valAx>
        <c:axId val="9616593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508987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800">
                <a:latin typeface="楷体" panose="02010609060101010101" charset="-122"/>
                <a:ea typeface="楷体" panose="02010609060101010101" charset="-122"/>
              </a:rPr>
              <a:t>政府性基金转移支付情况（单位：万元）</a:t>
            </a:r>
            <a:endParaRPr sz="1800">
              <a:latin typeface="楷体" panose="02010609060101010101" charset="-122"/>
              <a:ea typeface="楷体" panose="02010609060101010101" charset="-122"/>
            </a:endParaRPr>
          </a:p>
        </c:rich>
      </c:tx>
      <c:layout>
        <c:manualLayout>
          <c:xMode val="edge"/>
          <c:yMode val="edge"/>
          <c:x val="0.1655"/>
          <c:y val="0.0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国家电影事业发展专项资金相关收入</c:v>
                </c:pt>
                <c:pt idx="1">
                  <c:v>旅游发展基金收入</c:v>
                </c:pt>
                <c:pt idx="2">
                  <c:v>大中型水库移民后期扶持基金收入</c:v>
                </c:pt>
                <c:pt idx="3">
                  <c:v>城市基础设施配套费相关收入</c:v>
                </c:pt>
                <c:pt idx="4">
                  <c:v>大中型水库库区基金相关收入</c:v>
                </c:pt>
                <c:pt idx="5">
                  <c:v>国家重大水利工程建设基金相关收入</c:v>
                </c:pt>
                <c:pt idx="6">
                  <c:v>彩票发行机构和彩票销售机构的业务费用</c:v>
                </c:pt>
                <c:pt idx="7">
                  <c:v>彩票公益金收入</c:v>
                </c:pt>
                <c:pt idx="8">
                  <c:v>超长期特别国债相关收入</c:v>
                </c:pt>
              </c:strCache>
            </c:strRef>
          </c:cat>
          <c:val>
            <c:numRef>
              <c:f>Sheet1!$B$2:$B$10</c:f>
              <c:numCache>
                <c:formatCode>General</c:formatCode>
                <c:ptCount val="9"/>
                <c:pt idx="0">
                  <c:v>90</c:v>
                </c:pt>
                <c:pt idx="1">
                  <c:v>15</c:v>
                </c:pt>
                <c:pt idx="2">
                  <c:v>108</c:v>
                </c:pt>
                <c:pt idx="3">
                  <c:v>20</c:v>
                </c:pt>
                <c:pt idx="4">
                  <c:v>0</c:v>
                </c:pt>
                <c:pt idx="5" c:formatCode="#,##0">
                  <c:v>13250</c:v>
                </c:pt>
                <c:pt idx="6">
                  <c:v>35</c:v>
                </c:pt>
                <c:pt idx="7" c:formatCode="#,##0">
                  <c:v>1892</c:v>
                </c:pt>
                <c:pt idx="8" c:formatCode="#,##0">
                  <c:v>26972</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国家电影事业发展专项资金相关收入</c:v>
                </c:pt>
                <c:pt idx="1">
                  <c:v>旅游发展基金收入</c:v>
                </c:pt>
                <c:pt idx="2">
                  <c:v>大中型水库移民后期扶持基金收入</c:v>
                </c:pt>
                <c:pt idx="3">
                  <c:v>城市基础设施配套费相关收入</c:v>
                </c:pt>
                <c:pt idx="4">
                  <c:v>大中型水库库区基金相关收入</c:v>
                </c:pt>
                <c:pt idx="5">
                  <c:v>国家重大水利工程建设基金相关收入</c:v>
                </c:pt>
                <c:pt idx="6">
                  <c:v>彩票发行机构和彩票销售机构的业务费用</c:v>
                </c:pt>
                <c:pt idx="7">
                  <c:v>彩票公益金收入</c:v>
                </c:pt>
                <c:pt idx="8">
                  <c:v>超长期特别国债相关收入</c:v>
                </c:pt>
              </c:strCache>
            </c:strRef>
          </c:cat>
          <c:val>
            <c:numRef>
              <c:f>Sheet1!$C$2:$C$10</c:f>
              <c:numCache>
                <c:formatCode>General</c:formatCode>
                <c:ptCount val="9"/>
                <c:pt idx="0">
                  <c:v>6</c:v>
                </c:pt>
                <c:pt idx="2">
                  <c:v>139</c:v>
                </c:pt>
                <c:pt idx="3">
                  <c:v>13</c:v>
                </c:pt>
                <c:pt idx="4">
                  <c:v>8</c:v>
                </c:pt>
                <c:pt idx="5" c:formatCode="#,##0">
                  <c:v>1643</c:v>
                </c:pt>
                <c:pt idx="6">
                  <c:v>26</c:v>
                </c:pt>
                <c:pt idx="7" c:formatCode="#,##0">
                  <c:v>2913</c:v>
                </c:pt>
              </c:numCache>
            </c:numRef>
          </c:val>
        </c:ser>
        <c:dLbls>
          <c:showLegendKey val="0"/>
          <c:showVal val="1"/>
          <c:showCatName val="0"/>
          <c:showSerName val="0"/>
          <c:showPercent val="0"/>
          <c:showBubbleSize val="0"/>
        </c:dLbls>
        <c:gapWidth val="219"/>
        <c:overlap val="-27"/>
        <c:axId val="546231958"/>
        <c:axId val="749593963"/>
      </c:barChart>
      <c:catAx>
        <c:axId val="54623195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9593963"/>
        <c:crosses val="autoZero"/>
        <c:auto val="1"/>
        <c:lblAlgn val="ctr"/>
        <c:lblOffset val="100"/>
        <c:noMultiLvlLbl val="0"/>
      </c:catAx>
      <c:valAx>
        <c:axId val="7495939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623195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atin typeface="华文楷体" panose="02010600040101010101" charset="-122"/>
                <a:ea typeface="华文楷体" panose="02010600040101010101" charset="-122"/>
              </a:rPr>
              <a:t>地方政府债务余额情况</a:t>
            </a:r>
            <a:endParaRPr>
              <a:latin typeface="华文楷体" panose="02010600040101010101" charset="-122"/>
              <a:ea typeface="华文楷体" panose="02010600040101010101" charset="-122"/>
            </a:endParaRPr>
          </a:p>
        </c:rich>
      </c:tx>
      <c:layout>
        <c:manualLayout>
          <c:xMode val="edge"/>
          <c:yMode val="edge"/>
          <c:x val="0.3165"/>
          <c:y val="0.0261666666666667"/>
        </c:manualLayout>
      </c:layout>
      <c:overlay val="0"/>
      <c:spPr>
        <a:noFill/>
        <a:ln>
          <a:noFill/>
        </a:ln>
        <a:effectLst/>
      </c:spPr>
    </c:title>
    <c:autoTitleDeleted val="0"/>
    <c:plotArea>
      <c:layout/>
      <c:pieChart>
        <c:varyColors val="1"/>
        <c:ser>
          <c:idx val="0"/>
          <c:order val="0"/>
          <c:tx>
            <c:strRef>
              <c:f>Sheet1!$B$1</c:f>
              <c:strCache>
                <c:ptCount val="1"/>
                <c:pt idx="0">
                  <c:v>余额占比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一般债务余额</c:v>
                </c:pt>
                <c:pt idx="1">
                  <c:v>专项债务余额</c:v>
                </c:pt>
              </c:strCache>
            </c:strRef>
          </c:cat>
          <c:val>
            <c:numRef>
              <c:f>Sheet1!$B$2:$B$3</c:f>
              <c:numCache>
                <c:formatCode>0.00%</c:formatCode>
                <c:ptCount val="2"/>
                <c:pt idx="0">
                  <c:v>0.4611</c:v>
                </c:pt>
                <c:pt idx="1">
                  <c:v>0.5389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3254</Words>
  <Characters>4019</Characters>
  <Lines>23</Lines>
  <Paragraphs>6</Paragraphs>
  <TotalTime>45</TotalTime>
  <ScaleCrop>false</ScaleCrop>
  <LinksUpToDate>false</LinksUpToDate>
  <CharactersWithSpaces>4059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2022-03-31T07:49:00Z</dcterms:created>
  <dc:creator>Administrator</dc:creator>
  <cp:lastModifiedBy>Administrator</cp:lastModifiedBy>
  <cp:lastPrinted>2024-07-08T03:16:00Z</cp:lastPrinted>
  <dcterms:modified xsi:type="dcterms:W3CDTF">2025-09-26T01:47:33Z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A33DD80417E24864B70CB21C84327B12_12</vt:lpwstr>
  </property>
</Properties>
</file>