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1B9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仿宋" w:hAnsi="仿宋" w:eastAsia="仿宋" w:cs="仿宋"/>
          <w:b/>
          <w:bCs/>
          <w:color w:val="000000"/>
          <w:kern w:val="2"/>
          <w:sz w:val="44"/>
          <w:szCs w:val="44"/>
          <w:lang w:val="en-US" w:eastAsia="zh-CN" w:bidi="ar-SA"/>
        </w:rPr>
      </w:pPr>
      <w:r>
        <w:rPr>
          <w:rFonts w:hint="eastAsia" w:ascii="仿宋" w:hAnsi="仿宋" w:eastAsia="仿宋" w:cs="仿宋"/>
          <w:b/>
          <w:bCs/>
          <w:color w:val="000000"/>
          <w:kern w:val="2"/>
          <w:sz w:val="44"/>
          <w:szCs w:val="44"/>
          <w:lang w:val="en-US" w:eastAsia="zh-CN" w:bidi="ar-SA"/>
        </w:rPr>
        <w:t>南县人大常委会</w:t>
      </w:r>
    </w:p>
    <w:p w14:paraId="41C850A1">
      <w:pPr>
        <w:spacing w:line="560" w:lineRule="exact"/>
        <w:ind w:firstLine="880"/>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202</w:t>
      </w:r>
      <w:r>
        <w:rPr>
          <w:rFonts w:hint="eastAsia" w:ascii="仿宋" w:hAnsi="仿宋" w:eastAsia="仿宋" w:cs="仿宋"/>
          <w:b/>
          <w:bCs/>
          <w:color w:val="000000"/>
          <w:sz w:val="44"/>
          <w:szCs w:val="44"/>
          <w:lang w:val="en-US" w:eastAsia="zh-CN"/>
        </w:rPr>
        <w:t>4</w:t>
      </w:r>
      <w:r>
        <w:rPr>
          <w:rFonts w:hint="eastAsia" w:ascii="仿宋" w:hAnsi="仿宋" w:eastAsia="仿宋" w:cs="仿宋"/>
          <w:b/>
          <w:bCs/>
          <w:color w:val="000000"/>
          <w:sz w:val="44"/>
          <w:szCs w:val="44"/>
        </w:rPr>
        <w:t>年度项目支出绩效评价报告</w:t>
      </w:r>
    </w:p>
    <w:p w14:paraId="15E8D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寰蒋闆呴粦" w:hAnsi="寰蒋闆呴粦" w:eastAsia="寰蒋闆呴粦" w:cs="寰蒋闆呴粦"/>
          <w:b/>
          <w:bCs/>
          <w:caps w:val="0"/>
          <w:color w:val="E73C25"/>
          <w:spacing w:val="0"/>
          <w:sz w:val="32"/>
          <w:szCs w:val="32"/>
        </w:rPr>
      </w:pPr>
    </w:p>
    <w:p w14:paraId="3FF58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南县财政局</w:t>
      </w:r>
      <w:r>
        <w:rPr>
          <w:rFonts w:hint="eastAsia" w:ascii="仿宋" w:hAnsi="仿宋" w:eastAsia="仿宋" w:cs="仿宋"/>
          <w:sz w:val="32"/>
          <w:szCs w:val="32"/>
          <w:highlight w:val="none"/>
        </w:rPr>
        <w:t>关于做好20</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年度预算绩效自评工作的通知</w:t>
      </w:r>
      <w:r>
        <w:rPr>
          <w:rFonts w:hint="eastAsia" w:ascii="仿宋" w:hAnsi="仿宋" w:eastAsia="仿宋" w:cs="仿宋"/>
          <w:sz w:val="32"/>
          <w:szCs w:val="32"/>
        </w:rPr>
        <w:t>》，为进一步规范财政资金管理，牢固树立预算绩效理念，切实提高财政资金使用效率，县</w:t>
      </w:r>
      <w:r>
        <w:rPr>
          <w:rFonts w:hint="eastAsia" w:ascii="仿宋" w:hAnsi="仿宋" w:eastAsia="仿宋" w:cs="仿宋"/>
          <w:sz w:val="32"/>
          <w:szCs w:val="32"/>
          <w:lang w:eastAsia="zh-CN"/>
        </w:rPr>
        <w:t>人大机关</w:t>
      </w:r>
      <w:r>
        <w:rPr>
          <w:rFonts w:hint="eastAsia" w:ascii="仿宋" w:hAnsi="仿宋" w:eastAsia="仿宋" w:cs="仿宋"/>
          <w:sz w:val="32"/>
          <w:szCs w:val="32"/>
        </w:rPr>
        <w:t>对</w:t>
      </w:r>
      <w:r>
        <w:rPr>
          <w:rFonts w:hint="eastAsia" w:ascii="仿宋" w:hAnsi="仿宋" w:eastAsia="仿宋" w:cs="仿宋"/>
          <w:sz w:val="32"/>
          <w:szCs w:val="32"/>
          <w:lang w:eastAsia="zh-CN"/>
        </w:rPr>
        <w:t>项目支出绩效评价工作</w:t>
      </w:r>
      <w:r>
        <w:rPr>
          <w:rFonts w:hint="eastAsia" w:ascii="仿宋" w:hAnsi="仿宋" w:eastAsia="仿宋" w:cs="仿宋"/>
          <w:sz w:val="32"/>
          <w:szCs w:val="32"/>
        </w:rPr>
        <w:t>进行了认真的研究和部署，并以</w:t>
      </w:r>
      <w:r>
        <w:rPr>
          <w:rFonts w:hint="eastAsia" w:ascii="仿宋" w:hAnsi="仿宋" w:eastAsia="仿宋" w:cs="仿宋"/>
          <w:sz w:val="32"/>
          <w:szCs w:val="32"/>
          <w:lang w:eastAsia="zh-CN"/>
        </w:rPr>
        <w:t>办公室</w:t>
      </w:r>
      <w:r>
        <w:rPr>
          <w:rFonts w:hint="eastAsia" w:ascii="仿宋" w:hAnsi="仿宋" w:eastAsia="仿宋" w:cs="仿宋"/>
          <w:sz w:val="32"/>
          <w:szCs w:val="32"/>
        </w:rPr>
        <w:t>牵头组织进行预算资金绩效自</w:t>
      </w:r>
      <w:r>
        <w:rPr>
          <w:rFonts w:hint="eastAsia" w:ascii="仿宋" w:hAnsi="仿宋" w:eastAsia="仿宋" w:cs="仿宋"/>
          <w:sz w:val="32"/>
          <w:szCs w:val="32"/>
          <w:lang w:eastAsia="zh-CN"/>
        </w:rPr>
        <w:t>评</w:t>
      </w:r>
      <w:r>
        <w:rPr>
          <w:rFonts w:hint="eastAsia" w:ascii="仿宋" w:hAnsi="仿宋" w:eastAsia="仿宋" w:cs="仿宋"/>
          <w:sz w:val="32"/>
          <w:szCs w:val="32"/>
        </w:rPr>
        <w:t>。现将有关情况报告如下:</w:t>
      </w:r>
    </w:p>
    <w:p w14:paraId="782A1395">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rPr>
        <w:t>一、项目基本情况</w:t>
      </w:r>
    </w:p>
    <w:p w14:paraId="289945D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（一）项目基本情况简介</w:t>
      </w:r>
    </w:p>
    <w:p w14:paraId="3A2E6C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240" w:lineRule="auto"/>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县人大机关2024年参与绩效评价的项目共6个，项目支出预算计划140万元。其中：</w:t>
      </w:r>
    </w:p>
    <w:p w14:paraId="0B1170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22"/>
          <w:lang w:val="en-US" w:eastAsia="zh-CN"/>
        </w:rPr>
      </w:pPr>
      <w:r>
        <w:rPr>
          <w:rFonts w:hint="eastAsia" w:ascii="仿宋" w:hAnsi="仿宋" w:eastAsia="仿宋" w:cs="仿宋"/>
          <w:sz w:val="32"/>
          <w:szCs w:val="32"/>
          <w:lang w:val="en-US" w:eastAsia="zh-CN"/>
        </w:rPr>
        <w:t>1、人大专项专题工作经费26</w:t>
      </w:r>
      <w:r>
        <w:rPr>
          <w:rFonts w:hint="eastAsia" w:ascii="仿宋" w:hAnsi="仿宋" w:eastAsia="仿宋" w:cs="仿宋"/>
          <w:sz w:val="32"/>
          <w:szCs w:val="32"/>
        </w:rPr>
        <w:t>万元：</w:t>
      </w:r>
      <w:r>
        <w:rPr>
          <w:rFonts w:hint="eastAsia" w:ascii="仿宋_GB2312" w:hAnsi="仿宋_GB2312" w:eastAsia="仿宋_GB2312" w:cs="Times New Roman"/>
          <w:sz w:val="32"/>
          <w:szCs w:val="22"/>
          <w:lang w:val="en-US" w:eastAsia="zh-CN"/>
        </w:rPr>
        <w:t>县人大明确专人负责办点脱贫攻坚工作，选派一名一级主任科员和一名三级主任科员到华阁镇天然港村驻村工作，县级领导干部进村结对帮扶，安排经费支持常委会班子成员和联系点的扶贫工作，在天然港村组织召开美丽乡村建设专题推进工作会，拨出20万元至所联系的6个村和1个社区，与相关单位衔接落实了项目资金，全村面貌焕然一新，基础条件大为改善。</w:t>
      </w:r>
    </w:p>
    <w:p w14:paraId="6C6E25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sz w:val="32"/>
          <w:szCs w:val="22"/>
          <w:lang w:val="en-US" w:eastAsia="zh-CN"/>
        </w:rPr>
      </w:pPr>
      <w:r>
        <w:rPr>
          <w:rFonts w:hint="eastAsia" w:ascii="仿宋_GB2312" w:hAnsi="仿宋_GB2312" w:eastAsia="仿宋_GB2312" w:cs="Times New Roman"/>
          <w:sz w:val="32"/>
          <w:szCs w:val="22"/>
          <w:lang w:val="en-US" w:eastAsia="zh-CN"/>
        </w:rPr>
        <w:t>重视对外联系交流，先后到沅江、桃江县、安化县等地考察交流学习，省、市和周边县市人大来南调研考察16余批次，扩大了我县人大工作的对外影响。</w:t>
      </w:r>
    </w:p>
    <w:p w14:paraId="68B7DD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sz w:val="32"/>
          <w:szCs w:val="32"/>
          <w:lang w:val="en-US" w:eastAsia="zh-CN"/>
        </w:rPr>
        <w:t>严格落</w:t>
      </w:r>
      <w:r>
        <w:rPr>
          <w:rFonts w:hint="eastAsia" w:ascii="仿宋_GB2312" w:hAnsi="仿宋_GB2312" w:eastAsia="仿宋_GB2312" w:cs="Times New Roman"/>
          <w:sz w:val="32"/>
          <w:szCs w:val="22"/>
          <w:lang w:val="en-US" w:eastAsia="zh-CN"/>
        </w:rPr>
        <w:t>实乡镇一年两次例会制度</w:t>
      </w:r>
      <w:r>
        <w:rPr>
          <w:rFonts w:hint="eastAsia" w:ascii="仿宋_GB2312" w:hAnsi="仿宋_GB2312" w:eastAsia="仿宋_GB2312" w:cs="仿宋_GB2312"/>
          <w:sz w:val="32"/>
          <w:szCs w:val="32"/>
          <w:lang w:val="en-US" w:eastAsia="zh-CN"/>
        </w:rPr>
        <w:t>。在南洲镇和茅草街镇试点，</w:t>
      </w:r>
      <w:r>
        <w:rPr>
          <w:rFonts w:hint="default" w:ascii="仿宋_GB2312" w:hAnsi="仿宋_GB2312" w:eastAsia="仿宋_GB2312" w:cs="仿宋_GB2312"/>
          <w:spacing w:val="11"/>
          <w:w w:val="100"/>
          <w:sz w:val="32"/>
          <w:szCs w:val="32"/>
          <w:lang w:val="en-US" w:eastAsia="zh-CN"/>
        </w:rPr>
        <w:t>全县建成</w:t>
      </w:r>
      <w:r>
        <w:rPr>
          <w:rFonts w:hint="eastAsia" w:ascii="仿宋_GB2312" w:hAnsi="仿宋_GB2312" w:eastAsia="仿宋_GB2312" w:cs="仿宋_GB2312"/>
          <w:spacing w:val="11"/>
          <w:w w:val="100"/>
          <w:sz w:val="32"/>
          <w:szCs w:val="32"/>
          <w:lang w:val="en-US" w:eastAsia="zh-CN"/>
        </w:rPr>
        <w:t>使用</w:t>
      </w:r>
      <w:r>
        <w:rPr>
          <w:rFonts w:hint="default" w:ascii="仿宋_GB2312" w:hAnsi="仿宋_GB2312" w:eastAsia="仿宋_GB2312" w:cs="仿宋_GB2312"/>
          <w:spacing w:val="11"/>
          <w:w w:val="100"/>
          <w:sz w:val="32"/>
          <w:szCs w:val="32"/>
          <w:lang w:val="en-US" w:eastAsia="zh-CN"/>
        </w:rPr>
        <w:t>19个人大代表联络站</w:t>
      </w:r>
      <w:r>
        <w:rPr>
          <w:rFonts w:hint="eastAsia" w:ascii="仿宋_GB2312" w:hAnsi="仿宋_GB2312" w:eastAsia="仿宋_GB2312" w:cs="仿宋_GB2312"/>
          <w:spacing w:val="11"/>
          <w:w w:val="100"/>
          <w:sz w:val="32"/>
          <w:szCs w:val="32"/>
          <w:lang w:val="en-US" w:eastAsia="zh-CN"/>
        </w:rPr>
        <w:t>，</w:t>
      </w:r>
      <w:r>
        <w:rPr>
          <w:rFonts w:hint="eastAsia" w:ascii="仿宋_GB2312" w:hAnsi="仿宋_GB2312" w:eastAsia="仿宋_GB2312" w:cs="Times New Roman"/>
          <w:sz w:val="32"/>
          <w:szCs w:val="22"/>
          <w:lang w:val="en-US" w:eastAsia="zh-CN"/>
        </w:rPr>
        <w:t>探索</w:t>
      </w:r>
      <w:r>
        <w:rPr>
          <w:rFonts w:hint="eastAsia" w:ascii="仿宋_GB2312" w:hAnsi="仿宋_GB2312" w:eastAsia="仿宋_GB2312" w:cs="仿宋_GB2312"/>
          <w:sz w:val="32"/>
          <w:szCs w:val="32"/>
        </w:rPr>
        <w:t>开展民生实事项目人大代表票决制</w:t>
      </w:r>
      <w:r>
        <w:rPr>
          <w:rFonts w:hint="eastAsia" w:ascii="仿宋_GB2312" w:hAnsi="仿宋_GB2312" w:eastAsia="仿宋_GB2312" w:cs="仿宋_GB2312"/>
          <w:sz w:val="32"/>
          <w:szCs w:val="32"/>
          <w:lang w:eastAsia="zh-CN"/>
        </w:rPr>
        <w:t>，补齐行使决定权的工作短板。</w:t>
      </w:r>
      <w:r>
        <w:rPr>
          <w:rFonts w:hint="eastAsia" w:ascii="仿宋_GB2312" w:hAnsi="仿宋_GB2312" w:eastAsia="仿宋_GB2312" w:cs="仿宋_GB2312"/>
          <w:sz w:val="32"/>
          <w:szCs w:val="32"/>
          <w:lang w:val="en-US" w:eastAsia="zh-CN"/>
        </w:rPr>
        <w:t>指导乡镇人大主席团组织代表</w:t>
      </w:r>
      <w:r>
        <w:rPr>
          <w:rFonts w:hint="eastAsia" w:ascii="仿宋_GB2312" w:hAnsi="仿宋_GB2312" w:eastAsia="仿宋_GB2312" w:cs="仿宋_GB2312"/>
          <w:sz w:val="32"/>
          <w:szCs w:val="32"/>
          <w:lang w:eastAsia="zh-CN"/>
        </w:rPr>
        <w:t>开展视察、调研</w:t>
      </w:r>
      <w:r>
        <w:rPr>
          <w:rFonts w:hint="eastAsia" w:ascii="仿宋_GB2312" w:hAnsi="仿宋_GB2312" w:eastAsia="仿宋_GB2312" w:cs="仿宋_GB2312"/>
          <w:sz w:val="32"/>
          <w:szCs w:val="32"/>
          <w:lang w:val="en-US" w:eastAsia="zh-CN"/>
        </w:rPr>
        <w:t>活动。厂窖镇开展农排用电调研，督促政府专项整治农排用电大见成效。浪拔湖、华阁镇、青树嘴镇开展农村人居环境专项调研。乌嘴乡、中鱼口镇组织代表走进田间地头访民情、听民意，深入整治一线，推动专项整治工作，代表履职能力有新提升。明山头镇、</w:t>
      </w:r>
      <w:r>
        <w:rPr>
          <w:rFonts w:hint="eastAsia" w:ascii="仿宋_GB2312" w:hAnsi="仿宋_GB2312" w:eastAsia="仿宋_GB2312" w:cs="仿宋_GB2312"/>
          <w:sz w:val="32"/>
          <w:szCs w:val="32"/>
          <w:lang w:eastAsia="zh-CN"/>
        </w:rPr>
        <w:t>麻河口</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茅草街镇、武圣宫镇在疫情防范、</w:t>
      </w:r>
      <w:r>
        <w:rPr>
          <w:rFonts w:hint="eastAsia" w:ascii="仿宋_GB2312" w:hAnsi="仿宋_GB2312" w:eastAsia="仿宋_GB2312" w:cs="仿宋_GB2312"/>
          <w:sz w:val="32"/>
          <w:szCs w:val="32"/>
          <w:lang w:eastAsia="zh-CN"/>
        </w:rPr>
        <w:t>禁捕退捕、</w:t>
      </w:r>
      <w:r>
        <w:rPr>
          <w:rFonts w:hint="eastAsia" w:ascii="仿宋_GB2312" w:hAnsi="仿宋_GB2312" w:eastAsia="仿宋_GB2312" w:cs="仿宋_GB2312"/>
          <w:sz w:val="32"/>
          <w:szCs w:val="32"/>
          <w:lang w:val="en-US" w:eastAsia="zh-CN"/>
        </w:rPr>
        <w:t>乡村振兴、老旧</w:t>
      </w:r>
      <w:r>
        <w:rPr>
          <w:rFonts w:hint="eastAsia" w:ascii="仿宋_GB2312" w:hAnsi="仿宋_GB2312" w:eastAsia="仿宋_GB2312" w:cs="仿宋_GB2312"/>
          <w:sz w:val="32"/>
          <w:szCs w:val="32"/>
          <w:lang w:eastAsia="zh-CN"/>
        </w:rPr>
        <w:t>建筑拆除等全程参与</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有效监督。推进乡镇人大规范化建设，</w:t>
      </w:r>
      <w:r>
        <w:rPr>
          <w:rFonts w:hint="eastAsia" w:ascii="仿宋_GB2312" w:hAnsi="仿宋_GB2312" w:eastAsia="仿宋_GB2312" w:cs="仿宋_GB2312"/>
          <w:sz w:val="32"/>
          <w:szCs w:val="32"/>
          <w:lang w:val="en-US" w:eastAsia="zh-CN"/>
        </w:rPr>
        <w:t>南洲镇、三仙湖镇不断推进</w:t>
      </w:r>
      <w:r>
        <w:rPr>
          <w:rFonts w:hint="eastAsia" w:ascii="仿宋" w:hAnsi="仿宋" w:eastAsia="仿宋" w:cs="仿宋"/>
          <w:sz w:val="32"/>
          <w:szCs w:val="32"/>
          <w:lang w:val="en-US" w:eastAsia="zh-CN"/>
        </w:rPr>
        <w:t>“人大代表之家”和人大代表活动室建设，活动开展有声有色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南洲镇、明山头镇、华阁镇、厂窖镇积极向上推介人大工作经验，在全县人大新闻网宣传工作中稳居前列。</w:t>
      </w:r>
    </w:p>
    <w:p w14:paraId="3659070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pacing w:val="-5"/>
          <w:sz w:val="32"/>
          <w:szCs w:val="32"/>
          <w:lang w:val="en-US" w:eastAsia="zh-CN"/>
        </w:rPr>
      </w:pPr>
      <w:r>
        <w:rPr>
          <w:rFonts w:hint="eastAsia" w:ascii="仿宋" w:hAnsi="仿宋" w:eastAsia="仿宋" w:cs="仿宋"/>
          <w:sz w:val="32"/>
          <w:szCs w:val="32"/>
          <w:lang w:val="en-US" w:eastAsia="zh-CN"/>
        </w:rPr>
        <w:t xml:space="preserve">2、党委及代表活动经费42.2万元：通过组织代表活动，加强代表培训，有利于提高代表素质，更好发挥代表作用，提高审议水平，更好履行代表职责；补选代表、代表“双联”。           </w:t>
      </w:r>
      <w:r>
        <w:rPr>
          <w:rFonts w:hint="default" w:ascii="Times New Roman" w:hAnsi="Times New Roman" w:eastAsia="仿宋_GB2312" w:cs="Times New Roman"/>
          <w:spacing w:val="-5"/>
          <w:sz w:val="32"/>
          <w:szCs w:val="32"/>
          <w:lang w:val="en-US" w:eastAsia="zh-CN"/>
        </w:rPr>
        <w:t>共全年共召开常委会和专题主任会议9次、审议议题26项，开展执法检查8次，作出决议决定14件，圆满完成县十八届人大三次会议确定的各项目标任务。</w:t>
      </w:r>
    </w:p>
    <w:p w14:paraId="045CECD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firstLine="620" w:firstLineChars="200"/>
        <w:jc w:val="left"/>
        <w:textAlignment w:val="auto"/>
        <w:rPr>
          <w:rFonts w:hint="eastAsia" w:ascii="方正仿宋_GB2312" w:hAnsi="方正仿宋_GB2312" w:eastAsia="方正仿宋_GB2312" w:cs="方正仿宋_GB2312"/>
          <w:b w:val="0"/>
          <w:bCs w:val="0"/>
          <w:i w:val="0"/>
          <w:iCs w:val="0"/>
          <w:caps w:val="0"/>
          <w:color w:val="222222"/>
          <w:spacing w:val="0"/>
          <w:kern w:val="2"/>
          <w:sz w:val="32"/>
          <w:szCs w:val="32"/>
          <w:shd w:val="clear" w:color="auto" w:fill="FFFFFF"/>
          <w:lang w:val="en-US" w:eastAsia="zh-CN" w:bidi="ar-SA"/>
        </w:rPr>
      </w:pPr>
      <w:r>
        <w:rPr>
          <w:rFonts w:hint="eastAsia" w:ascii="Times New Roman" w:hAnsi="Times New Roman" w:eastAsia="仿宋_GB2312" w:cs="Times New Roman"/>
          <w:spacing w:val="-5"/>
          <w:sz w:val="32"/>
          <w:szCs w:val="32"/>
          <w:lang w:val="en-US" w:eastAsia="zh-CN"/>
        </w:rPr>
        <w:t>发放县代表经费约36万，291人次，</w:t>
      </w:r>
      <w:r>
        <w:rPr>
          <w:rFonts w:hint="default" w:ascii="Times New Roman" w:hAnsi="Times New Roman" w:eastAsia="仿宋_GB2312" w:cs="Times New Roman"/>
          <w:spacing w:val="-5"/>
          <w:sz w:val="32"/>
          <w:szCs w:val="32"/>
          <w:lang w:val="en-US" w:eastAsia="zh-CN"/>
        </w:rPr>
        <w:t>组织</w:t>
      </w:r>
      <w:r>
        <w:rPr>
          <w:rFonts w:hint="eastAsia" w:ascii="Times New Roman" w:hAnsi="Times New Roman" w:eastAsia="仿宋_GB2312" w:cs="Times New Roman"/>
          <w:spacing w:val="-5"/>
          <w:sz w:val="32"/>
          <w:szCs w:val="32"/>
          <w:lang w:val="en-US" w:eastAsia="zh-CN"/>
        </w:rPr>
        <w:t>代表县内培训2次，</w:t>
      </w:r>
      <w:r>
        <w:rPr>
          <w:rFonts w:hint="default" w:ascii="Times New Roman" w:hAnsi="Times New Roman" w:eastAsia="仿宋_GB2312" w:cs="Times New Roman"/>
          <w:spacing w:val="-5"/>
          <w:sz w:val="32"/>
          <w:szCs w:val="32"/>
          <w:lang w:val="en-US" w:eastAsia="zh-CN"/>
        </w:rPr>
        <w:t>全年依法任免地方国家机关工作人员91人次，组织宪法宣誓</w:t>
      </w:r>
      <w:r>
        <w:rPr>
          <w:rFonts w:hint="eastAsia" w:ascii="Times New Roman" w:hAnsi="Times New Roman" w:eastAsia="仿宋_GB2312" w:cs="Times New Roman"/>
          <w:spacing w:val="-5"/>
          <w:sz w:val="32"/>
          <w:szCs w:val="32"/>
          <w:highlight w:val="none"/>
          <w:shd w:val="clear" w:color="auto" w:fill="auto"/>
          <w:lang w:val="en-US" w:eastAsia="zh-CN"/>
        </w:rPr>
        <w:t>39</w:t>
      </w:r>
      <w:r>
        <w:rPr>
          <w:rFonts w:hint="default" w:ascii="Times New Roman" w:hAnsi="Times New Roman" w:eastAsia="仿宋_GB2312" w:cs="Times New Roman"/>
          <w:spacing w:val="-5"/>
          <w:sz w:val="32"/>
          <w:szCs w:val="32"/>
          <w:lang w:val="en-US" w:eastAsia="zh-CN"/>
        </w:rPr>
        <w:t>人次</w:t>
      </w:r>
      <w:r>
        <w:rPr>
          <w:rFonts w:hint="eastAsia" w:ascii="Times New Roman" w:hAnsi="Times New Roman" w:eastAsia="仿宋_GB2312" w:cs="Times New Roman"/>
          <w:spacing w:val="-5"/>
          <w:sz w:val="32"/>
          <w:szCs w:val="32"/>
          <w:lang w:val="en-US" w:eastAsia="zh-CN"/>
        </w:rPr>
        <w:t>，</w:t>
      </w:r>
      <w:r>
        <w:rPr>
          <w:rFonts w:hint="eastAsia" w:ascii="方正仿宋_GB2312" w:hAnsi="方正仿宋_GB2312" w:eastAsia="方正仿宋_GB2312" w:cs="方正仿宋_GB2312"/>
          <w:b w:val="0"/>
          <w:bCs w:val="0"/>
          <w:i w:val="0"/>
          <w:iCs w:val="0"/>
          <w:caps w:val="0"/>
          <w:color w:val="222222"/>
          <w:spacing w:val="0"/>
          <w:kern w:val="2"/>
          <w:sz w:val="32"/>
          <w:szCs w:val="32"/>
          <w:shd w:val="clear" w:color="auto" w:fill="FFFFFF"/>
          <w:lang w:val="en-US" w:eastAsia="zh-CN" w:bidi="ar-SA"/>
        </w:rPr>
        <w:t>对县人民政府被任命人员分批次进行履职评议</w:t>
      </w:r>
      <w:r>
        <w:rPr>
          <w:rFonts w:hint="eastAsia" w:ascii="Times New Roman" w:hAnsi="Times New Roman" w:eastAsia="仿宋_GB2312" w:cs="Times New Roman"/>
          <w:spacing w:val="-5"/>
          <w:sz w:val="32"/>
          <w:szCs w:val="32"/>
          <w:lang w:val="en-US" w:eastAsia="zh-CN"/>
        </w:rPr>
        <w:t>。</w:t>
      </w:r>
      <w:r>
        <w:rPr>
          <w:rFonts w:hint="eastAsia" w:ascii="方正仿宋_GB2312" w:hAnsi="方正仿宋_GB2312" w:eastAsia="方正仿宋_GB2312" w:cs="方正仿宋_GB2312"/>
          <w:b w:val="0"/>
          <w:bCs w:val="0"/>
          <w:i w:val="0"/>
          <w:iCs w:val="0"/>
          <w:caps w:val="0"/>
          <w:color w:val="222222"/>
          <w:spacing w:val="0"/>
          <w:kern w:val="2"/>
          <w:sz w:val="32"/>
          <w:szCs w:val="32"/>
          <w:shd w:val="clear" w:color="auto" w:fill="FFFFFF"/>
          <w:lang w:val="en-US" w:eastAsia="zh-CN" w:bidi="ar-SA"/>
        </w:rPr>
        <w:t>全年累计培训市、县、乡人大代表1200多人次，通过实地培训、现场教学、“人民之友”“智慧人大”“代表之家”等平台学习交流，实现代表参训全覆盖，不断提升代表的站位格局和履职水平。表彰履职优秀人大代表13名，评选优秀代表建议5件，进一步激发代表履职热情。</w:t>
      </w:r>
    </w:p>
    <w:p w14:paraId="60EDBA8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firstLine="640" w:firstLineChars="200"/>
        <w:jc w:val="left"/>
        <w:textAlignment w:val="auto"/>
        <w:rPr>
          <w:rFonts w:hint="eastAsia" w:ascii="方正仿宋_GB2312" w:hAnsi="方正仿宋_GB2312" w:eastAsia="方正仿宋_GB2312" w:cs="方正仿宋_GB2312"/>
          <w:b w:val="0"/>
          <w:bCs w:val="0"/>
          <w:i w:val="0"/>
          <w:iCs w:val="0"/>
          <w:caps w:val="0"/>
          <w:color w:val="222222"/>
          <w:spacing w:val="0"/>
          <w:kern w:val="2"/>
          <w:sz w:val="32"/>
          <w:szCs w:val="32"/>
          <w:shd w:val="clear" w:color="auto" w:fill="FFFFFF"/>
          <w:lang w:val="en-US" w:eastAsia="zh-CN" w:bidi="ar-SA"/>
        </w:rPr>
      </w:pPr>
      <w:r>
        <w:rPr>
          <w:rFonts w:hint="eastAsia" w:ascii="方正仿宋_GB2312" w:hAnsi="方正仿宋_GB2312" w:eastAsia="方正仿宋_GB2312" w:cs="方正仿宋_GB2312"/>
          <w:b w:val="0"/>
          <w:bCs w:val="0"/>
          <w:i w:val="0"/>
          <w:iCs w:val="0"/>
          <w:caps w:val="0"/>
          <w:color w:val="222222"/>
          <w:spacing w:val="0"/>
          <w:kern w:val="2"/>
          <w:sz w:val="32"/>
          <w:szCs w:val="32"/>
          <w:shd w:val="clear" w:color="auto" w:fill="FFFFFF"/>
          <w:lang w:val="en-US" w:eastAsia="zh-CN" w:bidi="ar-SA"/>
        </w:rPr>
        <w:t>健全代表履职档案，指导乡镇人大每年组织部分代表向选民述职，并接受选民询问和满意度测评，推动人大代表更加紧密联系群众，忠实代表人民意志，真正做到为人民用权、为人民履职、为人民服务。</w:t>
      </w:r>
    </w:p>
    <w:p w14:paraId="01F3E0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2312" w:hAnsi="方正仿宋_GB2312" w:eastAsia="方正仿宋_GB2312" w:cs="方正仿宋_GB2312"/>
          <w:b w:val="0"/>
          <w:bCs w:val="0"/>
          <w:i w:val="0"/>
          <w:iCs w:val="0"/>
          <w:caps w:val="0"/>
          <w:color w:val="222222"/>
          <w:spacing w:val="0"/>
          <w:kern w:val="2"/>
          <w:sz w:val="32"/>
          <w:szCs w:val="32"/>
          <w:shd w:val="clear" w:color="auto" w:fill="FFFFFF"/>
          <w:lang w:val="en-US" w:eastAsia="zh-CN" w:bidi="ar-SA"/>
        </w:rPr>
      </w:pPr>
      <w:r>
        <w:rPr>
          <w:rFonts w:hint="eastAsia" w:ascii="方正仿宋_GB2312" w:hAnsi="方正仿宋_GB2312" w:eastAsia="方正仿宋_GB2312" w:cs="方正仿宋_GB2312"/>
          <w:b w:val="0"/>
          <w:bCs w:val="0"/>
          <w:i w:val="0"/>
          <w:iCs w:val="0"/>
          <w:caps w:val="0"/>
          <w:color w:val="222222"/>
          <w:spacing w:val="0"/>
          <w:kern w:val="2"/>
          <w:sz w:val="32"/>
          <w:szCs w:val="32"/>
          <w:shd w:val="clear" w:color="auto" w:fill="FFFFFF"/>
          <w:lang w:val="en-US" w:eastAsia="zh-CN" w:bidi="ar-SA"/>
        </w:rPr>
        <w:t>深化代表对常委会工作的参与，邀请相关领域代表列席人大常委会会议、专题主任会议，参加调研视察、建议督办等活动。深入把握坚持好完善好运行好人民代表大会制度的内在要求，充分展现代表在联系群众中的人民本色、法治底色、履职成色，确保人大工作“全周期”汇集民意、“全链条”吸纳民智、“全方位”体现民情。把代表联络站作为闭会期间代表工作的主阵地，“站”在人民身边，“联”到群众心里，“码上找代表”成为民主时尚，线上线下联络站同向发力、同题共答。将每月10日定为代表进站“坐班日”，全年进站开展“法治护绿”“法治护安”活动150余次，接待选民600余人次，收集和处理群众反映问题200余件，让人大代表联系人民群众成为发展全过程人民民主的生动实践。严格落实“双联”工作机制，组织各级代表扎实开展主题实践活动，今年共开展省市代表小组活动3次，县乡代表双联活动46次，收集建议意见120余条，并逐项推动解决落实。</w:t>
      </w:r>
    </w:p>
    <w:p w14:paraId="303267EC">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人大业务工作经费33</w:t>
      </w:r>
      <w:r>
        <w:rPr>
          <w:rFonts w:hint="eastAsia" w:ascii="仿宋" w:hAnsi="仿宋" w:eastAsia="仿宋" w:cs="仿宋"/>
          <w:sz w:val="32"/>
          <w:szCs w:val="32"/>
        </w:rPr>
        <w:t>万元：</w:t>
      </w:r>
      <w:r>
        <w:rPr>
          <w:rFonts w:hint="eastAsia" w:ascii="仿宋" w:hAnsi="仿宋" w:eastAsia="仿宋" w:cs="仿宋"/>
          <w:sz w:val="32"/>
          <w:szCs w:val="32"/>
          <w:lang w:val="en-US" w:eastAsia="zh-CN"/>
        </w:rPr>
        <w:t>县委有部署，人大见行动。人大常委会班子主动投身全县改革发展和经济建设之中，积极参与重要项目建设、重点企业帮联、招商引资等工作，切实把县委重大决策部署落实到人大工作始终。</w:t>
      </w:r>
      <w:r>
        <w:rPr>
          <w:rFonts w:hint="eastAsia" w:ascii="仿宋" w:hAnsi="仿宋" w:eastAsia="仿宋" w:cs="仿宋"/>
          <w:sz w:val="32"/>
          <w:szCs w:val="32"/>
          <w:lang w:eastAsia="zh-CN"/>
        </w:rPr>
        <w:t>坚持把全力服务重大项目作为人大工作融入全县工作大局的切入点，用心服务棚户区改造、大通湖水环境治理、高标准农田建设等工作，统筹协调、谋划部署，保障和支持重点项目建设稳步推进。</w:t>
      </w:r>
      <w:r>
        <w:rPr>
          <w:rFonts w:hint="eastAsia" w:ascii="仿宋" w:hAnsi="仿宋" w:eastAsia="仿宋" w:cs="仿宋"/>
          <w:sz w:val="32"/>
          <w:szCs w:val="32"/>
        </w:rPr>
        <w:t>组织代表集中视察重</w:t>
      </w:r>
      <w:r>
        <w:rPr>
          <w:rFonts w:hint="eastAsia" w:ascii="仿宋" w:hAnsi="仿宋" w:eastAsia="仿宋" w:cs="仿宋"/>
          <w:sz w:val="32"/>
          <w:szCs w:val="32"/>
          <w:lang w:eastAsia="zh-CN"/>
        </w:rPr>
        <w:t>点</w:t>
      </w:r>
      <w:r>
        <w:rPr>
          <w:rFonts w:hint="eastAsia" w:ascii="仿宋" w:hAnsi="仿宋" w:eastAsia="仿宋" w:cs="仿宋"/>
          <w:sz w:val="32"/>
          <w:szCs w:val="32"/>
        </w:rPr>
        <w:t>项目，助推各项决策落实见效</w:t>
      </w:r>
      <w:r>
        <w:rPr>
          <w:rFonts w:hint="eastAsia" w:ascii="仿宋" w:hAnsi="仿宋" w:eastAsia="仿宋" w:cs="仿宋"/>
          <w:sz w:val="32"/>
          <w:szCs w:val="32"/>
          <w:lang w:eastAsia="zh-CN"/>
        </w:rPr>
        <w:t>，在高质量发展中不断跑出“加速度”</w:t>
      </w:r>
      <w:r>
        <w:rPr>
          <w:rFonts w:hint="eastAsia" w:ascii="仿宋" w:hAnsi="仿宋" w:eastAsia="仿宋" w:cs="仿宋"/>
          <w:sz w:val="32"/>
          <w:szCs w:val="32"/>
        </w:rPr>
        <w:t>。</w:t>
      </w:r>
    </w:p>
    <w:p w14:paraId="148FF4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仿宋" w:cs="方正仿宋_GBK"/>
          <w:color w:val="auto"/>
          <w:kern w:val="2"/>
          <w:sz w:val="32"/>
          <w:szCs w:val="32"/>
          <w:lang w:val="en-US" w:eastAsia="zh-CN" w:bidi="ar-SA"/>
        </w:rPr>
      </w:pPr>
      <w:r>
        <w:rPr>
          <w:rFonts w:hint="eastAsia" w:ascii="方正仿宋_GB2312" w:hAnsi="方正仿宋_GB2312" w:eastAsia="方正仿宋_GB2312" w:cs="方正仿宋_GB2312"/>
          <w:b w:val="0"/>
          <w:bCs w:val="0"/>
          <w:color w:val="auto"/>
          <w:sz w:val="32"/>
          <w:szCs w:val="32"/>
          <w:lang w:val="en-US" w:eastAsia="zh-CN"/>
        </w:rPr>
        <w:t>抽选8名员额法官和5名员额检察官及其办理的104件案件开展评议评查，完善案件评查方法和程序，部分重点案件的评查延伸至办案全过程，切实维护社会公平正义、保障人民群众合法权益。加强规范性文件备案审查，主动审查和电子报备实现常态化。挂牌成立2个基层立法点，全力协助省市人大做好《湖南省纠纷多元预防化解条例》和《益阳市餐饮油烟污染防治若干规定（草案）》等立法调研。制定《关于加强人大监督与检察监督贯通协调的实施办法（试行）》，探索建立双向数据平台衔接机制，不断增强人大监督与检察监督合力。将对事监督与对人监督有机结合，抽选5名被任命人员开展述职评议，确保人民赋予的权力始终为人民谋利益。</w:t>
      </w:r>
    </w:p>
    <w:p w14:paraId="06FF32E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各级人大代表投身创文巩卫、防汛抗灾、秸秆禁烧等中心工作，深入一线做好</w:t>
      </w:r>
      <w:r>
        <w:rPr>
          <w:rFonts w:hint="eastAsia" w:ascii="仿宋" w:hAnsi="仿宋" w:eastAsia="仿宋" w:cs="仿宋"/>
          <w:sz w:val="32"/>
          <w:szCs w:val="32"/>
          <w:lang w:val="en-US" w:eastAsia="zh-CN"/>
        </w:rPr>
        <w:t>协调督导、矛盾化解、志愿服务，踊跃</w:t>
      </w:r>
      <w:r>
        <w:rPr>
          <w:rFonts w:hint="eastAsia" w:ascii="仿宋" w:hAnsi="仿宋" w:eastAsia="仿宋" w:cs="仿宋"/>
          <w:sz w:val="32"/>
          <w:szCs w:val="32"/>
          <w:lang w:eastAsia="zh-CN"/>
        </w:rPr>
        <w:t>展现人大形象。</w:t>
      </w:r>
    </w:p>
    <w:p w14:paraId="3DB44F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sz w:val="32"/>
          <w:szCs w:val="32"/>
        </w:rPr>
      </w:pPr>
      <w:r>
        <w:rPr>
          <w:rFonts w:hint="eastAsia" w:ascii="仿宋" w:hAnsi="仿宋" w:eastAsia="仿宋" w:cs="仿宋"/>
          <w:sz w:val="32"/>
          <w:szCs w:val="32"/>
          <w:lang w:eastAsia="zh-CN"/>
        </w:rPr>
        <w:t>常委会围绕全县经济和社会发展大局，突出重点，认真开展工作监督。强化对监察机关、审判机关、检察机关工作监督</w:t>
      </w:r>
      <w:r>
        <w:rPr>
          <w:rFonts w:hint="eastAsia" w:ascii="仿宋" w:hAnsi="仿宋" w:eastAsia="仿宋" w:cs="仿宋"/>
          <w:sz w:val="32"/>
          <w:szCs w:val="32"/>
          <w:lang w:val="en-US" w:eastAsia="zh-CN"/>
        </w:rPr>
        <w:t>。</w:t>
      </w:r>
      <w:r>
        <w:rPr>
          <w:rFonts w:hint="eastAsia" w:ascii="仿宋_GB2312" w:hAnsi="仿宋_GB2312" w:eastAsia="仿宋_GB2312" w:cs="Times New Roman"/>
          <w:sz w:val="32"/>
          <w:szCs w:val="22"/>
          <w:lang w:val="en-US" w:eastAsia="zh-CN"/>
        </w:rPr>
        <w:t>加强重大项目跟踪监督，组织驻南省、市人大代表和人大常委会委员开展重点工程专项视察，推动重大项目加快实施。</w:t>
      </w:r>
      <w:r>
        <w:rPr>
          <w:rFonts w:hint="default" w:ascii="Times New Roman" w:hAnsi="Times New Roman" w:eastAsia="仿宋_GB2312" w:cs="Times New Roman"/>
          <w:spacing w:val="-5"/>
          <w:sz w:val="32"/>
          <w:szCs w:val="32"/>
          <w:lang w:val="en-US" w:eastAsia="zh-CN"/>
        </w:rPr>
        <w:t>常委会抓住社会普遍关注的司法领域热点问题，听取审议县人民法院关于刑事审判工作情况的报告；听取审议县人民检察院民事行政检察及公益诉讼等工作情况的报告；202</w:t>
      </w:r>
      <w:r>
        <w:rPr>
          <w:rFonts w:hint="eastAsia" w:ascii="Times New Roman" w:hAnsi="Times New Roman" w:eastAsia="仿宋_GB2312" w:cs="Times New Roman"/>
          <w:spacing w:val="-5"/>
          <w:sz w:val="32"/>
          <w:szCs w:val="32"/>
          <w:lang w:val="en-US" w:eastAsia="zh-CN"/>
        </w:rPr>
        <w:t>4</w:t>
      </w:r>
      <w:r>
        <w:rPr>
          <w:rFonts w:hint="default" w:ascii="Times New Roman" w:hAnsi="Times New Roman" w:eastAsia="仿宋_GB2312" w:cs="Times New Roman"/>
          <w:spacing w:val="-5"/>
          <w:sz w:val="32"/>
          <w:szCs w:val="32"/>
          <w:lang w:val="en-US" w:eastAsia="zh-CN"/>
        </w:rPr>
        <w:t>年开展《中华人民共和国民法典》贯彻实施情况执法检查，督促县人民检察院、县人民法院、县公安局、县司法局进一步强化协作；扎实开展</w:t>
      </w:r>
      <w:r>
        <w:rPr>
          <w:rFonts w:hint="eastAsia" w:ascii="Times New Roman" w:hAnsi="Times New Roman" w:eastAsia="仿宋_GB2312" w:cs="Times New Roman"/>
          <w:spacing w:val="-5"/>
          <w:sz w:val="32"/>
          <w:szCs w:val="32"/>
          <w:lang w:val="en-US" w:eastAsia="zh-CN"/>
        </w:rPr>
        <w:t>宪法宣传、“两官履职”</w:t>
      </w:r>
      <w:r>
        <w:rPr>
          <w:rFonts w:hint="default" w:ascii="Times New Roman" w:hAnsi="Times New Roman" w:eastAsia="仿宋_GB2312" w:cs="Times New Roman"/>
          <w:spacing w:val="-5"/>
          <w:sz w:val="32"/>
          <w:szCs w:val="32"/>
          <w:lang w:val="en-US" w:eastAsia="zh-CN"/>
        </w:rPr>
        <w:t>工作，维护人民群众合法权益，提升司法公信力。对县人民政府《</w:t>
      </w:r>
      <w:r>
        <w:rPr>
          <w:rFonts w:hint="eastAsia" w:ascii="Times New Roman" w:hAnsi="Times New Roman" w:eastAsia="仿宋_GB2312" w:cs="Times New Roman"/>
          <w:spacing w:val="-5"/>
          <w:sz w:val="32"/>
          <w:szCs w:val="32"/>
          <w:lang w:val="en-US" w:eastAsia="zh-CN"/>
        </w:rPr>
        <w:t>关于我县湿地保护“一法一条例”贯彻实施情况</w:t>
      </w:r>
      <w:r>
        <w:rPr>
          <w:rFonts w:hint="default" w:ascii="Times New Roman" w:hAnsi="Times New Roman" w:eastAsia="仿宋_GB2312" w:cs="Times New Roman"/>
          <w:spacing w:val="-5"/>
          <w:sz w:val="32"/>
          <w:szCs w:val="32"/>
          <w:lang w:val="en-US" w:eastAsia="zh-CN"/>
        </w:rPr>
        <w:t>》开展调研，并提出审议意见。坚持规范性文件备案审查，认真审查政府提请的备案文件</w:t>
      </w:r>
      <w:r>
        <w:rPr>
          <w:rFonts w:hint="eastAsia" w:ascii="Times New Roman" w:hAnsi="Times New Roman" w:eastAsia="仿宋_GB2312" w:cs="Times New Roman"/>
          <w:spacing w:val="-5"/>
          <w:sz w:val="32"/>
          <w:szCs w:val="32"/>
          <w:lang w:val="en-US" w:eastAsia="zh-CN"/>
        </w:rPr>
        <w:t>12</w:t>
      </w:r>
      <w:r>
        <w:rPr>
          <w:rFonts w:hint="default" w:ascii="Times New Roman" w:hAnsi="Times New Roman" w:eastAsia="仿宋_GB2312" w:cs="Times New Roman"/>
          <w:spacing w:val="-5"/>
          <w:sz w:val="32"/>
          <w:szCs w:val="32"/>
          <w:lang w:val="en-US" w:eastAsia="zh-CN"/>
        </w:rPr>
        <w:t>件、乡镇人民代表大会提请的决议决定</w:t>
      </w:r>
      <w:r>
        <w:rPr>
          <w:rFonts w:hint="eastAsia" w:ascii="Times New Roman" w:hAnsi="Times New Roman" w:eastAsia="仿宋_GB2312" w:cs="Times New Roman"/>
          <w:spacing w:val="-5"/>
          <w:sz w:val="32"/>
          <w:szCs w:val="32"/>
          <w:lang w:val="en-US" w:eastAsia="zh-CN"/>
        </w:rPr>
        <w:t>4</w:t>
      </w:r>
      <w:r>
        <w:rPr>
          <w:rFonts w:hint="default" w:ascii="Times New Roman" w:hAnsi="Times New Roman" w:eastAsia="仿宋_GB2312" w:cs="Times New Roman"/>
          <w:spacing w:val="-5"/>
          <w:sz w:val="32"/>
          <w:szCs w:val="32"/>
          <w:lang w:val="en-US" w:eastAsia="zh-CN"/>
        </w:rPr>
        <w:t>件，切实监督依法行政。持续开展人大代表旁听评议法院庭审活动，本届以来常委会组织省市县人大代表</w:t>
      </w:r>
      <w:r>
        <w:rPr>
          <w:rFonts w:hint="eastAsia" w:ascii="Times New Roman" w:hAnsi="Times New Roman" w:eastAsia="仿宋_GB2312" w:cs="Times New Roman"/>
          <w:spacing w:val="-5"/>
          <w:sz w:val="32"/>
          <w:szCs w:val="32"/>
          <w:lang w:val="en-US" w:eastAsia="zh-CN"/>
        </w:rPr>
        <w:t>19</w:t>
      </w:r>
      <w:r>
        <w:rPr>
          <w:rFonts w:hint="default" w:ascii="Times New Roman" w:hAnsi="Times New Roman" w:eastAsia="仿宋_GB2312" w:cs="Times New Roman"/>
          <w:spacing w:val="-5"/>
          <w:sz w:val="32"/>
          <w:szCs w:val="32"/>
          <w:lang w:val="en-US" w:eastAsia="zh-CN"/>
        </w:rPr>
        <w:t>人次旁听法院庭审</w:t>
      </w:r>
      <w:r>
        <w:rPr>
          <w:rFonts w:hint="eastAsia" w:ascii="Times New Roman" w:hAnsi="Times New Roman" w:eastAsia="仿宋_GB2312" w:cs="Times New Roman"/>
          <w:spacing w:val="-5"/>
          <w:sz w:val="32"/>
          <w:szCs w:val="32"/>
          <w:lang w:val="en-US" w:eastAsia="zh-CN"/>
        </w:rPr>
        <w:t>4</w:t>
      </w:r>
      <w:r>
        <w:rPr>
          <w:rFonts w:hint="default" w:ascii="Times New Roman" w:hAnsi="Times New Roman" w:eastAsia="仿宋_GB2312" w:cs="Times New Roman"/>
          <w:spacing w:val="-5"/>
          <w:sz w:val="32"/>
          <w:szCs w:val="32"/>
          <w:lang w:val="en-US" w:eastAsia="zh-CN"/>
        </w:rPr>
        <w:t>场，对刑事、行政、民事案件的庭审情况进行集中评议，有力促进法院庭审工作的规范和司法能力的提升。</w:t>
      </w:r>
    </w:p>
    <w:p w14:paraId="631BAC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imes New Roman"/>
          <w:sz w:val="32"/>
          <w:szCs w:val="22"/>
          <w:lang w:val="en-US" w:eastAsia="zh-CN"/>
        </w:rPr>
      </w:pPr>
      <w:r>
        <w:rPr>
          <w:rFonts w:hint="eastAsia" w:ascii="仿宋_GB2312" w:hAnsi="仿宋_GB2312" w:eastAsia="仿宋_GB2312" w:cs="仿宋_GB2312"/>
          <w:sz w:val="32"/>
          <w:szCs w:val="32"/>
          <w:lang w:val="en-US" w:eastAsia="zh-CN"/>
        </w:rPr>
        <w:t>先后开展了大通湖南县流域、三仙湖水库水环境治理调研和突出生态环境问题整改督导，确保生态环境问题按序时进度整改。专题</w:t>
      </w:r>
      <w:r>
        <w:rPr>
          <w:rFonts w:hint="default" w:ascii="仿宋_GB2312" w:hAnsi="仿宋_GB2312" w:eastAsia="仿宋_GB2312" w:cs="Times New Roman"/>
          <w:sz w:val="32"/>
          <w:szCs w:val="22"/>
          <w:lang w:val="en-US" w:eastAsia="zh-CN"/>
        </w:rPr>
        <w:t>听取和审议县人民政府关于三仙湖水库生态环境综合治理及综合效益情况的报告</w:t>
      </w:r>
      <w:r>
        <w:rPr>
          <w:rFonts w:hint="eastAsia" w:ascii="仿宋_GB2312" w:hAnsi="仿宋_GB2312" w:eastAsia="仿宋_GB2312" w:cs="Times New Roman"/>
          <w:sz w:val="32"/>
          <w:szCs w:val="22"/>
          <w:lang w:val="en-US" w:eastAsia="zh-CN"/>
        </w:rPr>
        <w:t>，对加强三仙湖水库生态环境综合治理提出建议。配合市人大开展</w:t>
      </w:r>
      <w:r>
        <w:rPr>
          <w:rFonts w:hint="eastAsia" w:ascii="仿宋" w:hAnsi="仿宋" w:eastAsia="仿宋" w:cs="仿宋"/>
          <w:sz w:val="32"/>
          <w:szCs w:val="32"/>
          <w:lang w:val="en-US" w:eastAsia="zh-CN"/>
        </w:rPr>
        <w:t>畜禽粪污资源化利用和农药化肥减量行动调研，促进农村人居环境改善。</w:t>
      </w:r>
    </w:p>
    <w:p w14:paraId="356F14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4、委室经费30</w:t>
      </w:r>
      <w:r>
        <w:rPr>
          <w:rFonts w:hint="eastAsia" w:ascii="仿宋" w:hAnsi="仿宋" w:eastAsia="仿宋" w:cs="仿宋"/>
          <w:sz w:val="32"/>
          <w:szCs w:val="32"/>
        </w:rPr>
        <w:t>万元</w:t>
      </w:r>
      <w:r>
        <w:rPr>
          <w:rFonts w:hint="eastAsia" w:ascii="仿宋" w:hAnsi="仿宋" w:eastAsia="仿宋" w:cs="仿宋"/>
          <w:sz w:val="32"/>
          <w:szCs w:val="32"/>
          <w:lang w:eastAsia="zh-CN"/>
        </w:rPr>
        <w:t>、专委会工作经费</w:t>
      </w:r>
      <w:r>
        <w:rPr>
          <w:rFonts w:hint="eastAsia" w:ascii="仿宋" w:hAnsi="仿宋" w:eastAsia="仿宋" w:cs="仿宋"/>
          <w:sz w:val="32"/>
          <w:szCs w:val="32"/>
          <w:lang w:val="en-US" w:eastAsia="zh-CN"/>
        </w:rPr>
        <w:t>3.5万元</w:t>
      </w:r>
      <w:r>
        <w:rPr>
          <w:rFonts w:hint="eastAsia" w:ascii="仿宋" w:hAnsi="仿宋" w:eastAsia="仿宋" w:cs="仿宋"/>
          <w:sz w:val="32"/>
          <w:szCs w:val="32"/>
        </w:rPr>
        <w:t>：</w:t>
      </w:r>
    </w:p>
    <w:p w14:paraId="7A1365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按年度计划安排，</w:t>
      </w:r>
      <w:r>
        <w:rPr>
          <w:rFonts w:hint="eastAsia" w:ascii="仿宋" w:hAnsi="仿宋" w:eastAsia="仿宋" w:cs="仿宋"/>
          <w:sz w:val="32"/>
          <w:szCs w:val="32"/>
          <w:lang w:val="en-US" w:eastAsia="zh-CN"/>
        </w:rPr>
        <w:t>各专委会</w:t>
      </w:r>
      <w:r>
        <w:rPr>
          <w:rFonts w:hint="eastAsia" w:ascii="仿宋" w:hAnsi="仿宋" w:eastAsia="仿宋" w:cs="仿宋"/>
          <w:sz w:val="32"/>
          <w:szCs w:val="32"/>
          <w:lang w:eastAsia="zh-CN"/>
        </w:rPr>
        <w:t>认真开展专项工作审议、“专题询问”、</w:t>
      </w:r>
      <w:r>
        <w:rPr>
          <w:rFonts w:hint="eastAsia" w:ascii="仿宋" w:hAnsi="仿宋" w:eastAsia="仿宋" w:cs="仿宋"/>
          <w:sz w:val="32"/>
          <w:szCs w:val="32"/>
          <w:lang w:val="en-US" w:eastAsia="zh-CN"/>
        </w:rPr>
        <w:t>执法检查、</w:t>
      </w:r>
      <w:r>
        <w:rPr>
          <w:rFonts w:hint="eastAsia" w:ascii="仿宋" w:hAnsi="仿宋" w:eastAsia="仿宋" w:cs="仿宋"/>
          <w:sz w:val="32"/>
          <w:szCs w:val="32"/>
          <w:lang w:eastAsia="zh-CN"/>
        </w:rPr>
        <w:t>调研等</w:t>
      </w:r>
      <w:r>
        <w:rPr>
          <w:rFonts w:hint="eastAsia" w:ascii="仿宋" w:hAnsi="仿宋" w:eastAsia="仿宋" w:cs="仿宋"/>
          <w:sz w:val="32"/>
          <w:szCs w:val="32"/>
          <w:lang w:val="en-US" w:eastAsia="zh-CN"/>
        </w:rPr>
        <w:t>。并邀请</w:t>
      </w:r>
      <w:r>
        <w:rPr>
          <w:rFonts w:hint="default" w:ascii="Times New Roman" w:hAnsi="Times New Roman" w:eastAsia="仿宋_GB2312" w:cs="Times New Roman"/>
          <w:spacing w:val="-5"/>
          <w:sz w:val="32"/>
          <w:szCs w:val="32"/>
          <w:lang w:val="en-US" w:eastAsia="zh-CN"/>
        </w:rPr>
        <w:t>人大代表、常委会组成人员</w:t>
      </w:r>
      <w:r>
        <w:rPr>
          <w:rFonts w:hint="eastAsia" w:ascii="Times New Roman" w:hAnsi="Times New Roman" w:eastAsia="仿宋_GB2312" w:cs="Times New Roman"/>
          <w:spacing w:val="-5"/>
          <w:sz w:val="32"/>
          <w:szCs w:val="32"/>
          <w:lang w:val="en-US" w:eastAsia="zh-CN"/>
        </w:rPr>
        <w:t>、兼职委员</w:t>
      </w:r>
      <w:r>
        <w:rPr>
          <w:rFonts w:hint="default" w:ascii="Times New Roman" w:hAnsi="Times New Roman" w:eastAsia="仿宋_GB2312" w:cs="Times New Roman"/>
          <w:spacing w:val="-5"/>
          <w:sz w:val="32"/>
          <w:szCs w:val="32"/>
          <w:lang w:val="en-US" w:eastAsia="zh-CN"/>
        </w:rPr>
        <w:t>，深入一线调研，听取多方意见，研究解决办法，为常委会精准审议备好课、把准脉，确保决议决定的科学性和操作性。</w:t>
      </w:r>
    </w:p>
    <w:p w14:paraId="76B7175C">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jc w:val="left"/>
        <w:textAlignment w:val="auto"/>
        <w:rPr>
          <w:rFonts w:hint="eastAsia" w:ascii="仿宋_GB2312" w:hAnsi="仿宋_GB2312" w:eastAsia="仿宋_GB2312" w:cs="Times New Roman"/>
          <w:sz w:val="32"/>
          <w:szCs w:val="22"/>
          <w:lang w:val="en-US" w:eastAsia="zh-CN"/>
        </w:rPr>
      </w:pPr>
      <w:r>
        <w:rPr>
          <w:rFonts w:hint="default" w:ascii="Times New Roman" w:hAnsi="Times New Roman" w:eastAsia="仿宋_GB2312" w:cs="Times New Roman"/>
          <w:spacing w:val="-5"/>
          <w:sz w:val="32"/>
          <w:szCs w:val="32"/>
          <w:lang w:val="en-US" w:eastAsia="zh-CN"/>
        </w:rPr>
        <w:t>结合我县实际，把发展规划编制、政府债务</w:t>
      </w:r>
      <w:r>
        <w:rPr>
          <w:rFonts w:hint="eastAsia" w:ascii="Times New Roman" w:hAnsi="Times New Roman" w:eastAsia="仿宋_GB2312" w:cs="Times New Roman"/>
          <w:spacing w:val="-5"/>
          <w:sz w:val="32"/>
          <w:szCs w:val="32"/>
          <w:lang w:val="en-US" w:eastAsia="zh-CN"/>
        </w:rPr>
        <w:t>、</w:t>
      </w:r>
      <w:r>
        <w:rPr>
          <w:rFonts w:hint="default" w:ascii="Times New Roman" w:hAnsi="Times New Roman" w:eastAsia="仿宋_GB2312" w:cs="Times New Roman"/>
          <w:spacing w:val="-5"/>
          <w:sz w:val="32"/>
          <w:szCs w:val="32"/>
          <w:lang w:val="en-US" w:eastAsia="zh-CN"/>
        </w:rPr>
        <w:t>预算</w:t>
      </w:r>
      <w:r>
        <w:rPr>
          <w:rFonts w:hint="eastAsia" w:ascii="Times New Roman" w:hAnsi="Times New Roman" w:eastAsia="仿宋_GB2312" w:cs="Times New Roman"/>
          <w:spacing w:val="-5"/>
          <w:sz w:val="32"/>
          <w:szCs w:val="32"/>
          <w:lang w:val="en-US" w:eastAsia="zh-CN"/>
        </w:rPr>
        <w:t>与预算执行</w:t>
      </w:r>
      <w:r>
        <w:rPr>
          <w:rFonts w:hint="default" w:ascii="Times New Roman" w:hAnsi="Times New Roman" w:eastAsia="仿宋_GB2312" w:cs="Times New Roman"/>
          <w:spacing w:val="-5"/>
          <w:sz w:val="32"/>
          <w:szCs w:val="32"/>
          <w:lang w:val="en-US" w:eastAsia="zh-CN"/>
        </w:rPr>
        <w:t>、生态保护治理、</w:t>
      </w:r>
      <w:r>
        <w:rPr>
          <w:rFonts w:hint="eastAsia" w:ascii="Times New Roman" w:hAnsi="Times New Roman" w:eastAsia="仿宋_GB2312" w:cs="Times New Roman"/>
          <w:spacing w:val="-5"/>
          <w:sz w:val="32"/>
          <w:szCs w:val="32"/>
          <w:lang w:val="en-US" w:eastAsia="zh-CN"/>
        </w:rPr>
        <w:t>“法制护绿”“法制护安”、述职评议、</w:t>
      </w:r>
      <w:r>
        <w:rPr>
          <w:rFonts w:hint="default" w:ascii="Times New Roman" w:hAnsi="Times New Roman" w:eastAsia="仿宋_GB2312" w:cs="Times New Roman"/>
          <w:spacing w:val="-5"/>
          <w:sz w:val="32"/>
          <w:szCs w:val="32"/>
          <w:lang w:val="en-US" w:eastAsia="zh-CN"/>
        </w:rPr>
        <w:t>职业教育发展</w:t>
      </w:r>
      <w:r>
        <w:rPr>
          <w:rFonts w:hint="eastAsia" w:ascii="Times New Roman" w:hAnsi="Times New Roman" w:eastAsia="仿宋_GB2312" w:cs="Times New Roman"/>
          <w:spacing w:val="-5"/>
          <w:sz w:val="32"/>
          <w:szCs w:val="32"/>
          <w:lang w:val="en-US" w:eastAsia="zh-CN"/>
        </w:rPr>
        <w:t>、国有资产管理</w:t>
      </w:r>
      <w:r>
        <w:rPr>
          <w:rFonts w:hint="eastAsia" w:ascii="Times New Roman" w:hAnsi="Times New Roman" w:cs="Times New Roman"/>
          <w:spacing w:val="-5"/>
          <w:sz w:val="32"/>
          <w:szCs w:val="32"/>
          <w:lang w:val="en-US" w:eastAsia="zh-CN"/>
        </w:rPr>
        <w:t>等</w:t>
      </w:r>
      <w:r>
        <w:rPr>
          <w:rFonts w:hint="default" w:ascii="Times New Roman" w:hAnsi="Times New Roman" w:eastAsia="仿宋_GB2312" w:cs="Times New Roman"/>
          <w:spacing w:val="-5"/>
          <w:sz w:val="32"/>
          <w:szCs w:val="32"/>
          <w:lang w:val="en-US" w:eastAsia="zh-CN"/>
        </w:rPr>
        <w:t>等列入选题范围。</w:t>
      </w:r>
      <w:r>
        <w:rPr>
          <w:rFonts w:hint="eastAsia" w:ascii="Times New Roman" w:hAnsi="Times New Roman" w:eastAsia="仿宋_GB2312" w:cs="Times New Roman"/>
          <w:spacing w:val="-5"/>
          <w:sz w:val="32"/>
          <w:szCs w:val="32"/>
          <w:lang w:val="en-US" w:eastAsia="zh-CN"/>
        </w:rPr>
        <w:t>本年度</w:t>
      </w:r>
      <w:r>
        <w:rPr>
          <w:rFonts w:hint="default" w:ascii="Times New Roman" w:hAnsi="Times New Roman" w:eastAsia="仿宋_GB2312" w:cs="Times New Roman"/>
          <w:spacing w:val="-5"/>
          <w:sz w:val="32"/>
          <w:szCs w:val="32"/>
          <w:lang w:val="en-US" w:eastAsia="zh-CN"/>
        </w:rPr>
        <w:t>调研视察</w:t>
      </w:r>
      <w:r>
        <w:rPr>
          <w:rFonts w:hint="eastAsia" w:ascii="Times New Roman" w:hAnsi="Times New Roman" w:eastAsia="仿宋_GB2312" w:cs="Times New Roman"/>
          <w:spacing w:val="-5"/>
          <w:sz w:val="32"/>
          <w:szCs w:val="32"/>
          <w:lang w:val="en-US" w:eastAsia="zh-CN"/>
        </w:rPr>
        <w:t>七十余</w:t>
      </w:r>
      <w:r>
        <w:rPr>
          <w:rFonts w:hint="default" w:ascii="Times New Roman" w:hAnsi="Times New Roman" w:eastAsia="仿宋_GB2312" w:cs="Times New Roman"/>
          <w:spacing w:val="-5"/>
          <w:sz w:val="32"/>
          <w:szCs w:val="32"/>
          <w:lang w:val="en-US" w:eastAsia="zh-CN"/>
        </w:rPr>
        <w:t>次，配合省市人大开展调研和执法检查</w:t>
      </w:r>
      <w:r>
        <w:rPr>
          <w:rFonts w:hint="eastAsia" w:ascii="Times New Roman" w:hAnsi="Times New Roman" w:eastAsia="仿宋_GB2312" w:cs="Times New Roman"/>
          <w:spacing w:val="-5"/>
          <w:sz w:val="32"/>
          <w:szCs w:val="32"/>
          <w:highlight w:val="none"/>
          <w:lang w:val="en-US" w:eastAsia="zh-CN"/>
        </w:rPr>
        <w:t>15</w:t>
      </w:r>
      <w:r>
        <w:rPr>
          <w:rFonts w:hint="default" w:ascii="Times New Roman" w:hAnsi="Times New Roman" w:eastAsia="仿宋_GB2312" w:cs="Times New Roman"/>
          <w:spacing w:val="-5"/>
          <w:sz w:val="32"/>
          <w:szCs w:val="32"/>
          <w:lang w:val="en-US" w:eastAsia="zh-CN"/>
        </w:rPr>
        <w:t>次；先后作出了《关于批准＜</w:t>
      </w:r>
      <w:r>
        <w:rPr>
          <w:rFonts w:hint="eastAsia" w:ascii="Times New Roman" w:hAnsi="Times New Roman" w:eastAsia="仿宋_GB2312" w:cs="Times New Roman"/>
          <w:spacing w:val="-5"/>
          <w:sz w:val="32"/>
          <w:szCs w:val="32"/>
          <w:lang w:val="en-US" w:eastAsia="zh-CN"/>
        </w:rPr>
        <w:t>2023年财政决算和2024年上半年县级财政预算执行情况</w:t>
      </w:r>
      <w:r>
        <w:rPr>
          <w:rFonts w:hint="default" w:ascii="Times New Roman" w:hAnsi="Times New Roman" w:eastAsia="仿宋_GB2312" w:cs="Times New Roman"/>
          <w:spacing w:val="-5"/>
          <w:sz w:val="32"/>
          <w:szCs w:val="32"/>
          <w:lang w:val="en-US" w:eastAsia="zh-CN"/>
        </w:rPr>
        <w:t>的决议＞》等决议决定</w:t>
      </w:r>
      <w:r>
        <w:rPr>
          <w:rFonts w:hint="eastAsia" w:ascii="Times New Roman" w:hAnsi="Times New Roman" w:eastAsia="仿宋_GB2312" w:cs="Times New Roman"/>
          <w:spacing w:val="-5"/>
          <w:sz w:val="32"/>
          <w:szCs w:val="32"/>
          <w:lang w:val="en-US" w:eastAsia="zh-CN"/>
        </w:rPr>
        <w:t>14</w:t>
      </w:r>
      <w:r>
        <w:rPr>
          <w:rFonts w:hint="default" w:ascii="Times New Roman" w:hAnsi="Times New Roman" w:eastAsia="仿宋_GB2312" w:cs="Times New Roman"/>
          <w:spacing w:val="-5"/>
          <w:sz w:val="32"/>
          <w:szCs w:val="32"/>
          <w:lang w:val="en-US" w:eastAsia="zh-CN"/>
        </w:rPr>
        <w:t>项，决议决定作出后，县人大常委会对执行情况跟踪督办，主任会议专题听取情况汇报，积极开展执法检查、代表视察、专题询问</w:t>
      </w:r>
      <w:r>
        <w:rPr>
          <w:rFonts w:hint="eastAsia" w:ascii="Times New Roman" w:hAnsi="Times New Roman" w:eastAsia="仿宋_GB2312" w:cs="Times New Roman"/>
          <w:spacing w:val="-5"/>
          <w:sz w:val="32"/>
          <w:szCs w:val="32"/>
          <w:lang w:val="en-US" w:eastAsia="zh-CN"/>
        </w:rPr>
        <w:t>5</w:t>
      </w:r>
      <w:r>
        <w:rPr>
          <w:rFonts w:hint="default" w:ascii="Times New Roman" w:hAnsi="Times New Roman" w:eastAsia="仿宋_GB2312" w:cs="Times New Roman"/>
          <w:spacing w:val="-5"/>
          <w:sz w:val="32"/>
          <w:szCs w:val="32"/>
          <w:lang w:val="en-US" w:eastAsia="zh-CN"/>
        </w:rPr>
        <w:t>次，对决议执行情况跟踪督办，直至落地生效。</w:t>
      </w:r>
      <w:r>
        <w:rPr>
          <w:rFonts w:hint="eastAsia" w:ascii="仿宋_GB2312" w:hAnsi="仿宋_GB2312" w:eastAsia="仿宋_GB2312" w:cs="Times New Roman"/>
          <w:sz w:val="32"/>
          <w:szCs w:val="22"/>
          <w:lang w:val="en-US" w:eastAsia="zh-CN"/>
        </w:rPr>
        <w:t xml:space="preserve"> </w:t>
      </w:r>
    </w:p>
    <w:p w14:paraId="1CB47891">
      <w:pPr>
        <w:keepNext w:val="0"/>
        <w:keepLines w:val="0"/>
        <w:pageBreakBefore w:val="0"/>
        <w:widowControl w:val="0"/>
        <w:kinsoku/>
        <w:wordWrap/>
        <w:overflowPunct/>
        <w:topLinePunct w:val="0"/>
        <w:autoSpaceDE/>
        <w:autoSpaceDN/>
        <w:bidi w:val="0"/>
        <w:adjustRightInd/>
        <w:snapToGrid/>
        <w:spacing w:line="600" w:lineRule="exact"/>
        <w:ind w:right="0" w:firstLine="320" w:firstLineChars="100"/>
        <w:jc w:val="both"/>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听取审议国民经济和社会发展计划执行、财政预算执行以及财政决算等报告。加大力支持县财政“以收定支、‘三保’优先”的零基预算原则，完善国资管理人大监督评价指标体系，对审计查出突出问题整改情况开展检查与满意度测评，强化测评结果运用，促推政府健全“审计问题清单”管控机制，常态化做好“经济体检”，有效推进审计问题整改，</w:t>
      </w:r>
      <w:r>
        <w:rPr>
          <w:rFonts w:hint="eastAsia" w:ascii="方正仿宋_GB2312" w:hAnsi="方正仿宋_GB2312" w:eastAsia="方正仿宋_GB2312" w:cs="方正仿宋_GB2312"/>
          <w:b w:val="0"/>
          <w:bCs w:val="0"/>
          <w:color w:val="auto"/>
          <w:kern w:val="2"/>
          <w:sz w:val="32"/>
          <w:szCs w:val="32"/>
          <w:lang w:val="en-US" w:eastAsia="zh-CN" w:bidi="ar-SA"/>
        </w:rPr>
        <w:t>审计整改完成率达91.67%</w:t>
      </w:r>
      <w:r>
        <w:rPr>
          <w:rFonts w:hint="eastAsia" w:ascii="方正仿宋_GB2312" w:hAnsi="方正仿宋_GB2312" w:eastAsia="方正仿宋_GB2312" w:cs="方正仿宋_GB2312"/>
          <w:color w:val="auto"/>
          <w:kern w:val="2"/>
          <w:sz w:val="32"/>
          <w:szCs w:val="32"/>
          <w:lang w:val="en-US" w:eastAsia="zh-CN" w:bidi="ar-SA"/>
        </w:rPr>
        <w:t>。</w:t>
      </w:r>
    </w:p>
    <w:p w14:paraId="237E1E89">
      <w:pPr>
        <w:keepNext w:val="0"/>
        <w:keepLines w:val="0"/>
        <w:pageBreakBefore w:val="0"/>
        <w:widowControl w:val="0"/>
        <w:kinsoku/>
        <w:wordWrap/>
        <w:overflowPunct/>
        <w:topLinePunct w:val="0"/>
        <w:autoSpaceDE/>
        <w:autoSpaceDN/>
        <w:bidi w:val="0"/>
        <w:adjustRightInd/>
        <w:snapToGrid/>
        <w:spacing w:before="102" w:line="600" w:lineRule="exact"/>
        <w:ind w:left="0" w:leftChars="0" w:right="249" w:firstLine="640" w:firstLineChars="200"/>
        <w:jc w:val="both"/>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配合市人大常委会开展促进科技成果转化一法一办法执法检查，用法治力量促进科技创新。专题审议南县医疗健康产业园发展情况，加快推动创新链产业链深度融合。充分发挥本土资源禀赋，深入调研南县蔬菜产业发展情况，助力政府聚焦引导服务、加大扶植培育、健全品牌保护体系，加速蔬菜产业化发展。调研先进制造业高质量发展情况，促推政府抢抓新技术、新产业发展，着力推动制造业集聚集群发展。进一步树牢安全发展理念，联动乡镇人大、县直单位开展“法治护安人大行”活动，组织安全生产“三法一条例两办法”执法检查和专题学法，更好统筹发展和安全。做好卫健、城管行政执法监督后半篇文章，专题质询行政执法53个问题整改情况，形成行政执法闭环监督体系，以法治力量持续优化营商环境。专题调研民族乡村经济社会发展情况，指导回民村加强闲散劳动力就业引导，着力培育特色产业和支柱产业，促推民族经济社会的高质量发展。深入调查全县小型农业水利设施建设和管护情况，推动相关部门整合资源，做到建管用提质增效，不断提升农业发展水平。</w:t>
      </w:r>
    </w:p>
    <w:p w14:paraId="0429917B">
      <w:pPr>
        <w:keepNext w:val="0"/>
        <w:keepLines w:val="0"/>
        <w:pageBreakBefore w:val="0"/>
        <w:widowControl w:val="0"/>
        <w:kinsoku/>
        <w:wordWrap/>
        <w:overflowPunct/>
        <w:topLinePunct w:val="0"/>
        <w:autoSpaceDE/>
        <w:autoSpaceDN/>
        <w:bidi w:val="0"/>
        <w:adjustRightInd/>
        <w:snapToGrid/>
        <w:spacing w:before="102" w:line="600" w:lineRule="exact"/>
        <w:ind w:left="0" w:leftChars="0" w:right="249" w:firstLine="640" w:firstLineChars="200"/>
        <w:jc w:val="both"/>
        <w:textAlignment w:val="auto"/>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连续3年审议生态环境状况和生态环境保护目标完成情况，持续深入打好污染防治攻坚战，以高品质生态环境支撑高质量发展。</w:t>
      </w:r>
      <w:r>
        <w:rPr>
          <w:rFonts w:hint="eastAsia" w:ascii="仿宋" w:hAnsi="仿宋" w:eastAsia="仿宋" w:cs="Times New Roman"/>
          <w:color w:val="auto"/>
          <w:kern w:val="2"/>
          <w:sz w:val="32"/>
          <w:szCs w:val="32"/>
          <w:lang w:val="en-US" w:eastAsia="zh-CN" w:bidi="ar-SA"/>
        </w:rPr>
        <w:t>全面开展“法治护绿人大行”活动，号召4级人大代表进联络站和选区宣讲法律法规，着力发现和推动解决人民群众身边的环保问题。</w:t>
      </w:r>
      <w:r>
        <w:rPr>
          <w:rFonts w:hint="eastAsia" w:ascii="方正仿宋_GB2312" w:hAnsi="方正仿宋_GB2312" w:eastAsia="方正仿宋_GB2312" w:cs="方正仿宋_GB2312"/>
          <w:color w:val="auto"/>
          <w:kern w:val="2"/>
          <w:sz w:val="32"/>
          <w:szCs w:val="32"/>
          <w:lang w:val="en-US" w:eastAsia="zh-CN" w:bidi="ar-SA"/>
        </w:rPr>
        <w:t>充分发挥执法检查“法律巡视”作用，深入乡镇和企业开展大气污染防治“一法一条例一规定”执法检查，敦促有关单位加强对重点区域、重点行业的监管力度，推动整改落实共性问题2类、个性问题51项。开展南县贯彻执行益阳市《生活垃圾分类管理条例》执法检查，进一步推动完善生活垃圾分类长效管理机制，形成全社会共同参与生态环境保护的良好氛围。</w:t>
      </w:r>
    </w:p>
    <w:p w14:paraId="76F04F94">
      <w:pPr>
        <w:keepNext w:val="0"/>
        <w:keepLines w:val="0"/>
        <w:pageBreakBefore w:val="0"/>
        <w:widowControl w:val="0"/>
        <w:kinsoku/>
        <w:wordWrap/>
        <w:overflowPunct/>
        <w:topLinePunct w:val="0"/>
        <w:autoSpaceDE/>
        <w:autoSpaceDN/>
        <w:bidi w:val="0"/>
        <w:adjustRightInd/>
        <w:snapToGrid/>
        <w:spacing w:before="102" w:line="600" w:lineRule="exact"/>
        <w:ind w:left="0" w:leftChars="0" w:right="249" w:firstLine="640" w:firstLineChars="200"/>
        <w:jc w:val="both"/>
        <w:textAlignment w:val="auto"/>
        <w:rPr>
          <w:rFonts w:hint="eastAsia" w:ascii="仿宋" w:hAnsi="仿宋" w:eastAsia="仿宋" w:cs="Times New Roman"/>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专题审议基层医疗卫生服务能力建设情况，督促有关部门加强政策保障力度，合理配置基层</w:t>
      </w:r>
      <w:r>
        <w:rPr>
          <w:rFonts w:hint="eastAsia" w:ascii="仿宋" w:hAnsi="仿宋" w:eastAsia="仿宋" w:cs="Times New Roman"/>
          <w:color w:val="auto"/>
          <w:kern w:val="2"/>
          <w:sz w:val="32"/>
          <w:szCs w:val="32"/>
          <w:lang w:val="en-US" w:eastAsia="zh-CN" w:bidi="ar-SA"/>
        </w:rPr>
        <w:t>医疗卫生资源，推进紧密型医共体建设，进一步发挥基层医疗卫生机构“托底”作用。</w:t>
      </w:r>
    </w:p>
    <w:p w14:paraId="68898E14">
      <w:pPr>
        <w:keepNext w:val="0"/>
        <w:keepLines w:val="0"/>
        <w:pageBreakBefore w:val="0"/>
        <w:widowControl w:val="0"/>
        <w:kinsoku/>
        <w:wordWrap/>
        <w:overflowPunct/>
        <w:topLinePunct w:val="0"/>
        <w:autoSpaceDE/>
        <w:autoSpaceDN/>
        <w:bidi w:val="0"/>
        <w:adjustRightInd/>
        <w:snapToGrid/>
        <w:spacing w:before="102" w:line="600" w:lineRule="exact"/>
        <w:ind w:left="0" w:leftChars="0" w:right="249" w:firstLine="640" w:firstLineChars="200"/>
        <w:jc w:val="both"/>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专题调研农村饮用水质量安全，加快城乡供水一体化进程，健全水源地保护长效机制，提升农村人民群众生活质量。积极应对人口老龄化发展态势，高度关注南县养老服务体系建设情况，建议政府建设医养深度融合的养老服务体系，加快培养专业人才，合理引导服务需求，推进功能完善的新型居家养老。</w:t>
      </w:r>
    </w:p>
    <w:p w14:paraId="1BD965B3">
      <w:pPr>
        <w:keepNext w:val="0"/>
        <w:keepLines w:val="0"/>
        <w:pageBreakBefore w:val="0"/>
        <w:widowControl w:val="0"/>
        <w:kinsoku/>
        <w:wordWrap/>
        <w:overflowPunct/>
        <w:topLinePunct w:val="0"/>
        <w:autoSpaceDE/>
        <w:autoSpaceDN/>
        <w:bidi w:val="0"/>
        <w:adjustRightInd/>
        <w:snapToGrid/>
        <w:spacing w:before="102" w:line="600" w:lineRule="exact"/>
        <w:ind w:left="0" w:leftChars="0" w:right="249" w:firstLine="640" w:firstLineChars="200"/>
        <w:jc w:val="both"/>
        <w:textAlignment w:val="auto"/>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深入调研全县教育资源配置情况，推动完善全县中小学校规划布局，合理配置教育资源，推进教育数字赋能。为</w:t>
      </w:r>
      <w:r>
        <w:rPr>
          <w:rFonts w:hint="eastAsia" w:ascii="仿宋_GB2312" w:hAnsi="仿宋_GB2312" w:eastAsia="仿宋_GB2312" w:cs="仿宋_GB2312"/>
          <w:color w:val="auto"/>
          <w:kern w:val="2"/>
          <w:sz w:val="32"/>
          <w:szCs w:val="32"/>
          <w:lang w:val="en-US" w:eastAsia="zh-CN" w:bidi="ar-SA"/>
        </w:rPr>
        <w:t>强化城市管理，提升居民生活品质，</w:t>
      </w:r>
      <w:r>
        <w:rPr>
          <w:rFonts w:hint="eastAsia" w:ascii="仿宋" w:hAnsi="仿宋" w:eastAsia="仿宋" w:cs="Times New Roman"/>
          <w:color w:val="auto"/>
          <w:kern w:val="2"/>
          <w:sz w:val="32"/>
          <w:szCs w:val="32"/>
          <w:lang w:val="en-US" w:eastAsia="zh-CN" w:bidi="ar-SA"/>
        </w:rPr>
        <w:t>专项听取《湖南物业管理条</w:t>
      </w:r>
      <w:r>
        <w:rPr>
          <w:rFonts w:hint="eastAsia" w:ascii="仿宋_GB2312" w:hAnsi="仿宋_GB2312" w:eastAsia="仿宋_GB2312" w:cs="仿宋_GB2312"/>
          <w:color w:val="auto"/>
          <w:kern w:val="2"/>
          <w:sz w:val="32"/>
          <w:szCs w:val="32"/>
          <w:lang w:val="en-US" w:eastAsia="zh-CN" w:bidi="ar-SA"/>
        </w:rPr>
        <w:t>例》实施情况，加强对物业管理企业的监督和引导，提高物业服务质量，提升居民自治水平。</w:t>
      </w:r>
    </w:p>
    <w:p w14:paraId="6CFF2F2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5、预算联网监督经费10.8万元：</w:t>
      </w:r>
      <w:r>
        <w:rPr>
          <w:rFonts w:hint="default" w:ascii="Times New Roman" w:hAnsi="Times New Roman" w:eastAsia="仿宋_GB2312" w:cs="Times New Roman"/>
          <w:spacing w:val="-5"/>
          <w:sz w:val="32"/>
          <w:szCs w:val="32"/>
          <w:lang w:val="en-US" w:eastAsia="zh-CN"/>
        </w:rPr>
        <w:t>建成全县“一张网”预算联网监督系统，实施动态全程监督，</w:t>
      </w:r>
      <w:r>
        <w:rPr>
          <w:rFonts w:hint="eastAsia" w:ascii="方正仿宋_GB2312" w:hAnsi="方正仿宋_GB2312" w:eastAsia="方正仿宋_GB2312" w:cs="方正仿宋_GB2312"/>
          <w:i w:val="0"/>
          <w:iCs w:val="0"/>
          <w:caps w:val="0"/>
          <w:color w:val="222222"/>
          <w:spacing w:val="0"/>
          <w:kern w:val="2"/>
          <w:sz w:val="32"/>
          <w:szCs w:val="32"/>
          <w:shd w:val="clear" w:color="auto" w:fill="FFFFFF"/>
          <w:lang w:val="en-US" w:eastAsia="zh-CN" w:bidi="ar-SA"/>
        </w:rPr>
        <w:t>认真审查预算编制原则的合法合规性和政策落实情况，剖析预算收支指标的科学合理性，检查项目预算、部门预算落实重点支出要求和绩效情况，实现预决算全过程监督；发挥人大预算联网审查监督平台作用，提高预算管理法制化、精细化水平</w:t>
      </w: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spacing w:val="-5"/>
          <w:sz w:val="32"/>
          <w:szCs w:val="32"/>
          <w:lang w:val="en-US" w:eastAsia="zh-CN"/>
        </w:rPr>
        <w:t>发现并整改问题1</w:t>
      </w:r>
      <w:r>
        <w:rPr>
          <w:rFonts w:hint="eastAsia" w:ascii="Times New Roman" w:hAnsi="Times New Roman" w:eastAsia="仿宋_GB2312" w:cs="Times New Roman"/>
          <w:spacing w:val="-5"/>
          <w:sz w:val="32"/>
          <w:szCs w:val="32"/>
          <w:lang w:val="en-US" w:eastAsia="zh-CN"/>
        </w:rPr>
        <w:t>3</w:t>
      </w:r>
      <w:r>
        <w:rPr>
          <w:rFonts w:hint="default" w:ascii="Times New Roman" w:hAnsi="Times New Roman" w:eastAsia="仿宋_GB2312" w:cs="Times New Roman"/>
          <w:spacing w:val="-5"/>
          <w:sz w:val="32"/>
          <w:szCs w:val="32"/>
          <w:lang w:val="en-US" w:eastAsia="zh-CN"/>
        </w:rPr>
        <w:t>8个，推动政府财政预算执行和公开工作取得显著成效。</w:t>
      </w:r>
    </w:p>
    <w:p w14:paraId="1C0C25E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（二）绩效目标设定及指标完成情况</w:t>
      </w:r>
    </w:p>
    <w:p w14:paraId="142F73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w:t>
      </w:r>
      <w:r>
        <w:rPr>
          <w:rFonts w:hint="default" w:ascii="仿宋" w:hAnsi="仿宋" w:eastAsia="仿宋" w:cs="仿宋"/>
          <w:sz w:val="32"/>
          <w:szCs w:val="32"/>
          <w:lang w:val="en-US" w:eastAsia="zh-CN"/>
        </w:rPr>
        <w:t>年度，</w:t>
      </w:r>
      <w:r>
        <w:rPr>
          <w:rFonts w:hint="eastAsia" w:ascii="仿宋" w:hAnsi="仿宋" w:eastAsia="仿宋" w:cs="仿宋"/>
          <w:sz w:val="32"/>
          <w:szCs w:val="32"/>
          <w:lang w:val="en-US" w:eastAsia="zh-CN"/>
        </w:rPr>
        <w:t>人大机关</w:t>
      </w:r>
      <w:r>
        <w:rPr>
          <w:rFonts w:hint="default" w:ascii="仿宋" w:hAnsi="仿宋" w:eastAsia="仿宋" w:cs="仿宋"/>
          <w:sz w:val="32"/>
          <w:szCs w:val="32"/>
          <w:lang w:val="en-US" w:eastAsia="zh-CN"/>
        </w:rPr>
        <w:t>坚决履行职能职责，绩效明显，有效完成了本年度绩效目标。项目所有开支均按照我单位财务管理制度执行，资金的使用严格把关，整个项目的运行完全按照有关规定执行。单位内部不定期进行抽查，严格人员作风，不存在违规违法的问题。各个项目资金使用与具体项目实施内容相符，绩效总目标和阶段性目标都已按照计划完成，未逾期。</w:t>
      </w:r>
    </w:p>
    <w:p w14:paraId="7AE23AA4">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rPr>
        <w:t>二、绩效评价工作情况</w:t>
      </w:r>
    </w:p>
    <w:p w14:paraId="594A66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 w:lineRule="atLeast"/>
        <w:ind w:right="0" w:righ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rPr>
        <w:t> </w:t>
      </w:r>
      <w:r>
        <w:rPr>
          <w:rFonts w:hint="eastAsia" w:ascii="仿宋" w:hAnsi="仿宋" w:eastAsia="仿宋" w:cs="仿宋"/>
          <w:b/>
          <w:bCs/>
          <w:kern w:val="2"/>
          <w:sz w:val="32"/>
          <w:szCs w:val="32"/>
          <w:lang w:val="en-US" w:eastAsia="zh-CN" w:bidi="ar-SA"/>
        </w:rPr>
        <w:t>（一）绩效评价目的</w:t>
      </w:r>
      <w:r>
        <w:rPr>
          <w:rFonts w:hint="eastAsia" w:ascii="仿宋" w:hAnsi="仿宋" w:eastAsia="仿宋" w:cs="仿宋"/>
          <w:kern w:val="2"/>
          <w:sz w:val="32"/>
          <w:szCs w:val="32"/>
          <w:lang w:val="en-US" w:eastAsia="zh-CN" w:bidi="ar-SA"/>
        </w:rPr>
        <w:t>：通过对县人大项目专项资金的绩效评价，了解人大项目的资金来源、使用和管理情况、项目组织和实施情况，检验项目投入是否达到预期目标，总结经验，分析问题，强化项目资金管理，进一步提升预算项目资金使用成效。</w:t>
      </w:r>
    </w:p>
    <w:p w14:paraId="6F4E266C">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资金到位情况：</w:t>
      </w:r>
      <w:r>
        <w:rPr>
          <w:rFonts w:hint="eastAsia" w:ascii="仿宋" w:hAnsi="仿宋" w:eastAsia="仿宋" w:cs="仿宋"/>
          <w:b w:val="0"/>
          <w:bCs w:val="0"/>
          <w:kern w:val="2"/>
          <w:sz w:val="32"/>
          <w:szCs w:val="32"/>
          <w:lang w:val="en-US" w:eastAsia="zh-CN" w:bidi="ar-SA"/>
        </w:rPr>
        <w:t>2024年部门预算专项资金共计140万元，实际到位资金140万元，资金到位率100%。</w:t>
      </w:r>
    </w:p>
    <w:p w14:paraId="7DD0F98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（三）资金使用情况：</w:t>
      </w:r>
      <w:r>
        <w:rPr>
          <w:rFonts w:hint="eastAsia" w:ascii="仿宋" w:hAnsi="仿宋" w:eastAsia="仿宋" w:cs="仿宋"/>
          <w:b w:val="0"/>
          <w:bCs w:val="0"/>
          <w:kern w:val="2"/>
          <w:sz w:val="32"/>
          <w:szCs w:val="32"/>
          <w:lang w:val="en-US" w:eastAsia="zh-CN" w:bidi="ar-SA"/>
        </w:rPr>
        <w:t>专项资金共计支出140万元，全部用于各项工作的开展。</w:t>
      </w:r>
    </w:p>
    <w:p w14:paraId="781BF50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）项目组织情况分析：</w:t>
      </w:r>
      <w:r>
        <w:rPr>
          <w:rFonts w:hint="eastAsia" w:ascii="仿宋" w:hAnsi="仿宋" w:eastAsia="仿宋" w:cs="仿宋"/>
          <w:sz w:val="32"/>
          <w:szCs w:val="32"/>
        </w:rPr>
        <w:t>成立了绩效评价小组，对有关文件进行了科学分析研究，制定了绩效评价工作方案。评价小组采用查阅凭证和资料、审计等形式进行考评。根据考评情况，对收集的资料进行整理、汇总分析，并依据前期制定的绩效评价指标体系进行了评分，形成综合报告。</w:t>
      </w:r>
    </w:p>
    <w:p w14:paraId="6B3FFA1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）项目管理情况分析：</w:t>
      </w:r>
      <w:r>
        <w:rPr>
          <w:rFonts w:hint="eastAsia" w:ascii="仿宋" w:hAnsi="仿宋" w:eastAsia="仿宋" w:cs="仿宋"/>
          <w:sz w:val="32"/>
          <w:szCs w:val="32"/>
        </w:rPr>
        <w:t>在项目资金使用管理上，</w:t>
      </w:r>
      <w:r>
        <w:rPr>
          <w:rFonts w:hint="eastAsia" w:ascii="仿宋" w:hAnsi="仿宋" w:eastAsia="仿宋" w:cs="仿宋"/>
          <w:sz w:val="32"/>
          <w:szCs w:val="32"/>
          <w:lang w:eastAsia="zh-CN"/>
        </w:rPr>
        <w:t>机关</w:t>
      </w:r>
      <w:r>
        <w:rPr>
          <w:rFonts w:hint="eastAsia" w:ascii="仿宋" w:hAnsi="仿宋" w:eastAsia="仿宋" w:cs="仿宋"/>
          <w:sz w:val="32"/>
          <w:szCs w:val="32"/>
        </w:rPr>
        <w:t>一直按照国家财经法规和内部财务管理制度的规定开支。资金结付有完整的审批程序和手续，按照财经制度的有关要求，做到专款专用，单位分管领导对资金的使用进行全程监督，保证资金使用的合规性。资金使用无截留、挤占、挪用、虚列支出等情况。为确保专项</w:t>
      </w:r>
      <w:r>
        <w:rPr>
          <w:rFonts w:hint="eastAsia" w:ascii="仿宋" w:hAnsi="仿宋" w:eastAsia="仿宋" w:cs="仿宋"/>
          <w:sz w:val="32"/>
          <w:szCs w:val="32"/>
          <w:lang w:eastAsia="zh-CN"/>
        </w:rPr>
        <w:t>顺利</w:t>
      </w:r>
      <w:r>
        <w:rPr>
          <w:rFonts w:hint="eastAsia" w:ascii="仿宋" w:hAnsi="仿宋" w:eastAsia="仿宋" w:cs="仿宋"/>
          <w:sz w:val="32"/>
          <w:szCs w:val="32"/>
        </w:rPr>
        <w:t>实施而制定</w:t>
      </w:r>
      <w:r>
        <w:rPr>
          <w:rFonts w:hint="eastAsia" w:ascii="仿宋" w:hAnsi="仿宋" w:eastAsia="仿宋" w:cs="仿宋"/>
          <w:sz w:val="32"/>
          <w:szCs w:val="32"/>
          <w:lang w:eastAsia="zh-CN"/>
        </w:rPr>
        <w:t>了</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年财务管理办法》。</w:t>
      </w:r>
    </w:p>
    <w:p w14:paraId="38E98D7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rPr>
        <w:t>三、项目绩效情况</w:t>
      </w:r>
    </w:p>
    <w:p w14:paraId="0D4248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根据南财绩函文件精神，关于项目资金的绩效</w:t>
      </w:r>
      <w:r>
        <w:rPr>
          <w:rFonts w:hint="eastAsia" w:ascii="仿宋" w:hAnsi="仿宋" w:eastAsia="仿宋" w:cs="仿宋"/>
          <w:sz w:val="32"/>
          <w:szCs w:val="32"/>
          <w:lang w:eastAsia="zh-CN"/>
        </w:rPr>
        <w:t>情况如下</w:t>
      </w:r>
      <w:r>
        <w:rPr>
          <w:rFonts w:hint="eastAsia" w:ascii="仿宋" w:hAnsi="仿宋" w:eastAsia="仿宋" w:cs="仿宋"/>
          <w:sz w:val="32"/>
          <w:szCs w:val="32"/>
        </w:rPr>
        <w:t>：</w:t>
      </w:r>
    </w:p>
    <w:p w14:paraId="0D04FE99">
      <w:pPr>
        <w:keepNext w:val="0"/>
        <w:keepLines w:val="0"/>
        <w:pageBreakBefore w:val="0"/>
        <w:widowControl w:val="0"/>
        <w:kinsoku/>
        <w:wordWrap/>
        <w:overflowPunct/>
        <w:topLinePunct/>
        <w:autoSpaceDE/>
        <w:autoSpaceDN/>
        <w:bidi w:val="0"/>
        <w:adjustRightInd/>
        <w:snapToGrid/>
        <w:spacing w:line="576"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主要从项目的</w:t>
      </w:r>
      <w:r>
        <w:rPr>
          <w:rFonts w:hint="eastAsia" w:ascii="方正仿宋_GB2312" w:hAnsi="方正仿宋_GB2312" w:eastAsia="方正仿宋_GB2312" w:cs="方正仿宋_GB2312"/>
          <w:color w:val="auto"/>
          <w:sz w:val="32"/>
          <w:szCs w:val="32"/>
          <w:lang w:val="en-US" w:eastAsia="zh-CN"/>
        </w:rPr>
        <w:t>依据、</w:t>
      </w:r>
      <w:r>
        <w:rPr>
          <w:rFonts w:hint="eastAsia" w:ascii="方正仿宋_GB2312" w:hAnsi="方正仿宋_GB2312" w:eastAsia="方正仿宋_GB2312" w:cs="方正仿宋_GB2312"/>
          <w:color w:val="auto"/>
          <w:sz w:val="32"/>
          <w:szCs w:val="32"/>
          <w:highlight w:val="none"/>
        </w:rPr>
        <w:t>经济性、效率性、有效性和可持续性等方面进行量化、具体分析。</w:t>
      </w:r>
    </w:p>
    <w:p w14:paraId="6792AE58">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项目立项依据为《中华人民共和国地方各级人民代表大会和地方各级人民政府组织法》</w:t>
      </w:r>
      <w:r>
        <w:rPr>
          <w:rFonts w:hint="eastAsia" w:ascii="仿宋" w:hAnsi="仿宋" w:eastAsia="仿宋" w:cs="仿宋"/>
          <w:sz w:val="32"/>
          <w:szCs w:val="32"/>
          <w:lang w:eastAsia="zh-CN"/>
        </w:rPr>
        <w:t>、《湖南省人大代表活动经费管理使用办法》湘常办发[2019]2号 、</w:t>
      </w:r>
      <w:r>
        <w:rPr>
          <w:rFonts w:hint="eastAsia" w:ascii="方正仿宋_GB2312" w:hAnsi="方正仿宋_GB2312" w:eastAsia="方正仿宋_GB2312" w:cs="方正仿宋_GB2312"/>
          <w:sz w:val="32"/>
          <w:szCs w:val="32"/>
        </w:rPr>
        <w:t>《中共湖南省委关于加强和改进新时代人大工作的意见》</w:t>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rPr>
        <w:t xml:space="preserve">                                                                       《南县第十八届人民代表大会常务委员会2024工作要点（南人常发【2024】3号  》、《关于健全人大讨论决定重大事项制度、各级政府重大决策出台前向本级人大报告实施意见》的通知</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人大机关20</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个专项，</w:t>
      </w:r>
      <w:r>
        <w:rPr>
          <w:rFonts w:hint="eastAsia" w:ascii="仿宋" w:hAnsi="仿宋" w:eastAsia="仿宋" w:cs="仿宋"/>
          <w:sz w:val="32"/>
          <w:szCs w:val="32"/>
          <w:lang w:val="en-US" w:eastAsia="zh-CN"/>
        </w:rPr>
        <w:t>根据</w:t>
      </w:r>
      <w:r>
        <w:rPr>
          <w:rFonts w:hint="eastAsia" w:ascii="仿宋" w:hAnsi="仿宋" w:eastAsia="仿宋" w:cs="仿宋"/>
          <w:sz w:val="32"/>
          <w:szCs w:val="32"/>
        </w:rPr>
        <w:t>《中共中央国务院关于全面实施预算绩效管理的意见》</w:t>
      </w:r>
      <w:r>
        <w:rPr>
          <w:rFonts w:hint="eastAsia" w:ascii="仿宋" w:hAnsi="仿宋" w:eastAsia="仿宋" w:cs="仿宋"/>
          <w:sz w:val="32"/>
          <w:szCs w:val="32"/>
          <w:lang w:eastAsia="zh-CN"/>
        </w:rPr>
        <w:t>、（中发〔2018〕34 号）、《中共湖南省委办公厅 湖南省人民政府办公厅关于全面实施预算绩效管理的实施意见》（湘办发〔2019〕</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 xml:space="preserve"> 号）和《南县人民政府关于全面推进预算绩效管理的意见》（南政发〔2014〕7 号）等文件和其他有关法律法规，从项目立项、资金落实、业务管理到财务管理、项目产出、项目效益，</w:t>
      </w: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lang w:eastAsia="zh-CN"/>
        </w:rPr>
        <w:t>项二级指标得分都很高,总分为96分。</w:t>
      </w:r>
      <w:r>
        <w:rPr>
          <w:rFonts w:hint="eastAsia" w:ascii="仿宋" w:hAnsi="仿宋" w:eastAsia="仿宋" w:cs="仿宋"/>
          <w:sz w:val="32"/>
          <w:szCs w:val="32"/>
        </w:rPr>
        <w:t>。</w:t>
      </w:r>
    </w:p>
    <w:p w14:paraId="5EFB6DD1">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方正仿宋_GB2312" w:hAnsi="方正仿宋_GB2312" w:eastAsia="方正仿宋_GB2312" w:cs="方正仿宋_GB2312"/>
          <w:color w:val="auto"/>
          <w:sz w:val="32"/>
          <w:szCs w:val="32"/>
          <w:highlight w:val="none"/>
        </w:rPr>
        <w:t>项目的效率性分析</w:t>
      </w:r>
      <w:r>
        <w:rPr>
          <w:rFonts w:hint="eastAsia" w:ascii="方正仿宋_GB2312" w:hAnsi="方正仿宋_GB2312" w:eastAsia="方正仿宋_GB2312" w:cs="方正仿宋_GB2312"/>
          <w:color w:val="auto"/>
          <w:sz w:val="32"/>
          <w:szCs w:val="32"/>
          <w:highlight w:val="none"/>
          <w:lang w:eastAsia="zh-CN"/>
        </w:rPr>
        <w:t>：</w:t>
      </w:r>
      <w:r>
        <w:rPr>
          <w:rFonts w:hint="eastAsia" w:ascii="仿宋" w:hAnsi="仿宋" w:eastAsia="仿宋" w:cs="仿宋"/>
          <w:sz w:val="32"/>
          <w:szCs w:val="32"/>
        </w:rPr>
        <w:t>项目实施进度计划开始时间为20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月1日，计划完成时间为</w:t>
      </w:r>
      <w:r>
        <w:rPr>
          <w:rFonts w:hint="eastAsia" w:ascii="仿宋" w:hAnsi="仿宋" w:eastAsia="仿宋" w:cs="仿宋"/>
          <w:sz w:val="32"/>
          <w:szCs w:val="32"/>
          <w:lang w:val="en-US" w:eastAsia="zh-CN"/>
        </w:rPr>
        <w:t>2024</w:t>
      </w:r>
      <w:r>
        <w:rPr>
          <w:rFonts w:hint="eastAsia" w:ascii="仿宋" w:hAnsi="仿宋" w:eastAsia="仿宋" w:cs="仿宋"/>
          <w:sz w:val="32"/>
          <w:szCs w:val="32"/>
        </w:rPr>
        <w:t>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各个项目按时、按质、按量完成</w:t>
      </w:r>
      <w:r>
        <w:rPr>
          <w:rFonts w:hint="eastAsia" w:ascii="仿宋" w:hAnsi="仿宋" w:eastAsia="仿宋" w:cs="仿宋"/>
          <w:sz w:val="32"/>
          <w:szCs w:val="32"/>
        </w:rPr>
        <w:t>。</w:t>
      </w:r>
    </w:p>
    <w:p w14:paraId="7B6B5D51">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方正仿宋_GB2312" w:hAnsi="方正仿宋_GB2312" w:eastAsia="方正仿宋_GB2312" w:cs="方正仿宋_GB2312"/>
          <w:color w:val="auto"/>
          <w:sz w:val="32"/>
          <w:szCs w:val="32"/>
          <w:highlight w:val="none"/>
        </w:rPr>
        <w:t>经济性分析</w:t>
      </w:r>
      <w:r>
        <w:rPr>
          <w:rFonts w:hint="eastAsia" w:ascii="方正仿宋_GB2312" w:hAnsi="方正仿宋_GB2312" w:eastAsia="方正仿宋_GB2312" w:cs="方正仿宋_GB2312"/>
          <w:color w:val="auto"/>
          <w:sz w:val="32"/>
          <w:szCs w:val="32"/>
          <w:highlight w:val="none"/>
          <w:lang w:eastAsia="zh-CN"/>
        </w:rPr>
        <w:t>：</w:t>
      </w:r>
      <w:r>
        <w:rPr>
          <w:rFonts w:hint="eastAsia" w:ascii="仿宋" w:hAnsi="仿宋" w:eastAsia="仿宋" w:cs="仿宋"/>
          <w:sz w:val="32"/>
          <w:szCs w:val="32"/>
        </w:rPr>
        <w:t>项目长期绩效目标是</w:t>
      </w:r>
      <w:r>
        <w:rPr>
          <w:rFonts w:hint="eastAsia" w:ascii="仿宋" w:hAnsi="仿宋" w:eastAsia="仿宋" w:cs="仿宋"/>
          <w:sz w:val="32"/>
          <w:szCs w:val="32"/>
          <w:lang w:eastAsia="zh-CN"/>
        </w:rPr>
        <w:t>在预算范围内开展各项工作，</w:t>
      </w:r>
      <w:r>
        <w:rPr>
          <w:rFonts w:hint="eastAsia" w:ascii="仿宋" w:hAnsi="仿宋" w:eastAsia="仿宋" w:cs="仿宋"/>
          <w:sz w:val="32"/>
          <w:szCs w:val="32"/>
          <w:lang w:val="en-US" w:eastAsia="zh-CN"/>
        </w:rPr>
        <w:t>无超预算情况</w:t>
      </w:r>
      <w:r>
        <w:rPr>
          <w:rFonts w:hint="eastAsia" w:ascii="仿宋" w:hAnsi="仿宋" w:eastAsia="仿宋" w:cs="仿宋"/>
          <w:sz w:val="32"/>
          <w:szCs w:val="32"/>
        </w:rPr>
        <w:t>。</w:t>
      </w:r>
    </w:p>
    <w:p w14:paraId="5016C5D7">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方正仿宋_GB2312" w:hAnsi="方正仿宋_GB2312" w:eastAsia="方正仿宋_GB2312" w:cs="方正仿宋_GB2312"/>
          <w:color w:val="auto"/>
          <w:sz w:val="32"/>
          <w:szCs w:val="32"/>
          <w:highlight w:val="none"/>
        </w:rPr>
        <w:t>有效性分析</w:t>
      </w:r>
      <w:r>
        <w:rPr>
          <w:rFonts w:hint="eastAsia" w:ascii="方正仿宋_GB2312" w:hAnsi="方正仿宋_GB2312" w:eastAsia="方正仿宋_GB2312" w:cs="方正仿宋_GB2312"/>
          <w:color w:val="auto"/>
          <w:sz w:val="32"/>
          <w:szCs w:val="32"/>
          <w:highlight w:val="none"/>
          <w:lang w:eastAsia="zh-CN"/>
        </w:rPr>
        <w:t>：</w:t>
      </w:r>
      <w:r>
        <w:rPr>
          <w:rFonts w:hint="eastAsia" w:ascii="仿宋" w:hAnsi="仿宋" w:eastAsia="仿宋" w:cs="仿宋"/>
          <w:sz w:val="32"/>
          <w:szCs w:val="32"/>
        </w:rPr>
        <w:t>项目年度绩效指标</w:t>
      </w:r>
      <w:r>
        <w:rPr>
          <w:rFonts w:hint="eastAsia" w:ascii="仿宋" w:hAnsi="仿宋" w:eastAsia="仿宋" w:cs="仿宋"/>
          <w:sz w:val="32"/>
          <w:szCs w:val="32"/>
          <w:lang w:eastAsia="zh-CN"/>
        </w:rPr>
        <w:t>值</w:t>
      </w:r>
      <w:r>
        <w:rPr>
          <w:rFonts w:hint="eastAsia" w:ascii="仿宋" w:hAnsi="仿宋" w:eastAsia="仿宋" w:cs="仿宋"/>
          <w:sz w:val="32"/>
          <w:szCs w:val="32"/>
        </w:rPr>
        <w:t>有提升</w:t>
      </w:r>
      <w:r>
        <w:rPr>
          <w:rFonts w:hint="eastAsia" w:ascii="仿宋" w:hAnsi="仿宋" w:eastAsia="仿宋" w:cs="仿宋"/>
          <w:sz w:val="32"/>
          <w:szCs w:val="32"/>
          <w:lang w:eastAsia="zh-CN"/>
        </w:rPr>
        <w:t>，</w:t>
      </w:r>
      <w:r>
        <w:rPr>
          <w:rFonts w:hint="eastAsia" w:ascii="仿宋" w:hAnsi="仿宋" w:eastAsia="仿宋" w:cs="仿宋"/>
          <w:sz w:val="32"/>
          <w:szCs w:val="32"/>
        </w:rPr>
        <w:t>从产出的角度来看，以上项目资金涉及的几个大类在数量指标、质量指标、时效指标、成本指标方面</w:t>
      </w:r>
      <w:r>
        <w:rPr>
          <w:rFonts w:hint="eastAsia" w:ascii="仿宋" w:hAnsi="仿宋" w:eastAsia="仿宋" w:cs="仿宋"/>
          <w:sz w:val="32"/>
          <w:szCs w:val="32"/>
          <w:lang w:eastAsia="zh-CN"/>
        </w:rPr>
        <w:t>，</w:t>
      </w:r>
      <w:r>
        <w:rPr>
          <w:rFonts w:hint="eastAsia" w:ascii="仿宋" w:hAnsi="仿宋" w:eastAsia="仿宋" w:cs="仿宋"/>
          <w:sz w:val="32"/>
          <w:szCs w:val="32"/>
        </w:rPr>
        <w:t>指标值的合格率、检测率一般在95%-99%之间</w:t>
      </w:r>
      <w:r>
        <w:rPr>
          <w:rFonts w:hint="eastAsia" w:ascii="仿宋" w:hAnsi="仿宋" w:eastAsia="仿宋" w:cs="仿宋"/>
          <w:sz w:val="32"/>
          <w:szCs w:val="32"/>
          <w:lang w:eastAsia="zh-CN"/>
        </w:rPr>
        <w:t>；</w:t>
      </w:r>
      <w:r>
        <w:rPr>
          <w:rFonts w:hint="eastAsia" w:ascii="仿宋" w:hAnsi="仿宋" w:eastAsia="仿宋" w:cs="仿宋"/>
          <w:sz w:val="32"/>
          <w:szCs w:val="32"/>
        </w:rPr>
        <w:t>从效益的角度来看，几个大类涉及的经济效益指标、社会效益指标、生态效益指标、可持续影响指标、满意度指标方面</w:t>
      </w:r>
      <w:r>
        <w:rPr>
          <w:rFonts w:hint="eastAsia" w:ascii="仿宋" w:hAnsi="仿宋" w:eastAsia="仿宋" w:cs="仿宋"/>
          <w:sz w:val="32"/>
          <w:szCs w:val="32"/>
          <w:lang w:eastAsia="zh-CN"/>
        </w:rPr>
        <w:t>，</w:t>
      </w:r>
      <w:r>
        <w:rPr>
          <w:rFonts w:hint="eastAsia" w:ascii="仿宋" w:hAnsi="仿宋" w:eastAsia="仿宋" w:cs="仿宋"/>
          <w:sz w:val="32"/>
          <w:szCs w:val="32"/>
        </w:rPr>
        <w:t>指标值的利用率、安全性、满意度一般在95%-98%之间。</w:t>
      </w:r>
    </w:p>
    <w:p w14:paraId="2701D836">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方正仿宋_GB2312" w:hAnsi="方正仿宋_GB2312" w:eastAsia="方正仿宋_GB2312" w:cs="方正仿宋_GB2312"/>
          <w:color w:val="auto"/>
          <w:sz w:val="32"/>
          <w:szCs w:val="32"/>
          <w:highlight w:val="none"/>
        </w:rPr>
        <w:t>可持续性分析</w:t>
      </w:r>
      <w:r>
        <w:rPr>
          <w:rFonts w:hint="eastAsia" w:ascii="方正仿宋_GB2312" w:hAnsi="方正仿宋_GB2312" w:eastAsia="方正仿宋_GB2312" w:cs="方正仿宋_GB2312"/>
          <w:color w:val="auto"/>
          <w:sz w:val="32"/>
          <w:szCs w:val="32"/>
          <w:highlight w:val="none"/>
          <w:lang w:eastAsia="zh-CN"/>
        </w:rPr>
        <w:t>：</w:t>
      </w:r>
      <w:r>
        <w:rPr>
          <w:rFonts w:hint="eastAsia" w:ascii="仿宋" w:hAnsi="仿宋" w:eastAsia="仿宋" w:cs="仿宋"/>
          <w:sz w:val="32"/>
          <w:szCs w:val="32"/>
        </w:rPr>
        <w:t>项目年度绩效目标</w:t>
      </w:r>
      <w:r>
        <w:rPr>
          <w:rFonts w:hint="eastAsia" w:ascii="仿宋" w:hAnsi="仿宋" w:eastAsia="仿宋" w:cs="仿宋"/>
          <w:sz w:val="32"/>
          <w:szCs w:val="32"/>
          <w:lang w:eastAsia="zh-CN"/>
        </w:rPr>
        <w:t>，</w:t>
      </w:r>
      <w:r>
        <w:rPr>
          <w:rFonts w:hint="eastAsia" w:ascii="仿宋" w:hAnsi="仿宋" w:eastAsia="仿宋" w:cs="仿宋"/>
          <w:sz w:val="32"/>
          <w:szCs w:val="32"/>
        </w:rPr>
        <w:t>主要是</w:t>
      </w:r>
      <w:r>
        <w:rPr>
          <w:rFonts w:hint="eastAsia" w:ascii="仿宋" w:hAnsi="仿宋" w:eastAsia="仿宋" w:cs="仿宋"/>
          <w:sz w:val="32"/>
          <w:szCs w:val="32"/>
          <w:lang w:eastAsia="zh-CN"/>
        </w:rPr>
        <w:t>将围绕“全过程、全方位、全覆盖”预算绩效管理体系，保证全面完成各项目标，</w:t>
      </w:r>
      <w:r>
        <w:rPr>
          <w:rFonts w:hint="eastAsia" w:ascii="仿宋" w:hAnsi="仿宋" w:eastAsia="仿宋" w:cs="仿宋"/>
          <w:sz w:val="32"/>
          <w:szCs w:val="32"/>
          <w:lang w:val="en-US" w:eastAsia="zh-CN"/>
        </w:rPr>
        <w:t>可持续性强。</w:t>
      </w:r>
      <w:r>
        <w:rPr>
          <w:rFonts w:hint="eastAsia" w:ascii="仿宋" w:hAnsi="仿宋" w:eastAsia="仿宋" w:cs="仿宋"/>
          <w:sz w:val="32"/>
          <w:szCs w:val="32"/>
          <w:lang w:eastAsia="zh-CN"/>
        </w:rPr>
        <w:t>按工作安排完成组织代表视察、专题调研、任免选举等各项工作任务,项目经费为人大代表依法履行职责提供财力的保证。组织代表参加各种调研视察、执法检查并完成调研、组织代表提出建议意见，达到预期主要的经济、政治和社会效益，备案审查工作有件必备，有备必审，有错必纠</w:t>
      </w:r>
      <w:r>
        <w:rPr>
          <w:rFonts w:hint="eastAsia" w:ascii="仿宋" w:hAnsi="仿宋" w:eastAsia="仿宋" w:cs="仿宋"/>
          <w:sz w:val="32"/>
          <w:szCs w:val="32"/>
        </w:rPr>
        <w:t>。</w:t>
      </w:r>
    </w:p>
    <w:p w14:paraId="43599D21">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rPr>
        <w:t>四、存在的问题</w:t>
      </w:r>
    </w:p>
    <w:p w14:paraId="431DF8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（一）专项管理方面的问题。专项立项依据充分；有</w:t>
      </w:r>
      <w:r>
        <w:rPr>
          <w:rFonts w:hint="eastAsia" w:ascii="仿宋" w:hAnsi="仿宋" w:eastAsia="仿宋" w:cs="仿宋"/>
          <w:sz w:val="32"/>
          <w:szCs w:val="32"/>
          <w:lang w:val="en-US" w:eastAsia="zh-CN"/>
        </w:rPr>
        <w:t>人大</w:t>
      </w:r>
      <w:r>
        <w:rPr>
          <w:rFonts w:hint="eastAsia" w:ascii="仿宋" w:hAnsi="仿宋" w:eastAsia="仿宋" w:cs="仿宋"/>
          <w:sz w:val="32"/>
          <w:szCs w:val="32"/>
        </w:rPr>
        <w:t>资金管理办法，资金管理办法规范。</w:t>
      </w:r>
    </w:p>
    <w:p w14:paraId="43C9AC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（二）资金分配方面的问题。资金分配合理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但有待进一步细化</w:t>
      </w:r>
      <w:r>
        <w:rPr>
          <w:rFonts w:hint="eastAsia" w:ascii="仿宋" w:hAnsi="仿宋" w:eastAsia="仿宋" w:cs="仿宋"/>
          <w:sz w:val="32"/>
          <w:szCs w:val="32"/>
        </w:rPr>
        <w:t>，突出重点。</w:t>
      </w:r>
    </w:p>
    <w:p w14:paraId="11009C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（三）资金拨付方面的问题。拨付是否及时，有无滞留、闲置等现象。</w:t>
      </w:r>
    </w:p>
    <w:p w14:paraId="0B61D8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（四）资金使用方面的问题。资金使用合规，无截留、挪用等现象，通过自查和自评，</w:t>
      </w:r>
      <w:r>
        <w:rPr>
          <w:rFonts w:hint="eastAsia" w:ascii="仿宋" w:hAnsi="仿宋" w:eastAsia="仿宋" w:cs="仿宋"/>
          <w:sz w:val="32"/>
          <w:szCs w:val="32"/>
          <w:lang w:eastAsia="zh-CN"/>
        </w:rPr>
        <w:t>人大机关</w:t>
      </w:r>
      <w:r>
        <w:rPr>
          <w:rFonts w:hint="eastAsia" w:ascii="仿宋" w:hAnsi="仿宋" w:eastAsia="仿宋" w:cs="仿宋"/>
          <w:sz w:val="32"/>
          <w:szCs w:val="32"/>
        </w:rPr>
        <w:t>专项资金管理能严格遵守财经纪律和财务制度，但是仍然存在专项经费实际使用不精细的地方。在今后的专项经费管理中，我们将进一步细化专项资金预算申报，做到合理安排资金，提高专项资金使用效果。</w:t>
      </w:r>
    </w:p>
    <w:p w14:paraId="3EA3AE46">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rPr>
        <w:t>五、其他需要说明的问题</w:t>
      </w:r>
    </w:p>
    <w:p w14:paraId="731D7800">
      <w:pPr>
        <w:keepNext w:val="0"/>
        <w:keepLines w:val="0"/>
        <w:pageBreakBefore w:val="0"/>
        <w:widowControl w:val="0"/>
        <w:kinsoku/>
        <w:wordWrap/>
        <w:overflowPunct/>
        <w:topLinePunct/>
        <w:autoSpaceDE/>
        <w:autoSpaceDN/>
        <w:bidi w:val="0"/>
        <w:adjustRightInd/>
        <w:snapToGrid/>
        <w:spacing w:line="576" w:lineRule="exact"/>
        <w:ind w:firstLine="640" w:firstLineChars="200"/>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rPr>
        <w:t>（一）后续工作计划。</w:t>
      </w:r>
    </w:p>
    <w:p w14:paraId="3F9FE5D9">
      <w:pPr>
        <w:keepNext w:val="0"/>
        <w:keepLines w:val="0"/>
        <w:pageBreakBefore w:val="0"/>
        <w:widowControl w:val="0"/>
        <w:kinsoku/>
        <w:wordWrap/>
        <w:overflowPunct/>
        <w:topLinePunct/>
        <w:autoSpaceDE/>
        <w:autoSpaceDN/>
        <w:bidi w:val="0"/>
        <w:adjustRightInd/>
        <w:snapToGrid/>
        <w:spacing w:line="576" w:lineRule="exact"/>
        <w:ind w:firstLine="640" w:firstLineChars="20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2025年将进一步整合、归纳专项项目，进一步加强项目绩效管理。</w:t>
      </w:r>
    </w:p>
    <w:p w14:paraId="15B73D2B">
      <w:pPr>
        <w:keepNext w:val="0"/>
        <w:keepLines w:val="0"/>
        <w:pageBreakBefore w:val="0"/>
        <w:widowControl w:val="0"/>
        <w:kinsoku/>
        <w:wordWrap/>
        <w:overflowPunct/>
        <w:topLinePunct/>
        <w:autoSpaceDE/>
        <w:autoSpaceDN/>
        <w:bidi w:val="0"/>
        <w:adjustRightInd/>
        <w:snapToGrid/>
        <w:spacing w:line="576" w:lineRule="exact"/>
        <w:ind w:firstLine="640" w:firstLineChars="200"/>
        <w:rPr>
          <w:rFonts w:hint="eastAsia" w:ascii="仿宋_GB2312" w:hAnsi="黑体" w:eastAsia="仿宋_GB2312" w:cs="Times New Roman"/>
          <w:color w:val="auto"/>
          <w:sz w:val="32"/>
          <w:szCs w:val="32"/>
        </w:rPr>
      </w:pPr>
      <w:r>
        <w:rPr>
          <w:rFonts w:hint="eastAsia" w:ascii="方正楷体简体" w:hAnsi="方正楷体简体" w:eastAsia="方正楷体简体" w:cs="方正楷体简体"/>
          <w:color w:val="auto"/>
          <w:sz w:val="32"/>
          <w:szCs w:val="32"/>
        </w:rPr>
        <w:t>（二）主要经验做法、改进措施和有关建议等。</w:t>
      </w:r>
    </w:p>
    <w:p w14:paraId="0F1D8C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建立机关财务制度，实时更新，加强财务人员学习本单位业务知识和工作，使单位专项使用方向更加精准，</w:t>
      </w:r>
      <w:r>
        <w:rPr>
          <w:rFonts w:hint="eastAsia" w:ascii="仿宋" w:hAnsi="仿宋" w:eastAsia="仿宋" w:cs="仿宋"/>
          <w:sz w:val="32"/>
          <w:szCs w:val="32"/>
        </w:rPr>
        <w:t>建议</w:t>
      </w:r>
      <w:r>
        <w:rPr>
          <w:rFonts w:hint="eastAsia" w:ascii="仿宋" w:hAnsi="仿宋" w:eastAsia="仿宋" w:cs="仿宋"/>
          <w:sz w:val="32"/>
          <w:szCs w:val="32"/>
          <w:lang w:eastAsia="zh-CN"/>
        </w:rPr>
        <w:t>每</w:t>
      </w:r>
      <w:r>
        <w:rPr>
          <w:rFonts w:hint="eastAsia" w:ascii="仿宋" w:hAnsi="仿宋" w:eastAsia="仿宋" w:cs="仿宋"/>
          <w:sz w:val="32"/>
          <w:szCs w:val="32"/>
        </w:rPr>
        <w:t>年组织一次项目资金绩效评价的专业知识讲座和培训，让大家</w:t>
      </w:r>
      <w:r>
        <w:rPr>
          <w:rFonts w:hint="eastAsia" w:ascii="仿宋" w:hAnsi="仿宋" w:eastAsia="仿宋" w:cs="仿宋"/>
          <w:sz w:val="32"/>
          <w:szCs w:val="32"/>
          <w:lang w:eastAsia="zh-CN"/>
        </w:rPr>
        <w:t>深入学习与</w:t>
      </w:r>
      <w:r>
        <w:rPr>
          <w:rFonts w:hint="eastAsia" w:ascii="仿宋" w:hAnsi="仿宋" w:eastAsia="仿宋" w:cs="仿宋"/>
          <w:sz w:val="32"/>
          <w:szCs w:val="32"/>
        </w:rPr>
        <w:t>绩效评价</w:t>
      </w:r>
      <w:r>
        <w:rPr>
          <w:rFonts w:hint="eastAsia" w:ascii="仿宋" w:hAnsi="仿宋" w:eastAsia="仿宋" w:cs="仿宋"/>
          <w:sz w:val="32"/>
          <w:szCs w:val="32"/>
          <w:lang w:eastAsia="zh-CN"/>
        </w:rPr>
        <w:t>相关知识。</w:t>
      </w:r>
    </w:p>
    <w:p w14:paraId="45927B8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14:paraId="4DBEBD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14:paraId="048E60B0">
      <w:pPr>
        <w:keepNext w:val="0"/>
        <w:keepLines w:val="0"/>
        <w:pageBreakBefore w:val="0"/>
        <w:widowControl w:val="0"/>
        <w:kinsoku/>
        <w:wordWrap/>
        <w:overflowPunct/>
        <w:topLinePunct w:val="0"/>
        <w:autoSpaceDE/>
        <w:autoSpaceDN/>
        <w:bidi w:val="0"/>
        <w:adjustRightInd/>
        <w:snapToGrid/>
        <w:ind w:firstLine="320" w:firstLineChars="1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南县</w:t>
      </w:r>
      <w:r>
        <w:rPr>
          <w:rFonts w:hint="eastAsia" w:ascii="仿宋" w:hAnsi="仿宋" w:eastAsia="仿宋" w:cs="仿宋"/>
          <w:sz w:val="32"/>
          <w:szCs w:val="32"/>
          <w:lang w:eastAsia="zh-CN"/>
        </w:rPr>
        <w:t>人大常委会办公室</w:t>
      </w:r>
    </w:p>
    <w:p w14:paraId="349A65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14:paraId="13254E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2EF078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b/>
          <w:bCs/>
          <w:i w:val="0"/>
          <w:caps w:val="0"/>
          <w:color w:val="auto"/>
          <w:spacing w:val="0"/>
          <w:sz w:val="48"/>
          <w:szCs w:val="48"/>
          <w:shd w:val="clear" w:fill="FFFFFF"/>
        </w:rPr>
      </w:pPr>
    </w:p>
    <w:p w14:paraId="0E5DAF23">
      <w:pPr>
        <w:rPr>
          <w:rFonts w:hint="eastAsia" w:ascii="仿宋" w:hAnsi="仿宋" w:eastAsia="仿宋" w:cs="仿宋"/>
          <w:b/>
          <w:bCs/>
          <w:i w:val="0"/>
          <w:caps w:val="0"/>
          <w:color w:val="auto"/>
          <w:spacing w:val="0"/>
          <w:sz w:val="44"/>
          <w:szCs w:val="44"/>
          <w:shd w:val="clear" w:fill="FFFFFF"/>
        </w:rPr>
      </w:pPr>
    </w:p>
    <w:p w14:paraId="1D47C331">
      <w:pPr>
        <w:rPr>
          <w:rFonts w:hint="eastAsia" w:ascii="仿宋" w:hAnsi="仿宋" w:eastAsia="仿宋" w:cs="仿宋"/>
          <w:b/>
          <w:bCs/>
          <w:i w:val="0"/>
          <w:caps w:val="0"/>
          <w:color w:val="auto"/>
          <w:spacing w:val="0"/>
          <w:sz w:val="44"/>
          <w:szCs w:val="44"/>
          <w:shd w:val="clear" w:fill="FFFFFF"/>
        </w:rPr>
      </w:pPr>
    </w:p>
    <w:p w14:paraId="1F5FDC33">
      <w:pPr>
        <w:rPr>
          <w:rFonts w:hint="eastAsia" w:ascii="仿宋" w:hAnsi="仿宋" w:eastAsia="仿宋" w:cs="仿宋"/>
          <w:color w:val="auto"/>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881573-C2AD-43B5-B872-E36634C38F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50F5B9-9351-43DE-8D84-33CC75C92185}"/>
  </w:font>
  <w:font w:name="仿宋_GB2312">
    <w:altName w:val="仿宋"/>
    <w:panose1 w:val="02010609030101010101"/>
    <w:charset w:val="86"/>
    <w:family w:val="auto"/>
    <w:pitch w:val="default"/>
    <w:sig w:usb0="00000000" w:usb1="00000000" w:usb2="00000000" w:usb3="00000000" w:csb0="00040000" w:csb1="00000000"/>
    <w:embedRegular r:id="rId3" w:fontKey="{D8E5C438-17E1-43B0-8BD9-D50ED28D715E}"/>
  </w:font>
  <w:font w:name="仿宋">
    <w:panose1 w:val="02010609060101010101"/>
    <w:charset w:val="86"/>
    <w:family w:val="auto"/>
    <w:pitch w:val="default"/>
    <w:sig w:usb0="800002BF" w:usb1="38CF7CFA" w:usb2="00000016" w:usb3="00000000" w:csb0="00040001" w:csb1="00000000"/>
    <w:embedRegular r:id="rId4" w:fontKey="{2DA21DD8-4EFC-45EE-B7B4-8EF4EB5B7939}"/>
  </w:font>
  <w:font w:name="寰蒋闆呴粦">
    <w:altName w:val="Segoe Print"/>
    <w:panose1 w:val="00000000000000000000"/>
    <w:charset w:val="00"/>
    <w:family w:val="auto"/>
    <w:pitch w:val="default"/>
    <w:sig w:usb0="00000000" w:usb1="00000000" w:usb2="00000000" w:usb3="00000000" w:csb0="00000000" w:csb1="00000000"/>
    <w:embedRegular r:id="rId5" w:fontKey="{81B6602D-1295-4F74-8141-03ACD1AE7BBF}"/>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6" w:fontKey="{E23C765A-9859-4A56-8C54-D1B502D5EDB2}"/>
  </w:font>
  <w:font w:name="方正仿宋_GBK">
    <w:altName w:val="微软雅黑"/>
    <w:panose1 w:val="02000000000000000000"/>
    <w:charset w:val="86"/>
    <w:family w:val="auto"/>
    <w:pitch w:val="default"/>
    <w:sig w:usb0="00000000" w:usb1="00000000" w:usb2="00082016" w:usb3="00000000" w:csb0="00040001" w:csb1="00000000"/>
    <w:embedRegular r:id="rId7" w:fontKey="{91B44198-CBBD-44EC-8012-38A81F005AA2}"/>
  </w:font>
  <w:font w:name="微软雅黑">
    <w:panose1 w:val="020B0503020204020204"/>
    <w:charset w:val="86"/>
    <w:family w:val="auto"/>
    <w:pitch w:val="default"/>
    <w:sig w:usb0="80000287" w:usb1="2ACF3C50" w:usb2="00000016" w:usb3="00000000" w:csb0="0004001F" w:csb1="00000000"/>
  </w:font>
  <w:font w:name="方正楷体简体">
    <w:altName w:val="宋体"/>
    <w:panose1 w:val="03000509000000000000"/>
    <w:charset w:val="86"/>
    <w:family w:val="auto"/>
    <w:pitch w:val="default"/>
    <w:sig w:usb0="00000000" w:usb1="00000000" w:usb2="00000000" w:usb3="00000000" w:csb0="00040000" w:csb1="00000000"/>
    <w:embedRegular r:id="rId8" w:fontKey="{2D230132-FA9F-4DEB-AA6A-A1CDD0FD10B3}"/>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方正公文仿宋">
    <w:panose1 w:val="02000500000000000000"/>
    <w:charset w:val="86"/>
    <w:family w:val="auto"/>
    <w:pitch w:val="default"/>
    <w:sig w:usb0="A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1808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368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2D368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F766D"/>
    <w:multiLevelType w:val="singleLevel"/>
    <w:tmpl w:val="F44F766D"/>
    <w:lvl w:ilvl="0" w:tentative="0">
      <w:start w:val="3"/>
      <w:numFmt w:val="decimal"/>
      <w:suff w:val="nothing"/>
      <w:lvlText w:val="%1、"/>
      <w:lvlJc w:val="left"/>
    </w:lvl>
  </w:abstractNum>
  <w:abstractNum w:abstractNumId="1">
    <w:nsid w:val="F4A8B411"/>
    <w:multiLevelType w:val="singleLevel"/>
    <w:tmpl w:val="F4A8B411"/>
    <w:lvl w:ilvl="0" w:tentative="0">
      <w:start w:val="2"/>
      <w:numFmt w:val="chineseCounting"/>
      <w:suff w:val="nothing"/>
      <w:lvlText w:val="（%1）"/>
      <w:lvlJc w:val="left"/>
      <w:rPr>
        <w:rFonts w:hint="eastAsia"/>
      </w:rPr>
    </w:lvl>
  </w:abstractNum>
  <w:abstractNum w:abstractNumId="2">
    <w:nsid w:val="27AD514F"/>
    <w:multiLevelType w:val="singleLevel"/>
    <w:tmpl w:val="27AD514F"/>
    <w:lvl w:ilvl="0" w:tentative="0">
      <w:start w:val="1"/>
      <w:numFmt w:val="decimal"/>
      <w:suff w:val="nothing"/>
      <w:lvlText w:val="%1、"/>
      <w:lvlJc w:val="left"/>
      <w:rPr>
        <w:rFonts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NGVlZWI0YWY2Y2Y3ODdlY2Q5NzliZmEzMWUzYzAifQ=="/>
  </w:docVars>
  <w:rsids>
    <w:rsidRoot w:val="77A63BF5"/>
    <w:rsid w:val="00794C9C"/>
    <w:rsid w:val="00831DF2"/>
    <w:rsid w:val="01DF100B"/>
    <w:rsid w:val="021B0316"/>
    <w:rsid w:val="02271842"/>
    <w:rsid w:val="022F6BB9"/>
    <w:rsid w:val="025E1859"/>
    <w:rsid w:val="044B3117"/>
    <w:rsid w:val="05E80F59"/>
    <w:rsid w:val="060B105A"/>
    <w:rsid w:val="07AD3354"/>
    <w:rsid w:val="087E4839"/>
    <w:rsid w:val="08970D89"/>
    <w:rsid w:val="089D117E"/>
    <w:rsid w:val="09043F33"/>
    <w:rsid w:val="09050F5A"/>
    <w:rsid w:val="09EF33AD"/>
    <w:rsid w:val="09FF534A"/>
    <w:rsid w:val="0A3A5B64"/>
    <w:rsid w:val="0A5E16A3"/>
    <w:rsid w:val="0A9834D4"/>
    <w:rsid w:val="0B7E5717"/>
    <w:rsid w:val="0B9B717C"/>
    <w:rsid w:val="0BAB04D9"/>
    <w:rsid w:val="0BFA475E"/>
    <w:rsid w:val="0C4554CF"/>
    <w:rsid w:val="0D6E6EA8"/>
    <w:rsid w:val="0E544584"/>
    <w:rsid w:val="101A3CD9"/>
    <w:rsid w:val="10306E15"/>
    <w:rsid w:val="10393E38"/>
    <w:rsid w:val="10AF2C58"/>
    <w:rsid w:val="123A47E8"/>
    <w:rsid w:val="125E150C"/>
    <w:rsid w:val="126E0C6D"/>
    <w:rsid w:val="13154FC2"/>
    <w:rsid w:val="138D40A0"/>
    <w:rsid w:val="14DD7B27"/>
    <w:rsid w:val="1514410A"/>
    <w:rsid w:val="151D1911"/>
    <w:rsid w:val="152A4F40"/>
    <w:rsid w:val="15E97757"/>
    <w:rsid w:val="15F04570"/>
    <w:rsid w:val="16040F0F"/>
    <w:rsid w:val="16885EC4"/>
    <w:rsid w:val="173914CE"/>
    <w:rsid w:val="175C6F14"/>
    <w:rsid w:val="17762924"/>
    <w:rsid w:val="17B05336"/>
    <w:rsid w:val="17E15EFC"/>
    <w:rsid w:val="18465AA5"/>
    <w:rsid w:val="191867DD"/>
    <w:rsid w:val="19424387"/>
    <w:rsid w:val="19F94B1E"/>
    <w:rsid w:val="1B5878EF"/>
    <w:rsid w:val="1BA56282"/>
    <w:rsid w:val="1CC41CDA"/>
    <w:rsid w:val="1D233FE7"/>
    <w:rsid w:val="1FB515CE"/>
    <w:rsid w:val="20B760A1"/>
    <w:rsid w:val="20EB6B5A"/>
    <w:rsid w:val="2198541E"/>
    <w:rsid w:val="21DE5213"/>
    <w:rsid w:val="21ED2171"/>
    <w:rsid w:val="22574559"/>
    <w:rsid w:val="2287088A"/>
    <w:rsid w:val="22A96C4D"/>
    <w:rsid w:val="22C5630B"/>
    <w:rsid w:val="22D116F0"/>
    <w:rsid w:val="23F91006"/>
    <w:rsid w:val="24D036F2"/>
    <w:rsid w:val="24EF3CF8"/>
    <w:rsid w:val="250A6257"/>
    <w:rsid w:val="254A4F31"/>
    <w:rsid w:val="25666234"/>
    <w:rsid w:val="26042964"/>
    <w:rsid w:val="26296A75"/>
    <w:rsid w:val="263938D0"/>
    <w:rsid w:val="268C6633"/>
    <w:rsid w:val="27462298"/>
    <w:rsid w:val="27703228"/>
    <w:rsid w:val="278D1D9E"/>
    <w:rsid w:val="28B53E72"/>
    <w:rsid w:val="28F07C1B"/>
    <w:rsid w:val="29397F17"/>
    <w:rsid w:val="299A60D1"/>
    <w:rsid w:val="29B8561E"/>
    <w:rsid w:val="2B39649B"/>
    <w:rsid w:val="2B610C6E"/>
    <w:rsid w:val="2B7E6F24"/>
    <w:rsid w:val="2CD40B68"/>
    <w:rsid w:val="2D496964"/>
    <w:rsid w:val="2D814186"/>
    <w:rsid w:val="2E6B353D"/>
    <w:rsid w:val="2EAB20A2"/>
    <w:rsid w:val="2ED92E71"/>
    <w:rsid w:val="2EF57ABA"/>
    <w:rsid w:val="2FA554FB"/>
    <w:rsid w:val="300E0B08"/>
    <w:rsid w:val="307A551E"/>
    <w:rsid w:val="309C2955"/>
    <w:rsid w:val="30D4264E"/>
    <w:rsid w:val="30E8353D"/>
    <w:rsid w:val="31312B59"/>
    <w:rsid w:val="32134CC9"/>
    <w:rsid w:val="32B963A3"/>
    <w:rsid w:val="333F2EC2"/>
    <w:rsid w:val="350D49FE"/>
    <w:rsid w:val="350E34A0"/>
    <w:rsid w:val="35EC69B0"/>
    <w:rsid w:val="36201992"/>
    <w:rsid w:val="36D74526"/>
    <w:rsid w:val="373C328B"/>
    <w:rsid w:val="37FE1162"/>
    <w:rsid w:val="39E6508D"/>
    <w:rsid w:val="3A125A74"/>
    <w:rsid w:val="3A184582"/>
    <w:rsid w:val="3A1C242A"/>
    <w:rsid w:val="3A4818A4"/>
    <w:rsid w:val="3B1044B3"/>
    <w:rsid w:val="3B683FC4"/>
    <w:rsid w:val="3B9A6554"/>
    <w:rsid w:val="3CA513A0"/>
    <w:rsid w:val="3D711FB1"/>
    <w:rsid w:val="3D74108C"/>
    <w:rsid w:val="3EDD4184"/>
    <w:rsid w:val="3EE56F1D"/>
    <w:rsid w:val="3F2A2234"/>
    <w:rsid w:val="400261DF"/>
    <w:rsid w:val="406D74F7"/>
    <w:rsid w:val="40D71170"/>
    <w:rsid w:val="419A0956"/>
    <w:rsid w:val="423212C0"/>
    <w:rsid w:val="42BB1309"/>
    <w:rsid w:val="43B24586"/>
    <w:rsid w:val="44916547"/>
    <w:rsid w:val="452C7DF3"/>
    <w:rsid w:val="462E68D2"/>
    <w:rsid w:val="46C410F2"/>
    <w:rsid w:val="46DF4A69"/>
    <w:rsid w:val="470C1A5F"/>
    <w:rsid w:val="47274A88"/>
    <w:rsid w:val="481B1DE1"/>
    <w:rsid w:val="48DF1BB7"/>
    <w:rsid w:val="495716DD"/>
    <w:rsid w:val="4AE25DA3"/>
    <w:rsid w:val="4AF34A92"/>
    <w:rsid w:val="4B6B53F2"/>
    <w:rsid w:val="4B77171C"/>
    <w:rsid w:val="4BC31725"/>
    <w:rsid w:val="4D954AC7"/>
    <w:rsid w:val="4DD4790D"/>
    <w:rsid w:val="50AD534D"/>
    <w:rsid w:val="50E64958"/>
    <w:rsid w:val="50FC46B5"/>
    <w:rsid w:val="514A60C1"/>
    <w:rsid w:val="514C7681"/>
    <w:rsid w:val="515720C6"/>
    <w:rsid w:val="52D5014E"/>
    <w:rsid w:val="532902BD"/>
    <w:rsid w:val="535D4938"/>
    <w:rsid w:val="542F3891"/>
    <w:rsid w:val="546B6463"/>
    <w:rsid w:val="55401A12"/>
    <w:rsid w:val="55EC5382"/>
    <w:rsid w:val="57B45EE9"/>
    <w:rsid w:val="584E5A0A"/>
    <w:rsid w:val="588F04B9"/>
    <w:rsid w:val="59890011"/>
    <w:rsid w:val="59EB6D75"/>
    <w:rsid w:val="5A152E3D"/>
    <w:rsid w:val="5A2820DF"/>
    <w:rsid w:val="5A5D5D05"/>
    <w:rsid w:val="5ACD4EDF"/>
    <w:rsid w:val="5B111A6E"/>
    <w:rsid w:val="5BA3287C"/>
    <w:rsid w:val="5C4133F3"/>
    <w:rsid w:val="5D2F2FCF"/>
    <w:rsid w:val="5FB9746F"/>
    <w:rsid w:val="602A5124"/>
    <w:rsid w:val="60530BE2"/>
    <w:rsid w:val="60702F7A"/>
    <w:rsid w:val="614E0843"/>
    <w:rsid w:val="61594D1D"/>
    <w:rsid w:val="61BF03CD"/>
    <w:rsid w:val="61F61E67"/>
    <w:rsid w:val="62551EEC"/>
    <w:rsid w:val="635118CF"/>
    <w:rsid w:val="635A75C7"/>
    <w:rsid w:val="64755C28"/>
    <w:rsid w:val="653B296B"/>
    <w:rsid w:val="664B5076"/>
    <w:rsid w:val="67302D08"/>
    <w:rsid w:val="6736315B"/>
    <w:rsid w:val="68330675"/>
    <w:rsid w:val="68846340"/>
    <w:rsid w:val="68DB1AB5"/>
    <w:rsid w:val="69233C22"/>
    <w:rsid w:val="69F46A7D"/>
    <w:rsid w:val="69FC0F8B"/>
    <w:rsid w:val="6A012CDA"/>
    <w:rsid w:val="6A10412F"/>
    <w:rsid w:val="6AD26AEF"/>
    <w:rsid w:val="6B5C416C"/>
    <w:rsid w:val="6BBB670F"/>
    <w:rsid w:val="6BF02E5B"/>
    <w:rsid w:val="6C777028"/>
    <w:rsid w:val="6C7B02B3"/>
    <w:rsid w:val="6CFD1EE2"/>
    <w:rsid w:val="6E49525B"/>
    <w:rsid w:val="6EB67112"/>
    <w:rsid w:val="6FA45BFB"/>
    <w:rsid w:val="702754DC"/>
    <w:rsid w:val="713D5F78"/>
    <w:rsid w:val="715909A7"/>
    <w:rsid w:val="718A24DB"/>
    <w:rsid w:val="71E97E74"/>
    <w:rsid w:val="72243C78"/>
    <w:rsid w:val="72B3524E"/>
    <w:rsid w:val="739F294B"/>
    <w:rsid w:val="741A0705"/>
    <w:rsid w:val="74211278"/>
    <w:rsid w:val="74BA6885"/>
    <w:rsid w:val="75221B2B"/>
    <w:rsid w:val="758160B1"/>
    <w:rsid w:val="75A91FAA"/>
    <w:rsid w:val="75B94AC5"/>
    <w:rsid w:val="75CB37F8"/>
    <w:rsid w:val="76600DFC"/>
    <w:rsid w:val="768A545D"/>
    <w:rsid w:val="77A63BF5"/>
    <w:rsid w:val="77C045F0"/>
    <w:rsid w:val="78C52553"/>
    <w:rsid w:val="7A2E4512"/>
    <w:rsid w:val="7A8B3E0E"/>
    <w:rsid w:val="7ABB2591"/>
    <w:rsid w:val="7AC71620"/>
    <w:rsid w:val="7B926917"/>
    <w:rsid w:val="7C23033A"/>
    <w:rsid w:val="7C6376A9"/>
    <w:rsid w:val="7D4E111D"/>
    <w:rsid w:val="7D625068"/>
    <w:rsid w:val="7DFC6DDA"/>
    <w:rsid w:val="7E232425"/>
    <w:rsid w:val="7E2431AA"/>
    <w:rsid w:val="7E2E6AA2"/>
    <w:rsid w:val="7E67414A"/>
    <w:rsid w:val="7F3A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32"/>
      <w:szCs w:val="24"/>
    </w:rPr>
  </w:style>
  <w:style w:type="paragraph" w:styleId="5">
    <w:name w:val="Body Text"/>
    <w:basedOn w:val="1"/>
    <w:qFormat/>
    <w:uiPriority w:val="1"/>
    <w:pPr>
      <w:ind w:left="112" w:firstLine="559"/>
    </w:pPr>
    <w:rPr>
      <w:rFonts w:ascii="仿宋_GB2312" w:hAnsi="仿宋_GB2312" w:eastAsia="仿宋_GB2312" w:cs="仿宋_GB2312"/>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5991</Words>
  <Characters>6119</Characters>
  <Lines>0</Lines>
  <Paragraphs>0</Paragraphs>
  <TotalTime>14</TotalTime>
  <ScaleCrop>false</ScaleCrop>
  <LinksUpToDate>false</LinksUpToDate>
  <CharactersWithSpaces>6208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2021-03-17T00:54:00Z</dcterms:created>
  <dc:creator>艳子</dc:creator>
  <cp:lastModifiedBy>黎芷漪</cp:lastModifiedBy>
  <cp:lastPrinted>2021-04-09T02:09:00Z</cp:lastPrinted>
  <dcterms:modified xsi:type="dcterms:W3CDTF">2025-03-24T03:54:24Z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010B6EFA5D054CCDB2DAFF19EA1C72AF</vt:lpwstr>
  </property>
  <property fmtid="{D5CDD505-2E9C-101B-9397-08002B2CF9AE}" pid="4" name="KSOTemplateDocerSaveRecord">
    <vt:lpwstr>eyJoZGlkIjoiMzdmNGVlZWI0YWY2Y2Y3ODdlY2Q5NzliZmEzMWUzYzAiLCJ1c2VySWQiOiI0MTUzNjUwOTAifQ==</vt:lpwstr>
  </property>
</Properties>
</file>