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09" w:rightChars="290"/>
        <w:jc w:val="center"/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  <w:t>南县202</w:t>
      </w: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  <w:t>年高标准农田建设项目各标段</w:t>
      </w:r>
    </w:p>
    <w:p>
      <w:pPr>
        <w:spacing w:line="540" w:lineRule="exact"/>
        <w:ind w:right="609" w:rightChars="290"/>
        <w:jc w:val="center"/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  <w:t>关键</w:t>
      </w: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  <w:t>人员履约打卡公示表</w:t>
      </w:r>
    </w:p>
    <w:bookmarkEnd w:id="0"/>
    <w:p>
      <w:pPr>
        <w:spacing w:line="540" w:lineRule="exact"/>
        <w:ind w:right="609" w:rightChars="290"/>
        <w:rPr>
          <w:rFonts w:hint="eastAsia" w:ascii="方正仿宋_GB2312" w:hAnsi="方正仿宋_GB2312" w:eastAsia="方正仿宋_GB2312" w:cs="方正仿宋_GB2312"/>
          <w:kern w:val="1"/>
          <w:sz w:val="32"/>
        </w:rPr>
      </w:pP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时间：202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日至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</w:t>
      </w:r>
    </w:p>
    <w:tbl>
      <w:tblPr>
        <w:tblStyle w:val="2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15"/>
        <w:gridCol w:w="1515"/>
        <w:gridCol w:w="1515"/>
        <w:gridCol w:w="151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标段/单位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考勤人员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至少应打卡次数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有效打卡次数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缺勤次数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湖南省益阳兴益水利水电建筑有限责任公司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甯多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陈旦初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湖南水利水电工程监理有限公司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欧阳立文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李百寿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彭彪青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赵湘杰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廖亚东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唐波涛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江志邦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</w:tbl>
    <w:p>
      <w:pPr>
        <w:rPr>
          <w:rFonts w:ascii="Calibri" w:hAnsi="Calibri" w:eastAsia="宋体" w:cs="Times New Roma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17E03"/>
    <w:rsid w:val="4D81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2025-11-03T03:20:00Z</dcterms:created>
  <dc:creator>海大技术工程师刘波13132502261</dc:creator>
  <cp:lastModifiedBy>海大技术工程师刘波13132502261</cp:lastModifiedBy>
  <dcterms:modified xsi:type="dcterms:W3CDTF">2025-11-03T03:22:32Z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110F857F8EB94AFEACE529C1451AD4DB</vt:lpwstr>
  </property>
  <property fmtid="{D5CDD505-2E9C-101B-9397-08002B2CF9AE}" pid="4" name="KSOSaveFontToCloudKey">
    <vt:lpwstr>554588449_btnclosed</vt:lpwstr>
  </property>
</Properties>
</file>