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方正黑体简体" w:cs="方正黑体简体"/>
          <w:color w:val="auto"/>
          <w:spacing w:val="11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简体" w:cs="方正黑体简体"/>
          <w:color w:val="auto"/>
          <w:spacing w:val="11"/>
          <w:sz w:val="32"/>
          <w:szCs w:val="32"/>
          <w:highlight w:val="none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318" w:beforeLines="100" w:after="318" w:afterLines="100" w:line="440" w:lineRule="exact"/>
        <w:jc w:val="center"/>
        <w:textAlignment w:val="auto"/>
        <w:rPr>
          <w:rFonts w:hint="eastAsia" w:ascii="Times New Roman" w:hAnsi="Times New Roman" w:eastAsia="微软雅黑" w:cs="微软雅黑"/>
          <w:color w:val="auto"/>
          <w:spacing w:val="11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color w:val="auto"/>
          <w:spacing w:val="11"/>
          <w:sz w:val="44"/>
          <w:szCs w:val="44"/>
          <w:highlight w:val="none"/>
          <w:lang w:val="en-US" w:eastAsia="zh-CN"/>
        </w:rPr>
        <w:t>2025年省级第三批财政衔接推进乡村振兴补助资金安排表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default" w:ascii="Times New Roman" w:hAnsi="Times New Roman" w:eastAsia="方正黑体简体" w:cs="方正黑体简体"/>
          <w:color w:val="auto"/>
          <w:spacing w:val="11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简体" w:cs="方正楷体简体"/>
          <w:color w:val="auto"/>
          <w:sz w:val="28"/>
          <w:szCs w:val="28"/>
          <w:highlight w:val="none"/>
          <w:lang w:val="en-US" w:eastAsia="zh-CN"/>
        </w:rPr>
        <w:t xml:space="preserve">             </w:t>
      </w:r>
      <w:r>
        <w:rPr>
          <w:rFonts w:hint="eastAsia" w:ascii="Times New Roman" w:hAnsi="Times New Roman" w:eastAsia="方正楷体简体" w:cs="方正楷体简体"/>
          <w:color w:val="auto"/>
          <w:sz w:val="24"/>
          <w:szCs w:val="24"/>
          <w:highlight w:val="none"/>
          <w:lang w:val="en-US" w:eastAsia="zh-CN"/>
        </w:rPr>
        <w:t xml:space="preserve">                                                                                          单位：万元</w:t>
      </w:r>
    </w:p>
    <w:tbl>
      <w:tblPr>
        <w:tblStyle w:val="2"/>
        <w:tblW w:w="15112" w:type="dxa"/>
        <w:tblInd w:w="-5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244"/>
        <w:gridCol w:w="1063"/>
        <w:gridCol w:w="2000"/>
        <w:gridCol w:w="750"/>
        <w:gridCol w:w="750"/>
        <w:gridCol w:w="3712"/>
        <w:gridCol w:w="719"/>
        <w:gridCol w:w="775"/>
        <w:gridCol w:w="687"/>
        <w:gridCol w:w="29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tblHeader/>
        </w:trPr>
        <w:tc>
          <w:tcPr>
            <w:tcW w:w="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1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乡（镇）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项目村</w:t>
            </w:r>
          </w:p>
        </w:tc>
        <w:tc>
          <w:tcPr>
            <w:tcW w:w="2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项目名称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项目类别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建设性质</w:t>
            </w:r>
          </w:p>
        </w:tc>
        <w:tc>
          <w:tcPr>
            <w:tcW w:w="3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主要建设内容及规模</w:t>
            </w:r>
          </w:p>
        </w:tc>
        <w:tc>
          <w:tcPr>
            <w:tcW w:w="2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总投资</w:t>
            </w:r>
          </w:p>
        </w:tc>
        <w:tc>
          <w:tcPr>
            <w:tcW w:w="2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tblHeader/>
        </w:trPr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合计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衔接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资金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村级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自筹</w:t>
            </w:r>
          </w:p>
        </w:tc>
        <w:tc>
          <w:tcPr>
            <w:tcW w:w="2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合计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111.8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98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13.8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2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华阁镇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（12万元）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华阁村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华阁村向东八股电排道路硬化修复建设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公共服务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改建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2.2公里道路损坏19处，共计约240米，宽4米的道路硬化修复。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完成八股电排渠约240米，宽4米的道路硬化修复，改善群众出行条件。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2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明山头镇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（19万元）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耕余堂村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耕余堂村疏河5-9组新建水泥硬化路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公共服务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新建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新建水泥硬化路长420米，宽2.5米，厚0.2米。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17.8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5.8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完成长420米，宽2.5米，厚0.2米道路硬化，改善出行条件。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24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明山头镇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明山头镇电排渠清理项目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公共服务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改建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对长度为5500米的明山头镇电排渠开展渠道清理、垃圾清运等工作。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改善明山头镇电排渠的渠道条件，整体提升镇容镇貌。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浪拔湖镇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（13万元）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荣福村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荣福村21、22、23、24、25、26组道路硬化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公共服务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改建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21、22、23、24、25、26组进行道路拓宽，总长1100米，拓宽1.5米，厚0.2米。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完成长1100米，拓宽1.5米，厚0.2米的道路硬化，方便农户机械耕种、出行。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麻河口镇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（37万元）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南间堤村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南间堤村5组抗旱渠道渡槽建设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公共服务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新建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金家铺村6组-7组的抗旱渠道修建渡槽长14米，宽2.4米 ，高1.6米。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完成长14米，宽2.4米 ，高1.6米的抗旱渠道渡槽建设，提升生产生活质量。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银珠潭村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银珠潭村2组公路硬化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公共服务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新建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银珠潭村2组长450米，宽2.7米，厚0.2米的公路硬化及路基建设。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完成长450米，宽2.7米，厚0.2米的公路硬化及路基建设，提升生产生活质量。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陈家渡村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陈家渡村12组路基、道路硬化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公共服务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新建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陈家渡村12组长500米，宽4.5米，厚0.2米的通村公路硬化。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19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完成长500米，宽4.5米，厚0.2米的通村公路硬化，提升生产生活质量。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武圣宫镇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（12万元）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龙头嘴村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龙头嘴村禹贡二组机耕道硬化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公共服务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新建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禹贡二组机耕道硬化长600米，宽2.5米，厚0.2米。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完成长600米，宽2.5米，厚0.2米的道路提质改造及路肩建设。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茅草街镇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（5万元）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大同村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大同村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渠道梳洗项目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基础设施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新建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pacing w:val="-1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大同村运河路扫障700米，沉十路扫障500米，沉丰路扫障1500米，沉排湖旧村部沟渠疏洗500米。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完成扫障2700米和渠道疏洗500米，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改善农户出行条件。</w:t>
            </w:r>
          </w:p>
        </w:tc>
      </w:tr>
    </w:tbl>
    <w:p>
      <w:pPr>
        <w:rPr>
          <w:rFonts w:hint="eastAsia" w:ascii="Times New Roman" w:hAnsi="Times New Roman" w:eastAsia="方正黑体简体" w:cs="方正黑体简体"/>
          <w:color w:val="auto"/>
          <w:spacing w:val="11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简体" w:cs="方正黑体简体"/>
          <w:color w:val="auto"/>
          <w:spacing w:val="11"/>
          <w:sz w:val="32"/>
          <w:szCs w:val="32"/>
          <w:highlight w:val="none"/>
          <w:lang w:val="en-US" w:eastAsia="zh-CN"/>
        </w:rPr>
        <w:br w:type="page"/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E49E9"/>
    <w:rsid w:val="4F1E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2025-11-10T00:29:00Z</dcterms:created>
  <dc:creator>海大技术工程师刘波13132502261</dc:creator>
  <cp:lastModifiedBy>海大技术工程师刘波13132502261</cp:lastModifiedBy>
  <dcterms:modified xsi:type="dcterms:W3CDTF">2025-11-10T00:29:47Z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3DEF637EEA50426C945C43AFBDFD7411</vt:lpwstr>
  </property>
  <property fmtid="{D5CDD505-2E9C-101B-9397-08002B2CF9AE}" pid="4" name="KSOSaveFontToCloudKey">
    <vt:lpwstr>554588449_btnclosed</vt:lpwstr>
  </property>
</Properties>
</file>