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南县2025年5月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变更调整财政衔接资金项目计划表</w:t>
      </w:r>
    </w:p>
    <w:tbl>
      <w:tblPr>
        <w:tblStyle w:val="6"/>
        <w:tblpPr w:leftFromText="180" w:rightFromText="180" w:vertAnchor="text" w:horzAnchor="page" w:tblpX="602" w:tblpY="194"/>
        <w:tblOverlap w:val="never"/>
        <w:tblW w:w="158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930"/>
        <w:gridCol w:w="825"/>
        <w:gridCol w:w="563"/>
        <w:gridCol w:w="1110"/>
        <w:gridCol w:w="1500"/>
        <w:gridCol w:w="885"/>
        <w:gridCol w:w="555"/>
        <w:gridCol w:w="555"/>
        <w:gridCol w:w="405"/>
        <w:gridCol w:w="540"/>
        <w:gridCol w:w="1440"/>
        <w:gridCol w:w="1710"/>
        <w:gridCol w:w="721"/>
        <w:gridCol w:w="720"/>
        <w:gridCol w:w="495"/>
        <w:gridCol w:w="1484"/>
        <w:gridCol w:w="638"/>
        <w:gridCol w:w="405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7676" w:type="dxa"/>
            <w:gridSpan w:val="10"/>
            <w:vAlign w:val="center"/>
          </w:tcPr>
          <w:p w14:paraId="04AADD99">
            <w:pPr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7110" w:type="dxa"/>
            <w:gridSpan w:val="7"/>
            <w:vAlign w:val="center"/>
          </w:tcPr>
          <w:p w14:paraId="7DF85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405" w:type="dxa"/>
            <w:vMerge w:val="restart"/>
            <w:textDirection w:val="tbRlV"/>
            <w:vAlign w:val="center"/>
          </w:tcPr>
          <w:p w14:paraId="68CB4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348" w:type="dxa"/>
            <w:vMerge w:val="restart"/>
            <w:tcBorders>
              <w:bottom w:val="nil"/>
            </w:tcBorders>
            <w:vAlign w:val="center"/>
          </w:tcPr>
          <w:p w14:paraId="611C4A8B">
            <w:pPr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序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号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14:paraId="256E708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镇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35E6402D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村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center"/>
          </w:tcPr>
          <w:p w14:paraId="3E3EC426">
            <w:pPr>
              <w:spacing w:before="62" w:line="249" w:lineRule="auto"/>
              <w:ind w:right="11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center"/>
          </w:tcPr>
          <w:p w14:paraId="7F8A6C2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1500" w:type="dxa"/>
            <w:vMerge w:val="restart"/>
            <w:tcBorders>
              <w:bottom w:val="nil"/>
            </w:tcBorders>
            <w:vAlign w:val="center"/>
          </w:tcPr>
          <w:p w14:paraId="03B73ED7">
            <w:pPr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模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center"/>
          </w:tcPr>
          <w:p w14:paraId="595BE140">
            <w:pPr>
              <w:spacing w:before="62" w:line="229" w:lineRule="auto"/>
              <w:jc w:val="center"/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1515" w:type="dxa"/>
            <w:gridSpan w:val="3"/>
            <w:vAlign w:val="center"/>
          </w:tcPr>
          <w:p w14:paraId="2A0CD82C">
            <w:pPr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项目投入(万元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)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center"/>
          </w:tcPr>
          <w:p w14:paraId="28B9E424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1D62BE69">
            <w:pPr>
              <w:spacing w:line="240" w:lineRule="auto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1710" w:type="dxa"/>
            <w:vMerge w:val="restart"/>
            <w:tcBorders>
              <w:bottom w:val="nil"/>
            </w:tcBorders>
            <w:vAlign w:val="center"/>
          </w:tcPr>
          <w:p w14:paraId="6F3EBB6C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1936" w:type="dxa"/>
            <w:gridSpan w:val="3"/>
            <w:vAlign w:val="center"/>
          </w:tcPr>
          <w:p w14:paraId="59BF908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9"/>
                <w:sz w:val="18"/>
                <w:szCs w:val="18"/>
              </w:rPr>
              <w:t>项目投入(万元)</w:t>
            </w:r>
          </w:p>
        </w:tc>
        <w:tc>
          <w:tcPr>
            <w:tcW w:w="1484" w:type="dxa"/>
            <w:vMerge w:val="restart"/>
            <w:tcBorders>
              <w:top w:val="nil"/>
            </w:tcBorders>
            <w:vAlign w:val="center"/>
          </w:tcPr>
          <w:p w14:paraId="4B7521D9">
            <w:pPr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extDirection w:val="tbRlV"/>
            <w:vAlign w:val="top"/>
          </w:tcPr>
          <w:p w14:paraId="06B2F03E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tblHeader/>
        </w:trPr>
        <w:tc>
          <w:tcPr>
            <w:tcW w:w="348" w:type="dxa"/>
            <w:vMerge w:val="continue"/>
            <w:tcBorders>
              <w:top w:val="nil"/>
            </w:tcBorders>
            <w:vAlign w:val="top"/>
          </w:tcPr>
          <w:p w14:paraId="21FFF65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30F8D93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135CFE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 w14:paraId="1ECCE2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 w14:paraId="4D3588C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  <w:vAlign w:val="top"/>
          </w:tcPr>
          <w:p w14:paraId="2541300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303791D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AB4697F">
            <w:pPr>
              <w:spacing w:before="61" w:line="233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计</w:t>
            </w:r>
          </w:p>
        </w:tc>
        <w:tc>
          <w:tcPr>
            <w:tcW w:w="555" w:type="dxa"/>
            <w:textDirection w:val="tbRlV"/>
            <w:vAlign w:val="center"/>
          </w:tcPr>
          <w:p w14:paraId="4253CED8">
            <w:pPr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405" w:type="dxa"/>
            <w:textDirection w:val="tbRlV"/>
            <w:vAlign w:val="center"/>
          </w:tcPr>
          <w:p w14:paraId="18609BB5">
            <w:pPr>
              <w:spacing w:line="240" w:lineRule="auto"/>
              <w:ind w:left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7CB2896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457A74E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1ACC32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0BA1E01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720" w:type="dxa"/>
            <w:textDirection w:val="tbRlV"/>
            <w:vAlign w:val="center"/>
          </w:tcPr>
          <w:p w14:paraId="7EF6E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495" w:type="dxa"/>
            <w:textDirection w:val="tbRlV"/>
            <w:vAlign w:val="center"/>
          </w:tcPr>
          <w:p w14:paraId="0B5F6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484" w:type="dxa"/>
            <w:vMerge w:val="continue"/>
            <w:vAlign w:val="center"/>
          </w:tcPr>
          <w:p w14:paraId="26130133">
            <w:pPr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extDirection w:val="tbRlV"/>
            <w:vAlign w:val="top"/>
          </w:tcPr>
          <w:p w14:paraId="226A0667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161" w:type="dxa"/>
            <w:gridSpan w:val="7"/>
            <w:vAlign w:val="top"/>
          </w:tcPr>
          <w:p w14:paraId="1059C16A">
            <w:pPr>
              <w:spacing w:before="104" w:line="230" w:lineRule="auto"/>
              <w:ind w:left="283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555" w:type="dxa"/>
            <w:vAlign w:val="center"/>
          </w:tcPr>
          <w:p w14:paraId="7A701B7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555" w:type="dxa"/>
            <w:vAlign w:val="center"/>
          </w:tcPr>
          <w:p w14:paraId="42B15889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95.2</w:t>
            </w:r>
          </w:p>
        </w:tc>
        <w:tc>
          <w:tcPr>
            <w:tcW w:w="405" w:type="dxa"/>
            <w:vAlign w:val="center"/>
          </w:tcPr>
          <w:p w14:paraId="432234CC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vAlign w:val="top"/>
          </w:tcPr>
          <w:p w14:paraId="43CA3B2E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440" w:type="dxa"/>
            <w:vAlign w:val="top"/>
          </w:tcPr>
          <w:p w14:paraId="08876A5A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710" w:type="dxa"/>
            <w:vAlign w:val="top"/>
          </w:tcPr>
          <w:p w14:paraId="19FDCF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322CFFB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69.3588</w:t>
            </w:r>
          </w:p>
        </w:tc>
        <w:tc>
          <w:tcPr>
            <w:tcW w:w="720" w:type="dxa"/>
            <w:vAlign w:val="center"/>
          </w:tcPr>
          <w:p w14:paraId="01D4850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65.3588</w:t>
            </w:r>
          </w:p>
        </w:tc>
        <w:tc>
          <w:tcPr>
            <w:tcW w:w="495" w:type="dxa"/>
            <w:vAlign w:val="center"/>
          </w:tcPr>
          <w:p w14:paraId="186313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84" w:type="dxa"/>
            <w:vAlign w:val="top"/>
          </w:tcPr>
          <w:p w14:paraId="28E77A71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638" w:type="dxa"/>
            <w:vAlign w:val="top"/>
          </w:tcPr>
          <w:p w14:paraId="57C68263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405" w:type="dxa"/>
            <w:vAlign w:val="top"/>
          </w:tcPr>
          <w:p w14:paraId="4E745739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778FE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48" w:type="dxa"/>
            <w:vAlign w:val="center"/>
          </w:tcPr>
          <w:p w14:paraId="25516F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91802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华阁镇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D0D1B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华西村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41807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产业发展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676E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华西村特种养殖基地建设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6E3D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鱼塘规整清淤，防逃防盗设施建设，种苗购买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BABEF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南振局联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〔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z w:val="20"/>
                <w:szCs w:val="20"/>
              </w:rPr>
              <w:t>024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3号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C26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018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261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C772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BC53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华西村特种养殖基地建设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A8D6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原计划用于种苗购买部分现变更为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基地仓库建设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E55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6.9718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5D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6.9718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121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94CB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养殖基地建设总共预计增加村集体经济收入2.6万元/年。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D42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华阁镇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370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348" w:type="dxa"/>
            <w:vAlign w:val="center"/>
          </w:tcPr>
          <w:p w14:paraId="4BA78E1D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E4D3E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6C1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F1052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产业发展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BF9E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中富村蔬菜基地合营投资项目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8F7F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扶贫资金10.1870万元和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购置的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固定资产（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价值1.8130万元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共计12万元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以投资分成的方式与本村专业种植蔬菜的老板张治文进行合营发展。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2C4E7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南扶办联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〔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2号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E9D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AA7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1E4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BFE9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DD08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中富村入股湖南省天天来米业有限公司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71CE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将中富村2020年批复的扶贫资金10.1870万元入股湖南省天天来米业有限公司。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9FE34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10.1870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D07D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10.1870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24E83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736EB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村集体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预计可获得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分红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0.62万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元。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1DEDF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72346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市</w:t>
            </w:r>
          </w:p>
        </w:tc>
      </w:tr>
      <w:tr w14:paraId="510D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76" w:type="dxa"/>
            <w:gridSpan w:val="10"/>
            <w:vAlign w:val="center"/>
          </w:tcPr>
          <w:p w14:paraId="78825D30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7110" w:type="dxa"/>
            <w:gridSpan w:val="7"/>
            <w:shd w:val="clear" w:color="auto" w:fill="auto"/>
            <w:vAlign w:val="center"/>
          </w:tcPr>
          <w:p w14:paraId="71E07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638" w:type="dxa"/>
            <w:vMerge w:val="restart"/>
            <w:shd w:val="clear" w:color="auto" w:fill="auto"/>
            <w:textDirection w:val="tbRlV"/>
            <w:vAlign w:val="center"/>
          </w:tcPr>
          <w:p w14:paraId="7BFAD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405" w:type="dxa"/>
            <w:vMerge w:val="restart"/>
            <w:shd w:val="clear" w:color="auto" w:fill="auto"/>
            <w:textDirection w:val="tbRlV"/>
            <w:vAlign w:val="center"/>
          </w:tcPr>
          <w:p w14:paraId="239C1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29EC2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48" w:type="dxa"/>
            <w:vMerge w:val="restart"/>
            <w:vAlign w:val="center"/>
          </w:tcPr>
          <w:p w14:paraId="5DC59A39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序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号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0E346A7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镇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3F79C38">
            <w:pPr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村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(居)</w:t>
            </w:r>
          </w:p>
          <w:p w14:paraId="4B84035B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称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3742E409">
            <w:pPr>
              <w:spacing w:before="62" w:line="249" w:lineRule="auto"/>
              <w:ind w:right="11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3EF204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14:paraId="51C14C1C">
            <w:pPr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模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7292843C">
            <w:pPr>
              <w:spacing w:before="62" w:line="229" w:lineRule="auto"/>
              <w:jc w:val="center"/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原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-15"/>
                <w:sz w:val="18"/>
                <w:szCs w:val="18"/>
              </w:rPr>
              <w:t>目</w:t>
            </w:r>
          </w:p>
          <w:p w14:paraId="4458DFC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号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14:paraId="08A4676F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项目投入(万元</w:t>
            </w: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</w:rPr>
              <w:t>)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E74E96F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类别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449CE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3"/>
                <w:sz w:val="18"/>
                <w:szCs w:val="18"/>
              </w:rPr>
              <w:t>目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136F548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18"/>
                <w:szCs w:val="18"/>
              </w:rPr>
              <w:t>项</w:t>
            </w:r>
            <w:r>
              <w:rPr>
                <w:rFonts w:hint="eastAsia" w:ascii="黑体" w:hAnsi="黑体" w:eastAsia="黑体" w:cs="黑体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1936" w:type="dxa"/>
            <w:gridSpan w:val="3"/>
            <w:shd w:val="clear" w:color="auto" w:fill="auto"/>
            <w:vAlign w:val="center"/>
          </w:tcPr>
          <w:p w14:paraId="47AB417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9"/>
                <w:sz w:val="18"/>
                <w:szCs w:val="18"/>
              </w:rPr>
              <w:t>项目投入(万元)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14:paraId="32D387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 w14:paraId="1D7D5C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05" w:type="dxa"/>
            <w:vMerge w:val="continue"/>
            <w:shd w:val="clear" w:color="auto" w:fill="auto"/>
            <w:vAlign w:val="center"/>
          </w:tcPr>
          <w:p w14:paraId="7A657D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F016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348" w:type="dxa"/>
            <w:vMerge w:val="continue"/>
            <w:vAlign w:val="top"/>
          </w:tcPr>
          <w:p w14:paraId="638855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top"/>
          </w:tcPr>
          <w:p w14:paraId="38499B3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top"/>
          </w:tcPr>
          <w:p w14:paraId="4BDF7F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</w:p>
        </w:tc>
        <w:tc>
          <w:tcPr>
            <w:tcW w:w="563" w:type="dxa"/>
            <w:vMerge w:val="continue"/>
            <w:shd w:val="clear" w:color="auto" w:fill="auto"/>
            <w:vAlign w:val="top"/>
          </w:tcPr>
          <w:p w14:paraId="553074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top"/>
          </w:tcPr>
          <w:p w14:paraId="08F6CD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vAlign w:val="top"/>
          </w:tcPr>
          <w:p w14:paraId="67F5961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top"/>
          </w:tcPr>
          <w:p w14:paraId="32DAAE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ED27FAB">
            <w:pPr>
              <w:spacing w:before="61" w:line="233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1"/>
                <w:sz w:val="18"/>
                <w:szCs w:val="18"/>
              </w:rPr>
              <w:t>计</w:t>
            </w:r>
          </w:p>
        </w:tc>
        <w:tc>
          <w:tcPr>
            <w:tcW w:w="555" w:type="dxa"/>
            <w:shd w:val="clear" w:color="auto" w:fill="auto"/>
            <w:textDirection w:val="tbRlV"/>
            <w:vAlign w:val="center"/>
          </w:tcPr>
          <w:p w14:paraId="3BC276FA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405" w:type="dxa"/>
            <w:shd w:val="clear" w:color="auto" w:fill="auto"/>
            <w:textDirection w:val="tbRlV"/>
            <w:vAlign w:val="center"/>
          </w:tcPr>
          <w:p w14:paraId="4C43A003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 w14:paraId="6E3A8F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 w14:paraId="7310D9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 w14:paraId="1293C3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5A1C8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</w:rPr>
              <w:t>合</w:t>
            </w:r>
            <w:r>
              <w:rPr>
                <w:rFonts w:hint="eastAsia" w:ascii="黑体" w:hAnsi="黑体" w:eastAsia="黑体" w:cs="黑体"/>
                <w:spacing w:val="4"/>
                <w:sz w:val="18"/>
                <w:szCs w:val="18"/>
              </w:rPr>
              <w:t>计</w:t>
            </w:r>
          </w:p>
        </w:tc>
        <w:tc>
          <w:tcPr>
            <w:tcW w:w="720" w:type="dxa"/>
            <w:shd w:val="clear" w:color="auto" w:fill="auto"/>
            <w:textDirection w:val="tbRlV"/>
            <w:vAlign w:val="center"/>
          </w:tcPr>
          <w:p w14:paraId="3630D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黑体" w:hAnsi="黑体" w:eastAsia="黑体" w:cs="黑体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495" w:type="dxa"/>
            <w:shd w:val="clear" w:color="auto" w:fill="auto"/>
            <w:textDirection w:val="tbRlV"/>
            <w:vAlign w:val="center"/>
          </w:tcPr>
          <w:p w14:paraId="43027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484" w:type="dxa"/>
            <w:vMerge w:val="continue"/>
            <w:shd w:val="clear" w:color="auto" w:fill="auto"/>
            <w:vAlign w:val="center"/>
          </w:tcPr>
          <w:p w14:paraId="132C96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 w14:paraId="31C320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05" w:type="dxa"/>
            <w:vMerge w:val="continue"/>
            <w:shd w:val="clear" w:color="auto" w:fill="auto"/>
            <w:vAlign w:val="center"/>
          </w:tcPr>
          <w:p w14:paraId="64440A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 w14:paraId="3AEF4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48" w:type="dxa"/>
            <w:vMerge w:val="restart"/>
            <w:vAlign w:val="center"/>
          </w:tcPr>
          <w:p w14:paraId="73AD38BF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3EF572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0A7AA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29F9A7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638C68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中富村建设农资商品店项目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14:paraId="5AF7C6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15.2403万元用于农资商品店库房建设；9.7597万元用于农资商品店流动资金。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22E74F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南振局联〔2022〕4号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14:paraId="7ABCF1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14:paraId="17FDF9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05" w:type="dxa"/>
            <w:vMerge w:val="restart"/>
            <w:shd w:val="clear" w:color="auto" w:fill="auto"/>
            <w:vAlign w:val="center"/>
          </w:tcPr>
          <w:p w14:paraId="41D52B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EE81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0AC4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中富村建设农资商品店项目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9CFE5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将农资商品店固定资产(价值15.2403万元)用于出租。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6BF7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15.2403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4539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15.2403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2342A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72EE1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村集体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预计可获得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分红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元。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74F67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2CDDB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6CC06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48" w:type="dxa"/>
            <w:vMerge w:val="continue"/>
            <w:vAlign w:val="center"/>
          </w:tcPr>
          <w:p w14:paraId="55F2CC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30" w:type="dxa"/>
            <w:vMerge w:val="continue"/>
            <w:shd w:val="clear" w:color="auto" w:fill="auto"/>
            <w:vAlign w:val="center"/>
          </w:tcPr>
          <w:p w14:paraId="780141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21A00C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563" w:type="dxa"/>
            <w:vMerge w:val="continue"/>
            <w:shd w:val="clear" w:color="auto" w:fill="auto"/>
            <w:vAlign w:val="center"/>
          </w:tcPr>
          <w:p w14:paraId="4F84BA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 w14:paraId="1DA28B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 w14:paraId="49B288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vMerge w:val="continue"/>
            <w:shd w:val="clear" w:color="auto" w:fill="auto"/>
            <w:vAlign w:val="center"/>
          </w:tcPr>
          <w:p w14:paraId="0AB210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 w14:paraId="0636B4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 w14:paraId="41B8E3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405" w:type="dxa"/>
            <w:vMerge w:val="continue"/>
            <w:shd w:val="clear" w:color="auto" w:fill="auto"/>
            <w:vAlign w:val="center"/>
          </w:tcPr>
          <w:p w14:paraId="1DB47C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C73F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1504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中富村入股至湖南省天天来米业有限公司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F88F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  <w:lang w:val="zh-CN" w:eastAsia="zh-CN"/>
              </w:rPr>
              <w:t>将流动资金(9.7597万元)入股至湖南省天天来米业有限公司。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A20E8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9.7597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0E5F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9.7597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E5E5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1E6B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村集体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预计可获得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分红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0.58万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元。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BE93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67F9F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78022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48" w:type="dxa"/>
            <w:vAlign w:val="center"/>
          </w:tcPr>
          <w:p w14:paraId="33E5A1EA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52234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7DDF7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五福村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4B539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B75AD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中鱼口镇五福村(湖藕种植产业扶贫项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目）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8379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将扶贫资金10万元投入南县中鱼口镇五福村蔬菜产销专业合作社，每年获得0.72万元的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收益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分红，入股时限至2026年3月4日，为期6年。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DC5FE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南扶办联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1〕1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号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51FC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7D4A3A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BF1D8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E20A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2503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五福村扶贫资金入股南县新安农业科技有限公司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B16DF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扶贫资金10万元以投资分红的方式，入股至南县新安农业科技有限公司。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6F0EC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F23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A71A5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3926B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村集体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预计可获得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分红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 w:eastAsia="zh-CN"/>
              </w:rPr>
              <w:t>元，优先吸纳本村脱贫户在基地就业。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AE2CC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中鱼口镇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F9281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中央</w:t>
            </w:r>
          </w:p>
        </w:tc>
      </w:tr>
      <w:tr w14:paraId="21843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8" w:type="dxa"/>
            <w:vAlign w:val="center"/>
          </w:tcPr>
          <w:p w14:paraId="0198A0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426098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茅草街镇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5034F4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庆丰村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5D6D67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95391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庆丰村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组永利渠路基建设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EEF705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380米路基建设。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76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南振局联〔2023〕2号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B5B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32F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996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0CBE3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乡村建设行动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F2B78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庆丰村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组永利渠路基建设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及硬化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E3F4602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公路建设长380米，宽2.5米，厚0.2米。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CA9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0A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547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F72BE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1.建设一条380米长的公路；2.方便村民出行。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D18E4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茅草街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08FFA6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省</w:t>
            </w:r>
          </w:p>
        </w:tc>
      </w:tr>
      <w:tr w14:paraId="64D95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8" w:type="dxa"/>
            <w:vAlign w:val="center"/>
          </w:tcPr>
          <w:p w14:paraId="074E3B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3CC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武圣宫镇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91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沿河堤村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C1A5DDC">
            <w:pPr>
              <w:keepNext w:val="0"/>
              <w:keepLines w:val="0"/>
              <w:pageBreakBefore w:val="0"/>
              <w:widowControl w:val="0"/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5C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沿河堤村粒中3组大棚改建项目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38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新建大棚132平方米。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DC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南农联〔2024〕8号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743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34A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F28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20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产业发展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F0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沿河堤村粒中3组大棚改建项目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C6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新建大棚132平方米。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F95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75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0DB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A6A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预计每年可为村集体分红0.2万元，带动4人就近务工，人均增收约1万元。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A31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武圣宫镇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3E3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省</w:t>
            </w:r>
          </w:p>
        </w:tc>
      </w:tr>
    </w:tbl>
    <w:p w14:paraId="55F56804"/>
    <w:sectPr>
      <w:footerReference r:id="rId5" w:type="default"/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9C15CF"/>
    <w:rsid w:val="009F2E6D"/>
    <w:rsid w:val="00C17F3A"/>
    <w:rsid w:val="00DA5C53"/>
    <w:rsid w:val="012C2953"/>
    <w:rsid w:val="014C4DA3"/>
    <w:rsid w:val="017E6F26"/>
    <w:rsid w:val="019D115B"/>
    <w:rsid w:val="01AF5332"/>
    <w:rsid w:val="01D152A8"/>
    <w:rsid w:val="01E0068B"/>
    <w:rsid w:val="01E0373D"/>
    <w:rsid w:val="02181129"/>
    <w:rsid w:val="027125E7"/>
    <w:rsid w:val="027C5214"/>
    <w:rsid w:val="02C1531D"/>
    <w:rsid w:val="02FC6355"/>
    <w:rsid w:val="030E7E36"/>
    <w:rsid w:val="032064E7"/>
    <w:rsid w:val="032C3458"/>
    <w:rsid w:val="038D51FF"/>
    <w:rsid w:val="039D18E6"/>
    <w:rsid w:val="03B92498"/>
    <w:rsid w:val="03CA1FAF"/>
    <w:rsid w:val="04117BDE"/>
    <w:rsid w:val="046B5540"/>
    <w:rsid w:val="04B26495"/>
    <w:rsid w:val="04BC3FEE"/>
    <w:rsid w:val="04C92D10"/>
    <w:rsid w:val="04D07A99"/>
    <w:rsid w:val="04DA0918"/>
    <w:rsid w:val="0532605E"/>
    <w:rsid w:val="053C6EDC"/>
    <w:rsid w:val="05483AD3"/>
    <w:rsid w:val="0589330E"/>
    <w:rsid w:val="058A5E9A"/>
    <w:rsid w:val="059B00A7"/>
    <w:rsid w:val="05CA273A"/>
    <w:rsid w:val="05EF21A1"/>
    <w:rsid w:val="05FB0B46"/>
    <w:rsid w:val="06287461"/>
    <w:rsid w:val="062E2CC9"/>
    <w:rsid w:val="063D4CBA"/>
    <w:rsid w:val="06540256"/>
    <w:rsid w:val="068F128E"/>
    <w:rsid w:val="069737FC"/>
    <w:rsid w:val="06BA1548"/>
    <w:rsid w:val="06D575E9"/>
    <w:rsid w:val="077010BF"/>
    <w:rsid w:val="07886409"/>
    <w:rsid w:val="079C3C62"/>
    <w:rsid w:val="07C66F31"/>
    <w:rsid w:val="080F2686"/>
    <w:rsid w:val="084C1DC3"/>
    <w:rsid w:val="08A52FEB"/>
    <w:rsid w:val="08E73603"/>
    <w:rsid w:val="08ED6E6B"/>
    <w:rsid w:val="08FA50E4"/>
    <w:rsid w:val="091F16FC"/>
    <w:rsid w:val="092403B3"/>
    <w:rsid w:val="092A7D45"/>
    <w:rsid w:val="096B5FE2"/>
    <w:rsid w:val="09774987"/>
    <w:rsid w:val="098A290C"/>
    <w:rsid w:val="09D27E0F"/>
    <w:rsid w:val="0A84735B"/>
    <w:rsid w:val="0AD57BB7"/>
    <w:rsid w:val="0AE55920"/>
    <w:rsid w:val="0B04224A"/>
    <w:rsid w:val="0B0E30C9"/>
    <w:rsid w:val="0B732177"/>
    <w:rsid w:val="0B745622"/>
    <w:rsid w:val="0B84338B"/>
    <w:rsid w:val="0B867103"/>
    <w:rsid w:val="0BB73761"/>
    <w:rsid w:val="0BE1433A"/>
    <w:rsid w:val="0C0048F0"/>
    <w:rsid w:val="0C085D6A"/>
    <w:rsid w:val="0C9C64B3"/>
    <w:rsid w:val="0CBE28CD"/>
    <w:rsid w:val="0CFA3905"/>
    <w:rsid w:val="0D093B48"/>
    <w:rsid w:val="0D627298"/>
    <w:rsid w:val="0D8A6689"/>
    <w:rsid w:val="0D9F625A"/>
    <w:rsid w:val="0DAB10A3"/>
    <w:rsid w:val="0DAB2E51"/>
    <w:rsid w:val="0DC108C7"/>
    <w:rsid w:val="0DE10621"/>
    <w:rsid w:val="0E741495"/>
    <w:rsid w:val="0E9A3896"/>
    <w:rsid w:val="0E9E4764"/>
    <w:rsid w:val="0EDD528C"/>
    <w:rsid w:val="0EEC3721"/>
    <w:rsid w:val="0EEE44DD"/>
    <w:rsid w:val="0EFD592E"/>
    <w:rsid w:val="0F072309"/>
    <w:rsid w:val="0F5372FC"/>
    <w:rsid w:val="0FB70A57"/>
    <w:rsid w:val="0FD541B5"/>
    <w:rsid w:val="10190546"/>
    <w:rsid w:val="103E1D5B"/>
    <w:rsid w:val="107E484D"/>
    <w:rsid w:val="10E072B6"/>
    <w:rsid w:val="10F66AD9"/>
    <w:rsid w:val="11162CD7"/>
    <w:rsid w:val="118714DF"/>
    <w:rsid w:val="11904838"/>
    <w:rsid w:val="11CB5870"/>
    <w:rsid w:val="11F1104F"/>
    <w:rsid w:val="12096398"/>
    <w:rsid w:val="121F62F2"/>
    <w:rsid w:val="129A2ECD"/>
    <w:rsid w:val="12D746E8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D568C"/>
    <w:rsid w:val="13D604FC"/>
    <w:rsid w:val="143F60A1"/>
    <w:rsid w:val="144D6A10"/>
    <w:rsid w:val="145661BF"/>
    <w:rsid w:val="147A357D"/>
    <w:rsid w:val="14D507B4"/>
    <w:rsid w:val="14E86F37"/>
    <w:rsid w:val="14FB46BE"/>
    <w:rsid w:val="15565D98"/>
    <w:rsid w:val="159D5775"/>
    <w:rsid w:val="15AB60E4"/>
    <w:rsid w:val="16067F95"/>
    <w:rsid w:val="1629525B"/>
    <w:rsid w:val="162B0FD3"/>
    <w:rsid w:val="165F0C7D"/>
    <w:rsid w:val="166565F0"/>
    <w:rsid w:val="166B13D0"/>
    <w:rsid w:val="16734728"/>
    <w:rsid w:val="16BF1FDC"/>
    <w:rsid w:val="16C64858"/>
    <w:rsid w:val="16DE0CAA"/>
    <w:rsid w:val="1720040C"/>
    <w:rsid w:val="1768590F"/>
    <w:rsid w:val="17822E75"/>
    <w:rsid w:val="17B31280"/>
    <w:rsid w:val="17B71741"/>
    <w:rsid w:val="17BE19D3"/>
    <w:rsid w:val="182A7068"/>
    <w:rsid w:val="186662F2"/>
    <w:rsid w:val="1867206B"/>
    <w:rsid w:val="188E75F7"/>
    <w:rsid w:val="18CF427A"/>
    <w:rsid w:val="18ED3D06"/>
    <w:rsid w:val="19650358"/>
    <w:rsid w:val="199B6353"/>
    <w:rsid w:val="19C57049"/>
    <w:rsid w:val="19CD414F"/>
    <w:rsid w:val="19D41982"/>
    <w:rsid w:val="19EA6AAF"/>
    <w:rsid w:val="19F505B3"/>
    <w:rsid w:val="1A09162B"/>
    <w:rsid w:val="1A381F10"/>
    <w:rsid w:val="1A534654"/>
    <w:rsid w:val="1A6E76E0"/>
    <w:rsid w:val="1A840CB2"/>
    <w:rsid w:val="1AAD7F03"/>
    <w:rsid w:val="1AD412F8"/>
    <w:rsid w:val="1AE96D67"/>
    <w:rsid w:val="1AF000F5"/>
    <w:rsid w:val="1B0911B7"/>
    <w:rsid w:val="1B0E2C71"/>
    <w:rsid w:val="1B375D24"/>
    <w:rsid w:val="1B5811BD"/>
    <w:rsid w:val="1B7E1BA5"/>
    <w:rsid w:val="1B8F790E"/>
    <w:rsid w:val="1BA23AE5"/>
    <w:rsid w:val="1BB9498B"/>
    <w:rsid w:val="1C511068"/>
    <w:rsid w:val="1C8113EA"/>
    <w:rsid w:val="1C940F54"/>
    <w:rsid w:val="1CD13F56"/>
    <w:rsid w:val="1CD83537"/>
    <w:rsid w:val="1CDC3027"/>
    <w:rsid w:val="1CEE4B08"/>
    <w:rsid w:val="1CF739BD"/>
    <w:rsid w:val="1D4E55A7"/>
    <w:rsid w:val="1D85546D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C26B53"/>
    <w:rsid w:val="20005323"/>
    <w:rsid w:val="20232D1B"/>
    <w:rsid w:val="20531852"/>
    <w:rsid w:val="2079293B"/>
    <w:rsid w:val="20B6593D"/>
    <w:rsid w:val="20EF0E4F"/>
    <w:rsid w:val="210466A8"/>
    <w:rsid w:val="215533A8"/>
    <w:rsid w:val="21696064"/>
    <w:rsid w:val="217D645B"/>
    <w:rsid w:val="21B300CF"/>
    <w:rsid w:val="21D50045"/>
    <w:rsid w:val="21E5472C"/>
    <w:rsid w:val="221B014E"/>
    <w:rsid w:val="22500074"/>
    <w:rsid w:val="22576CAC"/>
    <w:rsid w:val="22737F8A"/>
    <w:rsid w:val="22803C51"/>
    <w:rsid w:val="23250B58"/>
    <w:rsid w:val="2329689A"/>
    <w:rsid w:val="23971A56"/>
    <w:rsid w:val="23AA440E"/>
    <w:rsid w:val="24286B52"/>
    <w:rsid w:val="24311EAA"/>
    <w:rsid w:val="2492221D"/>
    <w:rsid w:val="24C51C44"/>
    <w:rsid w:val="24F07364"/>
    <w:rsid w:val="25184E18"/>
    <w:rsid w:val="252E1F46"/>
    <w:rsid w:val="253357AE"/>
    <w:rsid w:val="25585215"/>
    <w:rsid w:val="25B14925"/>
    <w:rsid w:val="25BC235B"/>
    <w:rsid w:val="25C805EC"/>
    <w:rsid w:val="262B0B7B"/>
    <w:rsid w:val="264A7253"/>
    <w:rsid w:val="267C4F33"/>
    <w:rsid w:val="26BE19EF"/>
    <w:rsid w:val="26C54B2C"/>
    <w:rsid w:val="270357EC"/>
    <w:rsid w:val="27650E21"/>
    <w:rsid w:val="27CE7A10"/>
    <w:rsid w:val="27FD02F5"/>
    <w:rsid w:val="280106FA"/>
    <w:rsid w:val="28096C9A"/>
    <w:rsid w:val="28551EE0"/>
    <w:rsid w:val="28754330"/>
    <w:rsid w:val="28AF15F0"/>
    <w:rsid w:val="28D56B7C"/>
    <w:rsid w:val="28DE3C83"/>
    <w:rsid w:val="28F6721F"/>
    <w:rsid w:val="293B2E83"/>
    <w:rsid w:val="295809C9"/>
    <w:rsid w:val="297168A5"/>
    <w:rsid w:val="298A5BB9"/>
    <w:rsid w:val="29F85218"/>
    <w:rsid w:val="2A3F4111"/>
    <w:rsid w:val="2A4B5348"/>
    <w:rsid w:val="2A9C3DF6"/>
    <w:rsid w:val="2AFB6D6E"/>
    <w:rsid w:val="2B065713"/>
    <w:rsid w:val="2B430715"/>
    <w:rsid w:val="2B7B1C5D"/>
    <w:rsid w:val="2C2372FA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D166C6F"/>
    <w:rsid w:val="2D26209C"/>
    <w:rsid w:val="2D297497"/>
    <w:rsid w:val="2D320A41"/>
    <w:rsid w:val="2DAD1E76"/>
    <w:rsid w:val="2DF33D2D"/>
    <w:rsid w:val="2E09248B"/>
    <w:rsid w:val="2E3A5DFF"/>
    <w:rsid w:val="2E9F5C62"/>
    <w:rsid w:val="2EC13E2B"/>
    <w:rsid w:val="2EC8340B"/>
    <w:rsid w:val="2ED973C6"/>
    <w:rsid w:val="2F794705"/>
    <w:rsid w:val="2FD63906"/>
    <w:rsid w:val="304E0167"/>
    <w:rsid w:val="30A05CC2"/>
    <w:rsid w:val="30AC28B9"/>
    <w:rsid w:val="30B4367E"/>
    <w:rsid w:val="30D342E9"/>
    <w:rsid w:val="313A6116"/>
    <w:rsid w:val="31523460"/>
    <w:rsid w:val="31701B38"/>
    <w:rsid w:val="31BB2DB3"/>
    <w:rsid w:val="3264169D"/>
    <w:rsid w:val="32B12408"/>
    <w:rsid w:val="33200A88"/>
    <w:rsid w:val="33BC72B7"/>
    <w:rsid w:val="33D95773"/>
    <w:rsid w:val="34012F1B"/>
    <w:rsid w:val="34043343"/>
    <w:rsid w:val="34272982"/>
    <w:rsid w:val="34572B3B"/>
    <w:rsid w:val="34D67F04"/>
    <w:rsid w:val="35062223"/>
    <w:rsid w:val="35137DD9"/>
    <w:rsid w:val="355377A7"/>
    <w:rsid w:val="3558300F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BA5D2F"/>
    <w:rsid w:val="36DE12F2"/>
    <w:rsid w:val="36E23B89"/>
    <w:rsid w:val="371116C7"/>
    <w:rsid w:val="372907BF"/>
    <w:rsid w:val="37895702"/>
    <w:rsid w:val="37EE1A23"/>
    <w:rsid w:val="381B572B"/>
    <w:rsid w:val="388303A3"/>
    <w:rsid w:val="38C70290"/>
    <w:rsid w:val="38CC58A6"/>
    <w:rsid w:val="38D86941"/>
    <w:rsid w:val="390F2BB0"/>
    <w:rsid w:val="394E09B1"/>
    <w:rsid w:val="395064D7"/>
    <w:rsid w:val="39730417"/>
    <w:rsid w:val="398919E9"/>
    <w:rsid w:val="39A1549D"/>
    <w:rsid w:val="39AB195F"/>
    <w:rsid w:val="39B747A8"/>
    <w:rsid w:val="3A06303A"/>
    <w:rsid w:val="3A1302EC"/>
    <w:rsid w:val="3A281202"/>
    <w:rsid w:val="3A3B7187"/>
    <w:rsid w:val="3A920D71"/>
    <w:rsid w:val="3AA34D2C"/>
    <w:rsid w:val="3B253993"/>
    <w:rsid w:val="3B2C4D22"/>
    <w:rsid w:val="3B5335CD"/>
    <w:rsid w:val="3B691AD2"/>
    <w:rsid w:val="3B7F39DD"/>
    <w:rsid w:val="3BA37EBC"/>
    <w:rsid w:val="3BE253E0"/>
    <w:rsid w:val="3BF9600C"/>
    <w:rsid w:val="3C20237F"/>
    <w:rsid w:val="3C333E8E"/>
    <w:rsid w:val="3C7E77FF"/>
    <w:rsid w:val="3CDD2778"/>
    <w:rsid w:val="3CE84C78"/>
    <w:rsid w:val="3CF96E86"/>
    <w:rsid w:val="3D2959BD"/>
    <w:rsid w:val="3D584918"/>
    <w:rsid w:val="3D65276D"/>
    <w:rsid w:val="3D962926"/>
    <w:rsid w:val="3DDD0555"/>
    <w:rsid w:val="3E1321C9"/>
    <w:rsid w:val="3E2B12C1"/>
    <w:rsid w:val="3E410AE4"/>
    <w:rsid w:val="3E642A25"/>
    <w:rsid w:val="3E66054B"/>
    <w:rsid w:val="3F042BB6"/>
    <w:rsid w:val="3F12422F"/>
    <w:rsid w:val="3F566811"/>
    <w:rsid w:val="3F84512C"/>
    <w:rsid w:val="3FFD6C8D"/>
    <w:rsid w:val="40155D85"/>
    <w:rsid w:val="401A6C95"/>
    <w:rsid w:val="404E74E8"/>
    <w:rsid w:val="407772C4"/>
    <w:rsid w:val="409749EB"/>
    <w:rsid w:val="40AB493B"/>
    <w:rsid w:val="40B90E06"/>
    <w:rsid w:val="40E65973"/>
    <w:rsid w:val="41284413"/>
    <w:rsid w:val="4153125A"/>
    <w:rsid w:val="41597EF3"/>
    <w:rsid w:val="415A6016"/>
    <w:rsid w:val="415B3C6B"/>
    <w:rsid w:val="41744D2D"/>
    <w:rsid w:val="41A63871"/>
    <w:rsid w:val="41D61543"/>
    <w:rsid w:val="41DA7286"/>
    <w:rsid w:val="421A58D4"/>
    <w:rsid w:val="421F2EEA"/>
    <w:rsid w:val="42534074"/>
    <w:rsid w:val="42666D6B"/>
    <w:rsid w:val="42864D18"/>
    <w:rsid w:val="42A33B1C"/>
    <w:rsid w:val="42F20F80"/>
    <w:rsid w:val="42FE2706"/>
    <w:rsid w:val="43100A85"/>
    <w:rsid w:val="433C187A"/>
    <w:rsid w:val="43421586"/>
    <w:rsid w:val="43607270"/>
    <w:rsid w:val="43671E93"/>
    <w:rsid w:val="438A0837"/>
    <w:rsid w:val="43B35A16"/>
    <w:rsid w:val="43EF0FE2"/>
    <w:rsid w:val="43F16B09"/>
    <w:rsid w:val="44384737"/>
    <w:rsid w:val="443D58AA"/>
    <w:rsid w:val="4456696C"/>
    <w:rsid w:val="449C4CC6"/>
    <w:rsid w:val="44CD30D2"/>
    <w:rsid w:val="44D06CEB"/>
    <w:rsid w:val="452B1BA6"/>
    <w:rsid w:val="456D21BF"/>
    <w:rsid w:val="45A57BAB"/>
    <w:rsid w:val="46717A8D"/>
    <w:rsid w:val="46A00372"/>
    <w:rsid w:val="46B61944"/>
    <w:rsid w:val="46F25071"/>
    <w:rsid w:val="46FC37FA"/>
    <w:rsid w:val="47111ABA"/>
    <w:rsid w:val="47462CC7"/>
    <w:rsid w:val="47571378"/>
    <w:rsid w:val="4791488A"/>
    <w:rsid w:val="47A45C40"/>
    <w:rsid w:val="47E0311C"/>
    <w:rsid w:val="48027536"/>
    <w:rsid w:val="480F3A01"/>
    <w:rsid w:val="48585050"/>
    <w:rsid w:val="48987658"/>
    <w:rsid w:val="489F6B33"/>
    <w:rsid w:val="48EB71B1"/>
    <w:rsid w:val="490966A2"/>
    <w:rsid w:val="49521DF7"/>
    <w:rsid w:val="495A6EFE"/>
    <w:rsid w:val="49612052"/>
    <w:rsid w:val="497D499A"/>
    <w:rsid w:val="49CB1BAA"/>
    <w:rsid w:val="49CD147E"/>
    <w:rsid w:val="49D43C50"/>
    <w:rsid w:val="4A0F5F3A"/>
    <w:rsid w:val="4A1C2405"/>
    <w:rsid w:val="4A9D71DB"/>
    <w:rsid w:val="4ACF7478"/>
    <w:rsid w:val="4AD60806"/>
    <w:rsid w:val="4B2257F9"/>
    <w:rsid w:val="4B50680B"/>
    <w:rsid w:val="4BA17066"/>
    <w:rsid w:val="4BC845F3"/>
    <w:rsid w:val="4BEA27BB"/>
    <w:rsid w:val="4C04067D"/>
    <w:rsid w:val="4C107D48"/>
    <w:rsid w:val="4C87625C"/>
    <w:rsid w:val="4C9B5863"/>
    <w:rsid w:val="4CBE77A4"/>
    <w:rsid w:val="4CCC1EC1"/>
    <w:rsid w:val="4CDC7FEE"/>
    <w:rsid w:val="4D1E03D2"/>
    <w:rsid w:val="4D5048A0"/>
    <w:rsid w:val="4D6C0FAE"/>
    <w:rsid w:val="4DA16EA9"/>
    <w:rsid w:val="4EA330F5"/>
    <w:rsid w:val="4F5368C9"/>
    <w:rsid w:val="4F806F93"/>
    <w:rsid w:val="4F8D26AA"/>
    <w:rsid w:val="4FA40ED3"/>
    <w:rsid w:val="4FE63299"/>
    <w:rsid w:val="4FEC63D6"/>
    <w:rsid w:val="4FED287A"/>
    <w:rsid w:val="4FEE03A0"/>
    <w:rsid w:val="507C775A"/>
    <w:rsid w:val="508A631B"/>
    <w:rsid w:val="50D36D2A"/>
    <w:rsid w:val="510F05CE"/>
    <w:rsid w:val="511E6A63"/>
    <w:rsid w:val="51A52CE0"/>
    <w:rsid w:val="51DD247A"/>
    <w:rsid w:val="51ED4DB3"/>
    <w:rsid w:val="51F83758"/>
    <w:rsid w:val="5217598C"/>
    <w:rsid w:val="523C53F3"/>
    <w:rsid w:val="523E560F"/>
    <w:rsid w:val="52412A09"/>
    <w:rsid w:val="526037D7"/>
    <w:rsid w:val="52B0193D"/>
    <w:rsid w:val="52D94033"/>
    <w:rsid w:val="530F48B5"/>
    <w:rsid w:val="531E2D4A"/>
    <w:rsid w:val="532F27EE"/>
    <w:rsid w:val="533D3D57"/>
    <w:rsid w:val="53407165"/>
    <w:rsid w:val="53842532"/>
    <w:rsid w:val="538C5F06"/>
    <w:rsid w:val="53A476F3"/>
    <w:rsid w:val="53BA0CC5"/>
    <w:rsid w:val="53C71634"/>
    <w:rsid w:val="53C75190"/>
    <w:rsid w:val="54210D44"/>
    <w:rsid w:val="543D36A4"/>
    <w:rsid w:val="5486504B"/>
    <w:rsid w:val="54931516"/>
    <w:rsid w:val="54F03A47"/>
    <w:rsid w:val="55690BF5"/>
    <w:rsid w:val="55A27F48"/>
    <w:rsid w:val="55E22755"/>
    <w:rsid w:val="56290384"/>
    <w:rsid w:val="564B20A8"/>
    <w:rsid w:val="5668147B"/>
    <w:rsid w:val="56AF0889"/>
    <w:rsid w:val="56B0015D"/>
    <w:rsid w:val="56C41E5B"/>
    <w:rsid w:val="56D06A51"/>
    <w:rsid w:val="56DE2F1C"/>
    <w:rsid w:val="56F164C6"/>
    <w:rsid w:val="5714060E"/>
    <w:rsid w:val="5717642E"/>
    <w:rsid w:val="57342B3C"/>
    <w:rsid w:val="577B5E56"/>
    <w:rsid w:val="57823DA2"/>
    <w:rsid w:val="57931F59"/>
    <w:rsid w:val="57D25471"/>
    <w:rsid w:val="57D60097"/>
    <w:rsid w:val="57E5652D"/>
    <w:rsid w:val="580B5F93"/>
    <w:rsid w:val="583B614D"/>
    <w:rsid w:val="585316E8"/>
    <w:rsid w:val="58DF4D2A"/>
    <w:rsid w:val="58E32A6C"/>
    <w:rsid w:val="59011144"/>
    <w:rsid w:val="5991071A"/>
    <w:rsid w:val="59AA17DC"/>
    <w:rsid w:val="59C52172"/>
    <w:rsid w:val="59D9502B"/>
    <w:rsid w:val="59E85E60"/>
    <w:rsid w:val="5A3115B5"/>
    <w:rsid w:val="5A533C21"/>
    <w:rsid w:val="5A5F4374"/>
    <w:rsid w:val="5A7140A7"/>
    <w:rsid w:val="5AE84805"/>
    <w:rsid w:val="5AED7BD2"/>
    <w:rsid w:val="5B020FA8"/>
    <w:rsid w:val="5B321A89"/>
    <w:rsid w:val="5B430433"/>
    <w:rsid w:val="5B5D1941"/>
    <w:rsid w:val="5B661732"/>
    <w:rsid w:val="5B6D0D13"/>
    <w:rsid w:val="5B721E85"/>
    <w:rsid w:val="5BA83AF8"/>
    <w:rsid w:val="5BCF72D8"/>
    <w:rsid w:val="5BD448EE"/>
    <w:rsid w:val="5BE10DB9"/>
    <w:rsid w:val="5BF65F2C"/>
    <w:rsid w:val="5C321615"/>
    <w:rsid w:val="5C3929A3"/>
    <w:rsid w:val="5C4A4BB0"/>
    <w:rsid w:val="5CCE57E1"/>
    <w:rsid w:val="5CD821BC"/>
    <w:rsid w:val="5CEE19DF"/>
    <w:rsid w:val="5CF80AB0"/>
    <w:rsid w:val="5D5A0E23"/>
    <w:rsid w:val="5D7A5897"/>
    <w:rsid w:val="5DD010E5"/>
    <w:rsid w:val="5E185C2B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E315A4"/>
    <w:rsid w:val="5FFB4B3F"/>
    <w:rsid w:val="6009756B"/>
    <w:rsid w:val="601E25DC"/>
    <w:rsid w:val="60402552"/>
    <w:rsid w:val="60FF79D0"/>
    <w:rsid w:val="61047A23"/>
    <w:rsid w:val="61151C31"/>
    <w:rsid w:val="611F485D"/>
    <w:rsid w:val="61502C69"/>
    <w:rsid w:val="61842912"/>
    <w:rsid w:val="61B431F8"/>
    <w:rsid w:val="61C176C2"/>
    <w:rsid w:val="61C96577"/>
    <w:rsid w:val="61E37639"/>
    <w:rsid w:val="625D388F"/>
    <w:rsid w:val="626B762E"/>
    <w:rsid w:val="629D0130"/>
    <w:rsid w:val="629D1EDE"/>
    <w:rsid w:val="62C31218"/>
    <w:rsid w:val="62CA6A4B"/>
    <w:rsid w:val="630E06E5"/>
    <w:rsid w:val="632322C8"/>
    <w:rsid w:val="6347009B"/>
    <w:rsid w:val="63A70B3A"/>
    <w:rsid w:val="63DB41EE"/>
    <w:rsid w:val="63FE4C1B"/>
    <w:rsid w:val="641937E6"/>
    <w:rsid w:val="64395C36"/>
    <w:rsid w:val="64502F80"/>
    <w:rsid w:val="646C600B"/>
    <w:rsid w:val="64A31301"/>
    <w:rsid w:val="64CA6FED"/>
    <w:rsid w:val="64D23995"/>
    <w:rsid w:val="64D70FAB"/>
    <w:rsid w:val="650D4961"/>
    <w:rsid w:val="651B358E"/>
    <w:rsid w:val="65402FF4"/>
    <w:rsid w:val="65436640"/>
    <w:rsid w:val="655D7702"/>
    <w:rsid w:val="65735178"/>
    <w:rsid w:val="659B022A"/>
    <w:rsid w:val="65A27D7F"/>
    <w:rsid w:val="65DF280D"/>
    <w:rsid w:val="65F53DDF"/>
    <w:rsid w:val="66044022"/>
    <w:rsid w:val="662D17CA"/>
    <w:rsid w:val="66E300DB"/>
    <w:rsid w:val="670C13E0"/>
    <w:rsid w:val="67144738"/>
    <w:rsid w:val="672C3830"/>
    <w:rsid w:val="6732696D"/>
    <w:rsid w:val="675A65EF"/>
    <w:rsid w:val="67830582"/>
    <w:rsid w:val="67AC4971"/>
    <w:rsid w:val="67B53825"/>
    <w:rsid w:val="67D0240D"/>
    <w:rsid w:val="67D53EC8"/>
    <w:rsid w:val="67EE4F89"/>
    <w:rsid w:val="67F65BEC"/>
    <w:rsid w:val="682255C3"/>
    <w:rsid w:val="6828049B"/>
    <w:rsid w:val="684133A2"/>
    <w:rsid w:val="684A6664"/>
    <w:rsid w:val="692D1AE1"/>
    <w:rsid w:val="693E5A9D"/>
    <w:rsid w:val="69561038"/>
    <w:rsid w:val="69B83AA1"/>
    <w:rsid w:val="69C42446"/>
    <w:rsid w:val="6A0562AD"/>
    <w:rsid w:val="6A274783"/>
    <w:rsid w:val="6A8674D8"/>
    <w:rsid w:val="6A8B6AC0"/>
    <w:rsid w:val="6A8D0A8A"/>
    <w:rsid w:val="6AA67D9D"/>
    <w:rsid w:val="6B2A0087"/>
    <w:rsid w:val="6B560E7C"/>
    <w:rsid w:val="6B9F6CC6"/>
    <w:rsid w:val="6BBA58AE"/>
    <w:rsid w:val="6BC02799"/>
    <w:rsid w:val="6C7041BF"/>
    <w:rsid w:val="6C711CE5"/>
    <w:rsid w:val="6C867461"/>
    <w:rsid w:val="6CCE0C1E"/>
    <w:rsid w:val="6CEC6744"/>
    <w:rsid w:val="6CF070AE"/>
    <w:rsid w:val="6D082649"/>
    <w:rsid w:val="6D090170"/>
    <w:rsid w:val="6D262AD0"/>
    <w:rsid w:val="6D5835D1"/>
    <w:rsid w:val="6DA2484C"/>
    <w:rsid w:val="6DC20A4A"/>
    <w:rsid w:val="6DC42A14"/>
    <w:rsid w:val="6DDE15FC"/>
    <w:rsid w:val="6DE03318"/>
    <w:rsid w:val="6E1119D2"/>
    <w:rsid w:val="6E18426B"/>
    <w:rsid w:val="6E245261"/>
    <w:rsid w:val="6E2B2A93"/>
    <w:rsid w:val="6E69536A"/>
    <w:rsid w:val="6E843F52"/>
    <w:rsid w:val="6ED96ACA"/>
    <w:rsid w:val="6EFE1F56"/>
    <w:rsid w:val="6F2F26A4"/>
    <w:rsid w:val="6F487986"/>
    <w:rsid w:val="6F735F4E"/>
    <w:rsid w:val="6FA50623"/>
    <w:rsid w:val="6FB940CF"/>
    <w:rsid w:val="6FFD045F"/>
    <w:rsid w:val="706933FF"/>
    <w:rsid w:val="70DE203F"/>
    <w:rsid w:val="71006CE5"/>
    <w:rsid w:val="712B4B58"/>
    <w:rsid w:val="7141612A"/>
    <w:rsid w:val="71780344"/>
    <w:rsid w:val="717D1814"/>
    <w:rsid w:val="71F17B50"/>
    <w:rsid w:val="7231619E"/>
    <w:rsid w:val="7238752D"/>
    <w:rsid w:val="728B1D53"/>
    <w:rsid w:val="729606F7"/>
    <w:rsid w:val="72A252EE"/>
    <w:rsid w:val="72A46970"/>
    <w:rsid w:val="72A526E9"/>
    <w:rsid w:val="72C40DC1"/>
    <w:rsid w:val="734737A0"/>
    <w:rsid w:val="73A11670"/>
    <w:rsid w:val="73B47087"/>
    <w:rsid w:val="73BC418E"/>
    <w:rsid w:val="73FB095C"/>
    <w:rsid w:val="74100996"/>
    <w:rsid w:val="741B5358"/>
    <w:rsid w:val="745F14FE"/>
    <w:rsid w:val="7467234B"/>
    <w:rsid w:val="74F57957"/>
    <w:rsid w:val="74FD4A5E"/>
    <w:rsid w:val="75023E22"/>
    <w:rsid w:val="754B3A1B"/>
    <w:rsid w:val="758331B5"/>
    <w:rsid w:val="75851341"/>
    <w:rsid w:val="75AB1C1F"/>
    <w:rsid w:val="75B07D22"/>
    <w:rsid w:val="75C537CD"/>
    <w:rsid w:val="75F15B8B"/>
    <w:rsid w:val="75F25C45"/>
    <w:rsid w:val="764D40EC"/>
    <w:rsid w:val="76740D50"/>
    <w:rsid w:val="76895825"/>
    <w:rsid w:val="76910CDB"/>
    <w:rsid w:val="76D47231"/>
    <w:rsid w:val="770976EA"/>
    <w:rsid w:val="772269FE"/>
    <w:rsid w:val="77296DC0"/>
    <w:rsid w:val="77514BED"/>
    <w:rsid w:val="77843214"/>
    <w:rsid w:val="77A86F03"/>
    <w:rsid w:val="78092607"/>
    <w:rsid w:val="786C6182"/>
    <w:rsid w:val="787E7C64"/>
    <w:rsid w:val="78C53AE4"/>
    <w:rsid w:val="790F6B0E"/>
    <w:rsid w:val="796C5D0E"/>
    <w:rsid w:val="79847F99"/>
    <w:rsid w:val="79876FEC"/>
    <w:rsid w:val="79B0209F"/>
    <w:rsid w:val="79B37DE1"/>
    <w:rsid w:val="79BA2F1D"/>
    <w:rsid w:val="79F3642F"/>
    <w:rsid w:val="7A212F9C"/>
    <w:rsid w:val="7A334C79"/>
    <w:rsid w:val="7A8D23E0"/>
    <w:rsid w:val="7A911ED0"/>
    <w:rsid w:val="7ADE49EA"/>
    <w:rsid w:val="7AE12139"/>
    <w:rsid w:val="7AEF4E49"/>
    <w:rsid w:val="7B2925D1"/>
    <w:rsid w:val="7B4056A4"/>
    <w:rsid w:val="7B690757"/>
    <w:rsid w:val="7B7315D6"/>
    <w:rsid w:val="7BAB6FC2"/>
    <w:rsid w:val="7BB35E76"/>
    <w:rsid w:val="7C1E59E5"/>
    <w:rsid w:val="7C235160"/>
    <w:rsid w:val="7C55517F"/>
    <w:rsid w:val="7C7F37F3"/>
    <w:rsid w:val="7CE24569"/>
    <w:rsid w:val="7CEC1640"/>
    <w:rsid w:val="7D0A7D18"/>
    <w:rsid w:val="7D3905FD"/>
    <w:rsid w:val="7D3D00ED"/>
    <w:rsid w:val="7D603DDC"/>
    <w:rsid w:val="7D7E4262"/>
    <w:rsid w:val="7D881663"/>
    <w:rsid w:val="7DC66486"/>
    <w:rsid w:val="7DEB30E6"/>
    <w:rsid w:val="7E216C70"/>
    <w:rsid w:val="7E2E7A36"/>
    <w:rsid w:val="7E3314F0"/>
    <w:rsid w:val="7E5C27F5"/>
    <w:rsid w:val="7E633B84"/>
    <w:rsid w:val="7E6A3164"/>
    <w:rsid w:val="7E745D91"/>
    <w:rsid w:val="7EE747B5"/>
    <w:rsid w:val="7EF96296"/>
    <w:rsid w:val="7F10538E"/>
    <w:rsid w:val="7F17496E"/>
    <w:rsid w:val="7F196938"/>
    <w:rsid w:val="7FC5111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1365</Characters>
  <Lines>0</Lines>
  <Paragraphs>0</Paragraphs>
  <TotalTime>2</TotalTime>
  <ScaleCrop>false</ScaleCrop>
  <LinksUpToDate>false</LinksUpToDate>
  <CharactersWithSpaces>1415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dcterms:modified xsi:type="dcterms:W3CDTF">2025-12-18T07:01:39Z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