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6F7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63"/>
        <w:gridCol w:w="467"/>
        <w:gridCol w:w="1693"/>
        <w:gridCol w:w="1132"/>
        <w:gridCol w:w="1288"/>
        <w:gridCol w:w="2201"/>
      </w:tblGrid>
      <w:tr w14:paraId="7EC3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043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南县粮油规模种植主体提升项目资金绩效自评表</w:t>
            </w:r>
          </w:p>
        </w:tc>
      </w:tr>
      <w:tr w14:paraId="5B2E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6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90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2025年粮油规模种植主体提升项目资金</w:t>
            </w:r>
          </w:p>
        </w:tc>
      </w:tr>
      <w:tr w14:paraId="7C1D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4B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湖南省农业农村厅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14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南县农业农村局</w:t>
            </w:r>
          </w:p>
        </w:tc>
      </w:tr>
      <w:tr w14:paraId="23DC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19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全年执行数(B)</w:t>
            </w:r>
          </w:p>
        </w:tc>
        <w:tc>
          <w:tcPr>
            <w:tcW w:w="2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预算执行率(B/A*100%)</w:t>
            </w:r>
          </w:p>
        </w:tc>
      </w:tr>
      <w:tr w14:paraId="6760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B5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D1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88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A4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5C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7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CE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56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A2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B1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683A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0A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其中：中央财政拨款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5B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81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0F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5976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06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7D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B1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4E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D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23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FC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2F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14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B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1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45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存在问题和改进措施</w:t>
            </w:r>
          </w:p>
        </w:tc>
      </w:tr>
      <w:tr w14:paraId="104A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33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41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6E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9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AB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90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8F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8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58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C5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D4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B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6A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E9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5A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4C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A3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E1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4C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C1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0D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83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ED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1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2E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85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ED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E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全年实际完成情况　</w:t>
            </w:r>
          </w:p>
        </w:tc>
      </w:tr>
      <w:tr w14:paraId="3133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84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08DD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持双季稻种植100亩以上、稻油轮作200亩以上的规模主体集成应用先进技术，挖掘生产各环节增产潜力，推动秸秆综合利用高质量发展，示范推广“优质超级稻+小龙虾”等绿色高产高效综合种养模式，促进粮油单产水平持续提升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4CA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项目区粮油单产水平高于2024年南县平均单产5%以上；秸秆还田质量达标，土壤肥力得到改善；综合种养模式试验取得阶段性成果，农产品质量安全达标率100%。</w:t>
            </w:r>
          </w:p>
        </w:tc>
      </w:tr>
      <w:tr w14:paraId="32A0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1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2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EC8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A164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AA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9F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57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14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85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9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B269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4B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E6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7A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C9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B1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6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F2AE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47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A8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2B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AB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F4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4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4D0F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33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CC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规模主体支持数量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AF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156家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88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实际支持156家，完成率100%</w:t>
            </w:r>
          </w:p>
        </w:tc>
      </w:tr>
      <w:tr w14:paraId="263F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2EE3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30416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87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17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秸秆还田覆盖面积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DF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8.5万亩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04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8.5万亩，完成率100%</w:t>
            </w:r>
          </w:p>
        </w:tc>
      </w:tr>
      <w:tr w14:paraId="0212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86E1D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107CC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F8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CF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综合种养辐射面积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54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2万亩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8E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2.3万亩，完成率115%</w:t>
            </w:r>
          </w:p>
        </w:tc>
      </w:tr>
      <w:tr w14:paraId="121D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D347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9ECD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3D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0E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技术培训场次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DF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12场次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27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开展12场次，培训800余人次，完成率100%</w:t>
            </w:r>
          </w:p>
        </w:tc>
      </w:tr>
      <w:tr w14:paraId="0B4E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14E2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3166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DB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86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关键技术落实主体占比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62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奖补主体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落实2种以上“六增两控”技术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96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7F05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ABB7F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6385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F7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粮油单产提升幅度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89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83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早稻、晚稻、中稻、油菜单产分别提升7%、7.5%、6.1%、8%</w:t>
            </w:r>
          </w:p>
        </w:tc>
      </w:tr>
      <w:tr w14:paraId="7FF9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33471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058A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A4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F4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秸秆还田质量达标率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C8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92%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62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0567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1C64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F7DC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5F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56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农产品质量达标率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A4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农产品质量安全检测合格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62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达标率100%</w:t>
            </w:r>
          </w:p>
        </w:tc>
      </w:tr>
      <w:tr w14:paraId="37A7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2F1FD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584C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DF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90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模式试验成功率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0D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试验模式取得阶段性成果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E6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成功率100%</w:t>
            </w:r>
          </w:p>
        </w:tc>
      </w:tr>
      <w:tr w14:paraId="7021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046B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DC73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7E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主体奖补兑付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4A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12月20日前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96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6110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7843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D7D7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53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02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秸秆还田奖补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29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按还田进度及时兑付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4A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4621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0741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7969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A7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D1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项目整体完成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E4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12月底前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6A4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0D8A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49CB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0105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FE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双季稻奖补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2F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不超过150元上限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F6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平均每亩135元</w:t>
            </w:r>
          </w:p>
        </w:tc>
      </w:tr>
      <w:tr w14:paraId="7C4A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82F7B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32F2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4B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EA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稻油轮作奖补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90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不超过80元上限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56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平均每亩72元</w:t>
            </w:r>
          </w:p>
        </w:tc>
      </w:tr>
      <w:tr w14:paraId="259E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0F70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5CDC0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B3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F0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单个主体最高奖补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D6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5万元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CD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无超标准情况，成本控制精准</w:t>
            </w:r>
          </w:p>
        </w:tc>
      </w:tr>
      <w:tr w14:paraId="2AF6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B0174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8E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47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规模主体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效益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2A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增收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90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超260元，完成率130%</w:t>
            </w:r>
          </w:p>
        </w:tc>
      </w:tr>
      <w:tr w14:paraId="1EF0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E6A49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0648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51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33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小农户效益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13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增收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EE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120元，完成率100%</w:t>
            </w:r>
          </w:p>
        </w:tc>
      </w:tr>
      <w:tr w14:paraId="6310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1BC6F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156E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E2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CA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生产成本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F8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降低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51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平均降低180元/亩，完成率100%</w:t>
            </w:r>
          </w:p>
        </w:tc>
      </w:tr>
      <w:tr w14:paraId="0C07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90B1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4308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0F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58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产业效益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A3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3D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粮油总产量较上年增加1.2万吨，产业整体效益增长8%</w:t>
            </w:r>
          </w:p>
        </w:tc>
      </w:tr>
      <w:tr w14:paraId="4D0E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109B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2813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F3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技术推广覆盖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08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“六增两控”“秸秆还田”技术辐射面积25万亩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2E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44D8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34A03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B171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EB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EA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规模化水平提升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68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规模种植面积占比提升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A7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提升6个百分点</w:t>
            </w:r>
          </w:p>
        </w:tc>
      </w:tr>
      <w:tr w14:paraId="3138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D583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9A78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7A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6C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就业带动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06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综合种养模式带动就近就业岗位350个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F2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10B8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39A0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38A6B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84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土壤肥力改善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99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有机质含量平均提升0.08个百分点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37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3B28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4414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C3865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1F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9A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化肥农药减量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F0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项目区化肥使用量减少8%，化学农药使用量减少10%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FD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712E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8F2D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5DA3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FF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2E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资源循环利用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96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秸秆综合利用率提升至90%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47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6AAE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5E69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AA5B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E0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技术模式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55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复制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E4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高产技术模式、综合种养模式在全县推广</w:t>
            </w:r>
          </w:p>
        </w:tc>
      </w:tr>
      <w:tr w14:paraId="3FA5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0620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AB82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3A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299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主体能力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9E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89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规模种植主体标准化种植、精细化管理能力显著增强</w:t>
            </w:r>
          </w:p>
        </w:tc>
      </w:tr>
      <w:tr w14:paraId="4D7F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2C96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3C6A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35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99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产业发展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EB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0F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可持续发展能力提升</w:t>
            </w:r>
          </w:p>
        </w:tc>
      </w:tr>
      <w:tr w14:paraId="3EDD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43DD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58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服务对象满意度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7C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≥90%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20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%</w:t>
            </w:r>
          </w:p>
        </w:tc>
      </w:tr>
      <w:tr w14:paraId="3A23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68C4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2B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05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BA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39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2A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F4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B969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20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26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572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58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B6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A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0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说明：请在此处简要说明中央巡视、各级审计和财会监督中发现的问题及所涉及的金额，如没有请填无。　</w:t>
            </w:r>
          </w:p>
        </w:tc>
      </w:tr>
      <w:tr w14:paraId="7B75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4E1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                 填报日期：                 联系电话：                       单位负责人签字：</w:t>
            </w:r>
          </w:p>
        </w:tc>
      </w:tr>
      <w:tr w14:paraId="3623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0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资金使用单位按具体项目绩效目标填报。主管部门汇总时按区域绩效目标填报。2.其他资金包括与中央财政资金、地方财政资金共同投入到同一项目的自有资金、社会资金，以及以前年度的结转结余资金等。3.全年执行数是指按照国库集中支付制度要求所形成的实际支出。</w:t>
            </w:r>
          </w:p>
        </w:tc>
      </w:tr>
    </w:tbl>
    <w:p w14:paraId="51E4569E">
      <w:pPr>
        <w:rPr>
          <w:rFonts w:hint="eastAsia" w:ascii="华文仿宋" w:hAnsi="华文仿宋" w:eastAsia="华文仿宋" w:cs="华文仿宋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</w:p>
    <w:p w14:paraId="67FBEE44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1473AD6E"/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2D095D-5570-4EC0-9512-4A0C671D393C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342A3BC0-76DE-46E8-BC26-7ED392D06B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4538CC5-24CA-4560-91DF-14B550A1297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E36B6F8-BCA0-426C-B494-92E02892A7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DF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9017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9017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A2A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174AB"/>
    <w:rsid w:val="2641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2026-03-10T03:25:00Z</dcterms:created>
  <dc:creator>海大技术工程师刘波13132502261</dc:creator>
  <cp:lastModifiedBy>海大技术工程师刘波13132502261</cp:lastModifiedBy>
  <dcterms:modified xsi:type="dcterms:W3CDTF">2026-03-10T03:26:59Z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E1F1459B4B9A4BC0BB381371D5B28D0F_11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