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朝阳社区县委巡察反馈问题整改情况联审表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被巡察党组织（加盖党组织公章）：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    派驻纪检组长/乡镇纪委书记签字：        填表时间：   年   月   日</w:t>
      </w:r>
    </w:p>
    <w:tbl>
      <w:tblPr>
        <w:tblStyle w:val="4"/>
        <w:tblW w:w="1528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750"/>
        <w:gridCol w:w="5751"/>
        <w:gridCol w:w="1320"/>
        <w:gridCol w:w="20"/>
        <w:gridCol w:w="1325"/>
        <w:gridCol w:w="20"/>
        <w:gridCol w:w="1315"/>
        <w:gridCol w:w="2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  <w:t>序号</w:t>
            </w:r>
          </w:p>
        </w:tc>
        <w:tc>
          <w:tcPr>
            <w:tcW w:w="37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57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4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5751" w:type="dxa"/>
            <w:vMerge w:val="continue"/>
            <w:vAlign w:val="center"/>
          </w:tcPr>
          <w:p>
            <w:pP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2023年3月下水道维护费2.8万元直接打款个人，没有打款发票上的对公账户，且开票方为茅草街人民政府。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用组织机构代码证完成了发票开具实操，验证了该方式的合规性与可行性，纠正了此前依赖政府名义开票的不规范做法。二是组织报账人员学习相关政策。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750" w:type="dxa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2023年2024年发放离任社区干部补助共计8640元。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社区严格按照镇党委政府统一部署，完成补助停发工作。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750" w:type="dxa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党务公示栏更新不及时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已完成。一是已完成梳理，并立即整改。二是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对检查中发现的更新不及时问题，每月安排专人检查公示栏更新情况，有效防范信息公示滞后问题反复出现。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750" w:type="dxa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年12月12日刘易同志接收发展对象推优大会票数有误(参会党员32名，群众代表5名，票数却为赞成32,反对0,弃权0),2024年的发展党员会议记录落款处均未盖党支部章，且2024年9月18日入党积极分子推优大会会议记录落款处党支部书记未签名。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通过与参会人员谈话的方式核实会议的真实性。二是针对会议记录缺失支部公章和党支部书记未签名的问题，立即组织相关负责人进行补充完善，对支部书记未签名进行补签，加盖支部公章，确保每份会议记录要素完整、内容真实。三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相关人员参加党建业务培训，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熟练掌握业务知识，切实提升党建工作水平。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750" w:type="dxa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2024年11月27日关于预备党员童薇薇同志转正支部大会记录为插页。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通过与参会人员谈话的方式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核实会议的真实性。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由包点领导牵头，组织党支部书记、党建专干开展谈心谈话。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>注：此表作为整改报告附件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3354"/>
    <w:rsid w:val="02B91367"/>
    <w:rsid w:val="0A7F1BFE"/>
    <w:rsid w:val="29057839"/>
    <w:rsid w:val="36270020"/>
    <w:rsid w:val="49C15D6F"/>
    <w:rsid w:val="4FB5752D"/>
    <w:rsid w:val="525C747D"/>
    <w:rsid w:val="5B087111"/>
    <w:rsid w:val="600E400C"/>
    <w:rsid w:val="680B1E27"/>
    <w:rsid w:val="720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746</Characters>
  <Lines>0</Lines>
  <Paragraphs>0</Paragraphs>
  <TotalTime>6</TotalTime>
  <ScaleCrop>false</ScaleCrop>
  <LinksUpToDate>false</LinksUpToDate>
  <CharactersWithSpaces>779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2025-11-27T06:02:00Z</dcterms:created>
  <dc:creator>Administrator</dc:creator>
  <cp:lastModifiedBy>李秉昌</cp:lastModifiedBy>
  <cp:lastPrinted>2025-12-09T10:53:00Z</cp:lastPrinted>
  <dcterms:modified xsi:type="dcterms:W3CDTF">2026-01-21T02:13:44Z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eyJoZGlkIjoiMzViOTYxYjMxOWM5MmI0YmQ5MDkzNWY3MjMxM2NmZTkiLCJ1c2VySWQiOiI0NDE1ODU4OTYifQ==</vt:lpwstr>
  </property>
  <property fmtid="{D5CDD505-2E9C-101B-9397-08002B2CF9AE}" pid="4" name="ICV">
    <vt:lpwstr>B57AE46512D54CE38C641EE3EED0933A_12</vt:lpwstr>
  </property>
</Properties>
</file>