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回民村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  派驻纪检组长/乡镇纪委书记签字：            填表时间：  年  月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683"/>
        <w:gridCol w:w="5324"/>
        <w:gridCol w:w="1173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b/>
                <w:bCs w:val="0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bCs w:val="0"/>
                <w:sz w:val="24"/>
                <w:szCs w:val="32"/>
              </w:rPr>
              <w:t>序号</w:t>
            </w:r>
          </w:p>
        </w:tc>
        <w:tc>
          <w:tcPr>
            <w:tcW w:w="36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53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b/>
                <w:bCs w:val="0"/>
                <w:sz w:val="24"/>
                <w:szCs w:val="32"/>
              </w:rPr>
            </w:pPr>
          </w:p>
        </w:tc>
        <w:tc>
          <w:tcPr>
            <w:tcW w:w="36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53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1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“村村响”本轮巡察通知音频无法正常播放。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镇级已组织技术人员对“村村响”设备及音频播放系统进行全面排查，重点检查设备硬件故障、信号传输问题、音频文件格式兼容性等；对排查出的故障及时维修或更换相关部件，确保设备功能恢复正常，传播声音清晰、覆盖到位，通知信息准确传达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2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会议用餐超标准。2021年党员会议用餐报销3000元，无发票，签到表46人，超标准1160元。支付无明细。2021年4月以现金支付打字复印费9800元，无明细；2021年10月支付车库与路灯建设项目现金1万元，无明细，开票金额10万元。大量项目承包方与开票人不一致。2021年至2023年村干部晏文超代开发票的项目共计5个，涉及金额20.98万余元；村会计周德坤代开发票的项目1个，涉及金额1.02万元；付素兰代开发票的项目共计5个，涉及金额57.38万元。2024年6月机抛机插项目承包方为蔡国良，转账及开票方为方跃建筑公司，涉及金额2.09余万元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超标准报销的餐费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退回财政非税账户，对相关人员进行问责，加强业务学习，明确会议用餐标准，村监委会严格监督，杜绝此类事情发生。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规范财务报账制度，加强财务报账人员及监委会成员学习，提高思想觉悟，防止类似的事情再次发生。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2022年至2024年以现金形式支付工程项目等各类支出共计28.4余万元。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重新与项目方核对，该项目内容属实，资金符合标准，有合同有发票，相关付款发票已交由财政，后续将加强财务制度学习和监管，今后村集体大额现金支付一律采取电子支付。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2023年月美丽乡村建设7.4万余元，无合同无四议两公开。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完成项目资料补充，补充了相关项目合同，所有项目严格按四议两公开制度执行。二是在今后的工作中，从严监管财务流程，严格按要求执行，确保此类问题不会发生。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2021年至2024年回民村召开党员大会发放误工补贴共计1.66万元。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相关问题线索已移交镇纪委，案件正在办理中。二是已明确党建活动经费的使用范围、标准和审批程序，严禁以任何名义向党员发放党员大会会议误工补贴。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党务公开栏支部年度计划未公示，主题党日活动内容更新不及时。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梳理并公示支部年度计划，确保内容完整、清晰并进行了重新公示，同时，建立主题党日活动内容定期更新机制，明确专人负责，在每次主题党日活动结束后3个工作日内完成公开栏内容更新，同时通过线上线下相结合的方式同步公开，接受党员群众监督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村1组-15组水渠中有大量垃圾、杂草等漂浮物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组织专人对1组-15组水渠进行全面清理，集中打捞垃圾、杂草等漂浮物并妥善处理。二是已建立水渠定期巡查清理机制，明确各组责任区域及负责人，每月至少开展1次全面清理，同时引导村民不向水渠抛扔垃圾，共同维护水渠清洁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2021、2022年度组织生活会和民主评议党员相关资料遗失。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已对相关业务人员进行培训，加强业务知识掌握，规范组织生活会、民主评议党员流程。二是在资料归档时定期开展“回头看”，确保资料完善。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2022年、2023年支部会议记录仅记录到11月份。</w:t>
            </w:r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已明确资料存放专柜，张贴标签，后续加强党建资料保管工作。二是已制定相关规定，每年度做好归档工作，确保资料保存妥当。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谈心谈话不到位。2023年度、2024年度组织生活会支部书记与委员、委员与委员、与普通党员谈心谈话少。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民主评议党员开展不规范。2024年度民主评议党员结果公示与民主评议党员登记表不一致。</w:t>
            </w:r>
            <w:bookmarkEnd w:id="0"/>
          </w:p>
        </w:tc>
        <w:tc>
          <w:tcPr>
            <w:tcW w:w="5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2023年度、2024年度组织生活会前，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支部书记在组织生活会前与所有委员、委员与委员之间均已谈心谈话一次，至少与3名普通党员谈心谈话，相关资料已补齐完毕。二是经核查，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民主评议党员结果公示与民主评议党员登记表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不一致原因是工作人员在汇总评议结果、填写登记表及公示材料时，工作不够严谨细致，材料审核把关不严，信息核对不全面，导致两者内容出现偏差。现已对照原始评议记录，逐人逐项重新核实评议等次，规范完善民主评议党员登记表，确保登记表、评议记录、公示内容完全一致、真实准确。三是后续将加强党建专干对资料的整理严格把关，认真开展组织生活会、民主评议党员，党支部书记对实际投票、支委会研究等流程进行审查，确定民主评议党员结果并进行公示，确保以后不再出现类似失误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eastAsia="zh-CN"/>
        </w:rPr>
        <w:t>注：此表作为整改报告附件</w:t>
      </w:r>
    </w:p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177B1C82"/>
    <w:rsid w:val="1BB73E71"/>
    <w:rsid w:val="1C05222A"/>
    <w:rsid w:val="1EAE4144"/>
    <w:rsid w:val="261E7E80"/>
    <w:rsid w:val="2AB56E08"/>
    <w:rsid w:val="2F6909D0"/>
    <w:rsid w:val="384913E2"/>
    <w:rsid w:val="396608E3"/>
    <w:rsid w:val="3B9D51CF"/>
    <w:rsid w:val="43276A00"/>
    <w:rsid w:val="54CF43FF"/>
    <w:rsid w:val="55B017C5"/>
    <w:rsid w:val="6622209E"/>
    <w:rsid w:val="6EF55C2F"/>
    <w:rsid w:val="781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3</Pages>
  <Words>164</Words>
  <Characters>166</Characters>
  <Lines>0</Lines>
  <Paragraphs>0</Paragraphs>
  <TotalTime>9</TotalTime>
  <ScaleCrop>false</ScaleCrop>
  <LinksUpToDate>false</LinksUpToDate>
  <CharactersWithSpaces>201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cp:lastPrinted>2025-12-26T01:00:00Z</cp:lastPrinted>
  <dcterms:modified xsi:type="dcterms:W3CDTF">2026-02-10T09:42:24Z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eyJoZGlkIjoiZWI5YjIwY2RjMjMyNzkxYzY0ZWM5MjcyZmM5MzRjOWYiLCJ1c2VySWQiOiIyOTYyNjQ5MjYifQ==</vt:lpwstr>
  </property>
  <property fmtid="{D5CDD505-2E9C-101B-9397-08002B2CF9AE}" pid="4" name="ICV">
    <vt:lpwstr>FCC14789FB3A443FB29B391A61B95E75_13</vt:lpwstr>
  </property>
</Properties>
</file>