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left="0" w:leftChars="0"/>
        <w:jc w:val="both"/>
        <w:rPr>
          <w:rFonts w:ascii="Times New Roman" w:hAnsi="Times New Roman" w:eastAsia="仿宋_GB2312" w:cs="Times New Roman"/>
          <w:kern w:val="2"/>
          <w:sz w:val="32"/>
          <w:szCs w:val="32"/>
          <w:lang w:val="en-US" w:eastAsia="zh-CN" w:bidi="ar-SA"/>
        </w:rPr>
      </w:pPr>
    </w:p>
    <w:p>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u w:val="none"/>
          <w:lang w:val="en-US" w:eastAsia="zh-CN"/>
        </w:rPr>
        <w:t>灵官洲村</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val="en-US" w:eastAsia="zh-CN"/>
        </w:rPr>
        <w:t>情况</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pPr>
        <w:widowControl w:val="0"/>
        <w:ind w:left="1680" w:leftChars="800"/>
        <w:jc w:val="both"/>
        <w:rPr>
          <w:rFonts w:ascii="Times New Roman" w:hAnsi="Times New Roman" w:eastAsia="仿宋_GB2312" w:cs="Times New Roman"/>
          <w:kern w:val="2"/>
          <w:sz w:val="32"/>
          <w:szCs w:val="32"/>
          <w:lang w:val="en-US" w:eastAsia="zh-CN" w:bidi="ar-SA"/>
        </w:rPr>
      </w:pPr>
    </w:p>
    <w:p>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4"/>
        <w:tblW w:w="14113" w:type="dxa"/>
        <w:jc w:val="center"/>
        <w:tblInd w:w="0" w:type="dxa"/>
        <w:tblLayout w:type="fixed"/>
        <w:tblCellMar>
          <w:top w:w="0" w:type="dxa"/>
          <w:left w:w="108" w:type="dxa"/>
          <w:bottom w:w="0" w:type="dxa"/>
          <w:right w:w="108" w:type="dxa"/>
        </w:tblCellMar>
      </w:tblPr>
      <w:tblGrid>
        <w:gridCol w:w="537"/>
        <w:gridCol w:w="2295"/>
        <w:gridCol w:w="6712"/>
        <w:gridCol w:w="1173"/>
        <w:gridCol w:w="1088"/>
        <w:gridCol w:w="1136"/>
        <w:gridCol w:w="1172"/>
      </w:tblGrid>
      <w:tr>
        <w:tblPrEx>
          <w:tblLayout w:type="fixed"/>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ascii="方正黑体_GBK" w:hAnsi="Times New Roman" w:eastAsia="方正黑体_GBK" w:cs="Times New Roman"/>
                <w:sz w:val="24"/>
                <w:szCs w:val="32"/>
              </w:rPr>
            </w:pPr>
            <w:r>
              <w:rPr>
                <w:rFonts w:hint="eastAsia" w:ascii="方正黑体_GBK" w:hAnsi="Times New Roman" w:eastAsia="方正黑体_GBK" w:cs="Lucida Sans"/>
                <w:b/>
                <w:sz w:val="24"/>
                <w:szCs w:val="32"/>
              </w:rPr>
              <w:t>序号</w:t>
            </w:r>
          </w:p>
        </w:tc>
        <w:tc>
          <w:tcPr>
            <w:tcW w:w="229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ascii="方正黑体_GBK" w:hAnsi="Times New Roman" w:eastAsia="方正黑体_GBK" w:cs="Times New Roman"/>
                <w:sz w:val="24"/>
                <w:szCs w:val="32"/>
              </w:rPr>
            </w:pPr>
            <w:r>
              <w:rPr>
                <w:rFonts w:hint="eastAsia" w:ascii="方正黑体_GBK" w:hAnsi="Times New Roman" w:eastAsia="方正黑体_GBK" w:cs="Lucida Sans"/>
                <w:b/>
                <w:sz w:val="24"/>
                <w:szCs w:val="32"/>
              </w:rPr>
              <w:t>具体问题</w:t>
            </w:r>
          </w:p>
        </w:tc>
        <w:tc>
          <w:tcPr>
            <w:tcW w:w="6712"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ascii="方正黑体_GBK" w:hAnsi="Times New Roman" w:eastAsia="方正黑体_GBK" w:cs="Times New Roman"/>
                <w:sz w:val="24"/>
                <w:szCs w:val="32"/>
              </w:rPr>
            </w:pPr>
            <w:r>
              <w:rPr>
                <w:rFonts w:hint="eastAsia" w:ascii="方正黑体_GBK" w:hAnsi="Times New Roman" w:eastAsia="方正黑体_GBK" w:cs="Lucida Sans"/>
                <w:b/>
                <w:sz w:val="24"/>
                <w:szCs w:val="32"/>
              </w:rPr>
              <w:t>整改情况</w:t>
            </w:r>
          </w:p>
        </w:tc>
        <w:tc>
          <w:tcPr>
            <w:tcW w:w="456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4"/>
                <w:szCs w:val="32"/>
              </w:rPr>
            </w:pPr>
            <w:r>
              <w:rPr>
                <w:rFonts w:hint="eastAsia" w:ascii="方正黑体_GBK" w:hAnsi="Times New Roman" w:eastAsia="方正黑体_GBK" w:cs="Lucida Sans"/>
                <w:b/>
                <w:sz w:val="24"/>
                <w:szCs w:val="32"/>
              </w:rPr>
              <w:t xml:space="preserve">会 </w:t>
            </w:r>
            <w:r>
              <w:rPr>
                <w:rFonts w:hint="eastAsia" w:ascii="方正黑体_GBK" w:hAnsi="Times New Roman" w:eastAsia="方正黑体_GBK" w:cs="Lucida Sans"/>
                <w:b/>
                <w:sz w:val="24"/>
                <w:szCs w:val="32"/>
                <w:lang w:val="en-US" w:eastAsia="zh-CN"/>
              </w:rPr>
              <w:t xml:space="preserve"> </w:t>
            </w:r>
            <w:r>
              <w:rPr>
                <w:rFonts w:hint="eastAsia" w:ascii="方正黑体_GBK" w:hAnsi="Times New Roman" w:eastAsia="方正黑体_GBK" w:cs="Lucida Sans"/>
                <w:b/>
                <w:sz w:val="24"/>
                <w:szCs w:val="32"/>
              </w:rPr>
              <w:t>签</w:t>
            </w:r>
          </w:p>
        </w:tc>
      </w:tr>
      <w:tr>
        <w:tblPrEx>
          <w:tblLayout w:type="fixed"/>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rPr>
                <w:rFonts w:ascii="方正黑体_GBK" w:hAnsi="Times New Roman" w:eastAsia="方正黑体_GBK" w:cs="Times New Roman"/>
                <w:sz w:val="24"/>
                <w:szCs w:val="32"/>
              </w:rPr>
            </w:pPr>
          </w:p>
        </w:tc>
        <w:tc>
          <w:tcPr>
            <w:tcW w:w="229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rPr>
                <w:rFonts w:ascii="方正黑体_GBK" w:hAnsi="Times New Roman" w:eastAsia="方正黑体_GBK" w:cs="Times New Roman"/>
                <w:sz w:val="24"/>
                <w:szCs w:val="32"/>
              </w:rPr>
            </w:pPr>
          </w:p>
        </w:tc>
        <w:tc>
          <w:tcPr>
            <w:tcW w:w="6712"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rPr>
                <w:rFonts w:ascii="方正黑体_GBK" w:hAnsi="Times New Roman" w:eastAsia="方正黑体_GBK" w:cs="Times New Roman"/>
                <w:sz w:val="24"/>
                <w:szCs w:val="32"/>
              </w:rPr>
            </w:pP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lang w:eastAsia="zh-CN"/>
              </w:rPr>
              <w:t>宣传部</w:t>
            </w: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lang w:eastAsia="zh-CN"/>
              </w:rPr>
              <w:t>组织部</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lang w:eastAsia="zh-CN"/>
              </w:rPr>
              <w:t>巡察机构</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rPr>
              <w:t>纪委监委</w:t>
            </w:r>
          </w:p>
        </w:tc>
      </w:tr>
      <w:tr>
        <w:tblPrEx>
          <w:tblLayout w:type="fixed"/>
          <w:tblCellMar>
            <w:top w:w="0" w:type="dxa"/>
            <w:left w:w="108" w:type="dxa"/>
            <w:bottom w:w="0" w:type="dxa"/>
            <w:right w:w="108" w:type="dxa"/>
          </w:tblCellMar>
        </w:tblPrEx>
        <w:trPr>
          <w:trHeight w:val="1744"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1</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440" w:firstLineChars="200"/>
              <w:jc w:val="left"/>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举报箱设置未避开监控</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已完成。已整改</w:t>
            </w:r>
            <w:r>
              <w:rPr>
                <w:rFonts w:hint="eastAsia" w:ascii="仿宋_GB2312" w:hAnsi="仿宋_GB2312" w:eastAsia="仿宋_GB2312" w:cs="仿宋_GB2312"/>
                <w:b w:val="0"/>
                <w:bCs w:val="0"/>
                <w:sz w:val="22"/>
                <w:szCs w:val="22"/>
                <w:lang w:eastAsia="zh-CN"/>
              </w:rPr>
              <w:t>完成，立即对</w:t>
            </w:r>
            <w:r>
              <w:rPr>
                <w:rFonts w:hint="eastAsia" w:ascii="仿宋_GB2312" w:hAnsi="仿宋_GB2312" w:eastAsia="仿宋_GB2312" w:cs="仿宋_GB2312"/>
                <w:b w:val="0"/>
                <w:bCs w:val="0"/>
                <w:sz w:val="22"/>
                <w:szCs w:val="22"/>
                <w:lang w:val="en-US" w:eastAsia="zh-CN"/>
              </w:rPr>
              <w:t>摄像头进行</w:t>
            </w:r>
            <w:r>
              <w:rPr>
                <w:rFonts w:hint="eastAsia" w:ascii="仿宋_GB2312" w:hAnsi="仿宋_GB2312" w:eastAsia="仿宋_GB2312" w:cs="仿宋_GB2312"/>
                <w:b w:val="0"/>
                <w:bCs w:val="0"/>
                <w:sz w:val="22"/>
                <w:szCs w:val="22"/>
                <w:lang w:eastAsia="zh-CN"/>
              </w:rPr>
              <w:t>迁移调整，确保举报过程无死角覆盖。同时增设指引标识，并定期检查维护，全面保障举报人隐私安全，打消群众顾虑。</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337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2</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村部国旗边缘有破损未更换;党民兵连、妇女之家内文化墙上党徽不规范;宣传栏面板普遍泛白，导致宣传栏内容看不清楚;宣传党的最新理论成果不及时，一张宣传栏内容停留在2023年第二批主题教育内容。</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numPr>
                <w:ilvl w:val="0"/>
                <w:numId w:val="0"/>
              </w:num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已完成。</w:t>
            </w:r>
            <w:r>
              <w:rPr>
                <w:rFonts w:hint="eastAsia" w:ascii="仿宋_GB2312" w:hAnsi="仿宋_GB2312" w:eastAsia="仿宋_GB2312" w:cs="仿宋_GB2312"/>
                <w:b w:val="0"/>
                <w:bCs w:val="0"/>
                <w:sz w:val="22"/>
                <w:szCs w:val="22"/>
                <w:lang w:eastAsia="zh-CN"/>
              </w:rPr>
              <w:t>一是</w:t>
            </w:r>
            <w:r>
              <w:rPr>
                <w:rFonts w:hint="eastAsia" w:ascii="仿宋_GB2312" w:hAnsi="仿宋_GB2312" w:eastAsia="仿宋_GB2312" w:cs="仿宋_GB2312"/>
                <w:b w:val="0"/>
                <w:bCs w:val="0"/>
                <w:sz w:val="22"/>
                <w:szCs w:val="22"/>
                <w:lang w:val="en-US" w:eastAsia="zh-CN"/>
              </w:rPr>
              <w:t>已第一时间更换破损国旗，并对村部所有旗帜进行检查。明确专人定期巡查，建立台账及时维护，确保国旗庄严完好</w:t>
            </w:r>
            <w:r>
              <w:rPr>
                <w:rFonts w:hint="eastAsia" w:ascii="仿宋_GB2312" w:hAnsi="仿宋_GB2312" w:eastAsia="仿宋_GB2312" w:cs="仿宋_GB2312"/>
                <w:b w:val="0"/>
                <w:bCs w:val="0"/>
                <w:kern w:val="2"/>
                <w:sz w:val="22"/>
                <w:szCs w:val="22"/>
                <w:lang w:val="en-US" w:eastAsia="zh-CN" w:bidi="ar-SA"/>
              </w:rPr>
              <w:t>。二是已对妇女之家内党徽进行规范更新，并更换了所有泛白的宣传栏面板。同时，已设立理论学习专栏，明确更新责任人，确保党的理论成果及时、清晰地呈现。三是整改工作扎实落地，通过强化党建业务学习，严格把控组织生活会、民主评议党员资料审核关，同类问题得到有效杜绝。组织“两委”班子专题会议，明晰党建工作重要性、凝聚共识，抓实党员教育管理，进一步夯实了党建工作基础。</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3418"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2024年3月原永红公路硬化资金及永红公路路基建设两个不同议事时间的项目中，会议签到表、会议照片、项目资料照片完全一致。</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5" w:lineRule="atLeast"/>
              <w:ind w:left="0" w:right="0" w:firstLine="440" w:firstLineChars="200"/>
              <w:textAlignment w:val="baseline"/>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已完成。一是</w:t>
            </w:r>
            <w:r>
              <w:rPr>
                <w:rFonts w:hint="eastAsia" w:ascii="仿宋_GB2312" w:hAnsi="仿宋_GB2312" w:eastAsia="仿宋_GB2312" w:cs="仿宋_GB2312"/>
                <w:b w:val="0"/>
                <w:bCs w:val="0"/>
                <w:kern w:val="2"/>
                <w:sz w:val="22"/>
                <w:szCs w:val="22"/>
                <w:lang w:val="en-US" w:eastAsia="zh-CN" w:bidi="ar-SA"/>
              </w:rPr>
              <w:t>全面核实并修正了项目资料，确保会议记录、影像等内容与项目一一对应，准确无误。二是已健全了项目档案管理制度，明确了归档责任人，确保此类问题不再发生。</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4</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财务资料不一致，不合逻辑。</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5" w:lineRule="atLeast"/>
              <w:ind w:right="0" w:firstLine="440" w:firstLineChars="200"/>
              <w:textAlignment w:val="baseline"/>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w:t>
            </w:r>
            <w:r>
              <w:rPr>
                <w:rFonts w:hint="eastAsia" w:ascii="仿宋_GB2312" w:hAnsi="仿宋_GB2312" w:eastAsia="仿宋_GB2312" w:cs="仿宋_GB2312"/>
                <w:b w:val="0"/>
                <w:bCs w:val="0"/>
                <w:kern w:val="2"/>
                <w:sz w:val="22"/>
                <w:szCs w:val="22"/>
                <w:lang w:val="en-US" w:eastAsia="zh-CN" w:bidi="ar-SA"/>
              </w:rPr>
              <w:t>已对财务资料进行全面核对与修正，确保数据真实、逻辑一致。现已完善财务审核流程，明确责任人，杜绝此类问题再次发生。</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5</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rPr>
              <w:t>使用领款单领用大额小工劳务费</w:t>
            </w:r>
            <w:r>
              <w:rPr>
                <w:rFonts w:hint="eastAsia" w:ascii="仿宋_GB2312" w:hAnsi="仿宋_GB2312" w:eastAsia="仿宋_GB2312" w:cs="仿宋_GB2312"/>
                <w:b w:val="0"/>
                <w:bCs w:val="0"/>
                <w:sz w:val="22"/>
                <w:szCs w:val="22"/>
                <w:lang w:eastAsia="zh-CN"/>
              </w:rPr>
              <w:t>。</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numPr>
                <w:ilvl w:val="0"/>
                <w:numId w:val="0"/>
              </w:numPr>
              <w:ind w:firstLine="440" w:firstLineChars="200"/>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w:t>
            </w:r>
            <w:r>
              <w:rPr>
                <w:rFonts w:hint="eastAsia" w:ascii="仿宋_GB2312" w:hAnsi="仿宋_GB2312" w:eastAsia="仿宋_GB2312" w:cs="仿宋_GB2312"/>
                <w:b w:val="0"/>
                <w:bCs w:val="0"/>
                <w:kern w:val="2"/>
                <w:sz w:val="22"/>
                <w:szCs w:val="22"/>
                <w:lang w:val="en-US" w:eastAsia="zh-CN" w:bidi="ar-SA"/>
              </w:rPr>
              <w:t>已废止使用领款单支取大额劳务费的做法。现严格按照财务规定，采用对公转账方式支付，并附完整的用工协议、考勤及发放明细，确保支付合规、透明</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6</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2022年12月人居环境项目支付51801元，无预决算，使用现金付款，仅用费用明细表入账。2023年9月支付6.58万涵闸建设资金，公示内容不符合要求，没有写明具体的工程事项，无时间地点及工程施工方的名称公示。</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numPr>
                <w:ilvl w:val="0"/>
                <w:numId w:val="0"/>
              </w:numPr>
              <w:ind w:firstLine="440" w:firstLineChars="200"/>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已完成。一是</w:t>
            </w:r>
            <w:r>
              <w:rPr>
                <w:rFonts w:hint="eastAsia" w:ascii="仿宋_GB2312" w:hAnsi="仿宋_GB2312" w:eastAsia="仿宋_GB2312" w:cs="仿宋_GB2312"/>
                <w:b w:val="0"/>
                <w:bCs w:val="0"/>
                <w:kern w:val="2"/>
                <w:sz w:val="22"/>
                <w:szCs w:val="22"/>
                <w:lang w:val="en-US" w:eastAsia="zh-CN" w:bidi="ar-SA"/>
              </w:rPr>
              <w:t>已立即补充完善该项目的预、决算资料，将现金支付变更为合规的对公转账，并补齐全部原始凭证，确保支出手续完备、账实相符。二是已重新发布合规公示，明确列出工程事项、时间地点及施工方全称。同时完善了公示制度，确保所有项目信息完整、透明，便于群众监督。</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7</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对产业项目投资收益界定不清。</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numPr>
                <w:ilvl w:val="0"/>
                <w:numId w:val="0"/>
              </w:numPr>
              <w:ind w:firstLine="440" w:firstLineChars="200"/>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w:t>
            </w:r>
            <w:r>
              <w:rPr>
                <w:rFonts w:hint="eastAsia" w:ascii="仿宋_GB2312" w:hAnsi="仿宋_GB2312" w:eastAsia="仿宋_GB2312" w:cs="仿宋_GB2312"/>
                <w:b w:val="0"/>
                <w:bCs w:val="0"/>
                <w:kern w:val="2"/>
                <w:sz w:val="22"/>
                <w:szCs w:val="22"/>
                <w:lang w:val="en-US" w:eastAsia="zh-CN" w:bidi="ar-SA"/>
              </w:rPr>
              <w:t>已与湖南众望服饰有限公司补充签订投资合同附件，明确约定了分红比例、计算方式、支付时间及投资收益的核算标准，确保权责清晰，合作规范。</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8</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党务公开栏“三会一课”板块内容更新不及时。</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numPr>
                <w:ilvl w:val="0"/>
                <w:numId w:val="0"/>
              </w:numPr>
              <w:ind w:firstLine="440" w:firstLineChars="200"/>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w:t>
            </w:r>
            <w:r>
              <w:rPr>
                <w:rFonts w:hint="eastAsia" w:ascii="仿宋_GB2312" w:hAnsi="仿宋_GB2312" w:eastAsia="仿宋_GB2312" w:cs="仿宋_GB2312"/>
                <w:b w:val="0"/>
                <w:bCs w:val="0"/>
                <w:kern w:val="2"/>
                <w:sz w:val="22"/>
                <w:szCs w:val="22"/>
                <w:lang w:val="en-US" w:eastAsia="zh-CN" w:bidi="ar-SA"/>
              </w:rPr>
              <w:t>已立即更新党务公开栏“三会一课”内容，并指定专人负责每月维护，确保信息及时、准确公开，自觉接受党员群众监督。</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9</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2024年议事会会议记录时间逻辑混乱，12月12日记录召开低保评议会议，后面出现记录2024年8月9日鄂州海大饲料有限公司对小龙虾养殖培训会议记录。</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numPr>
                <w:ilvl w:val="0"/>
                <w:numId w:val="0"/>
              </w:numPr>
              <w:ind w:firstLine="440" w:firstLineChars="200"/>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w:t>
            </w:r>
            <w:r>
              <w:rPr>
                <w:rFonts w:hint="eastAsia" w:ascii="仿宋_GB2312" w:hAnsi="仿宋_GB2312" w:eastAsia="仿宋_GB2312" w:cs="仿宋_GB2312"/>
                <w:b w:val="0"/>
                <w:bCs w:val="0"/>
                <w:kern w:val="2"/>
                <w:sz w:val="22"/>
                <w:szCs w:val="22"/>
                <w:lang w:val="en-US" w:eastAsia="zh-CN" w:bidi="ar-SA"/>
              </w:rPr>
              <w:t>已全面核查并重新整理会议记录，按时间顺序规范归档。同时建立了记录审核机制，今后将</w:t>
            </w:r>
            <w:bookmarkStart w:id="0" w:name="_GoBack"/>
            <w:bookmarkEnd w:id="0"/>
            <w:r>
              <w:rPr>
                <w:rFonts w:hint="eastAsia" w:ascii="仿宋_GB2312" w:hAnsi="仿宋_GB2312" w:eastAsia="仿宋_GB2312" w:cs="仿宋_GB2312"/>
                <w:b w:val="0"/>
                <w:bCs w:val="0"/>
                <w:kern w:val="2"/>
                <w:sz w:val="22"/>
                <w:szCs w:val="22"/>
                <w:lang w:val="en-US" w:eastAsia="zh-CN" w:bidi="ar-SA"/>
              </w:rPr>
              <w:t>明确专人负责，确保会议记录逻辑清晰、时间准确。</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10</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2020年度灵官洲村第一支部有党员38人，组织生活会和民主评议党员只有25张民主评议党员登记表；2020年度灵官洲村第二支部有党员32人，组织生活会和民主评议党员只有25张民主评议党员登记表；2020年度灵官洲村第三支部有党员40人，组织生活会和民主评议党员只有22张民主评议党员登记表。</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5" w:lineRule="atLeast"/>
              <w:ind w:right="0" w:firstLine="440" w:firstLineChars="200"/>
              <w:textAlignment w:val="baseline"/>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w:t>
            </w:r>
            <w:r>
              <w:rPr>
                <w:rFonts w:hint="eastAsia" w:ascii="仿宋_GB2312" w:hAnsi="仿宋_GB2312" w:eastAsia="仿宋_GB2312" w:cs="仿宋_GB2312"/>
                <w:b w:val="0"/>
                <w:bCs w:val="0"/>
                <w:kern w:val="2"/>
                <w:sz w:val="22"/>
                <w:szCs w:val="22"/>
                <w:lang w:val="en-US" w:eastAsia="zh-CN" w:bidi="ar-SA"/>
              </w:rPr>
              <w:t>已全面核查，补齐所缺民主评议党员登记表，确保与党员人数一致。现已明确专人负责记录归档，建立台账，杜绝此类问题再次发生。</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11</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党员周宏亮预备党员期间(2023年8月-2024年5月)未缴纳党费。</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5" w:lineRule="atLeast"/>
              <w:ind w:right="0" w:firstLine="440" w:firstLineChars="200"/>
              <w:textAlignment w:val="baseline"/>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w:t>
            </w:r>
            <w:r>
              <w:rPr>
                <w:rFonts w:hint="eastAsia" w:ascii="仿宋_GB2312" w:hAnsi="仿宋_GB2312" w:eastAsia="仿宋_GB2312" w:cs="仿宋_GB2312"/>
                <w:b w:val="0"/>
                <w:bCs w:val="0"/>
                <w:kern w:val="2"/>
                <w:sz w:val="22"/>
                <w:szCs w:val="22"/>
                <w:lang w:val="en-US" w:eastAsia="zh-CN" w:bidi="ar-SA"/>
              </w:rPr>
              <w:t>已督促党员周宏亮补缴全部预备期党费。今后将严格党费收缴管理，每月定期核对公示，确保按时足额缴纳。</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12</w:t>
            </w:r>
          </w:p>
        </w:tc>
        <w:tc>
          <w:tcPr>
            <w:tcW w:w="2295"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功能室人民调解委员会被当做杂物间使用</w:t>
            </w:r>
          </w:p>
        </w:tc>
        <w:tc>
          <w:tcPr>
            <w:tcW w:w="6712" w:type="dxa"/>
            <w:tcBorders>
              <w:top w:val="single" w:color="auto" w:sz="6" w:space="0"/>
              <w:left w:val="single" w:color="auto" w:sz="6" w:space="0"/>
              <w:bottom w:val="single" w:color="auto" w:sz="6" w:space="0"/>
              <w:right w:val="single" w:color="auto" w:sz="6" w:space="0"/>
              <w:tl2br w:val="nil"/>
              <w:tr2bl w:val="nil"/>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5" w:lineRule="atLeast"/>
              <w:ind w:right="0" w:firstLine="440" w:firstLineChars="200"/>
              <w:jc w:val="center"/>
              <w:textAlignment w:val="baseline"/>
              <w:rPr>
                <w:rFonts w:hint="eastAsia" w:ascii="仿宋_GB2312" w:hAnsi="仿宋_GB2312" w:eastAsia="仿宋_GB2312" w:cs="仿宋_GB2312"/>
                <w:b w:val="0"/>
                <w:bCs w:val="0"/>
                <w:sz w:val="22"/>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15" w:lineRule="atLeast"/>
              <w:ind w:right="0" w:firstLine="440" w:firstLineChars="200"/>
              <w:jc w:val="center"/>
              <w:textAlignment w:val="baseline"/>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rPr>
              <w:t>已完成。</w:t>
            </w:r>
            <w:r>
              <w:rPr>
                <w:rFonts w:hint="eastAsia" w:ascii="仿宋_GB2312" w:hAnsi="仿宋_GB2312" w:eastAsia="仿宋_GB2312" w:cs="仿宋_GB2312"/>
                <w:b w:val="0"/>
                <w:bCs w:val="0"/>
                <w:kern w:val="2"/>
                <w:sz w:val="22"/>
                <w:szCs w:val="22"/>
                <w:lang w:val="en-US" w:eastAsia="zh-CN" w:bidi="ar-SA"/>
              </w:rPr>
              <w:t>已对功能室进行全面清理，恢复人民调解委员会原貌。现已建立管理制度，明确日常管理责任人，确保功能室规范、专用。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20" w:right="0" w:firstLine="0"/>
              <w:jc w:val="left"/>
              <w:textAlignment w:val="baseline"/>
              <w:rPr>
                <w:rFonts w:hint="eastAsia" w:ascii="仿宋_GB2312" w:hAnsi="仿宋_GB2312" w:eastAsia="仿宋_GB2312" w:cs="仿宋_GB2312"/>
                <w:b w:val="0"/>
                <w:bCs w:val="0"/>
                <w:kern w:val="2"/>
                <w:sz w:val="22"/>
                <w:szCs w:val="22"/>
                <w:lang w:val="en-US" w:eastAsia="zh-CN" w:bidi="ar-SA"/>
              </w:rPr>
            </w:pPr>
          </w:p>
          <w:p>
            <w:pPr>
              <w:rPr>
                <w:rFonts w:hint="eastAsia" w:ascii="仿宋_GB2312" w:hAnsi="仿宋_GB2312" w:eastAsia="仿宋_GB2312" w:cs="仿宋_GB2312"/>
                <w:b w:val="0"/>
                <w:bCs w:val="0"/>
                <w:kern w:val="2"/>
                <w:sz w:val="22"/>
                <w:szCs w:val="22"/>
                <w:lang w:val="en-US" w:eastAsia="zh-CN" w:bidi="ar-SA"/>
              </w:rPr>
            </w:pP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sz w:val="22"/>
                <w:szCs w:val="22"/>
              </w:rPr>
            </w:pPr>
          </w:p>
        </w:tc>
      </w:tr>
    </w:tbl>
    <w:p>
      <w:pPr>
        <w:rPr>
          <w:rFonts w:hint="eastAsia" w:eastAsiaTheme="minorEastAsia"/>
          <w:lang w:eastAsia="zh-CN"/>
        </w:rPr>
      </w:pPr>
      <w:r>
        <w:rPr>
          <w:rFonts w:hint="eastAsia" w:ascii="仿宋_GB2312" w:hAnsi="仿宋_GB2312" w:eastAsia="仿宋_GB2312" w:cs="仿宋_GB2312"/>
          <w:sz w:val="22"/>
          <w:szCs w:val="22"/>
          <w:lang w:eastAsia="zh-CN"/>
        </w:rPr>
        <w:t>注：此表作为整改报告附件</w:t>
      </w:r>
    </w:p>
    <w:p/>
    <w:p/>
    <w:sectPr>
      <w:pgSz w:w="16838" w:h="11906" w:orient="landscape"/>
      <w:pgMar w:top="1531" w:right="1531" w:bottom="1531" w:left="1531"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62FF5"/>
    <w:rsid w:val="027E4098"/>
    <w:rsid w:val="1E9C598B"/>
    <w:rsid w:val="2451719B"/>
    <w:rsid w:val="2C3D4307"/>
    <w:rsid w:val="2CA42A26"/>
    <w:rsid w:val="36AB3AE7"/>
    <w:rsid w:val="5E8A058D"/>
    <w:rsid w:val="655A26AC"/>
    <w:rsid w:val="69C62FF5"/>
    <w:rsid w:val="6A0A532C"/>
    <w:rsid w:val="6AA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1682</Words>
  <Characters>1741</Characters>
  <Lines>0</Lines>
  <Paragraphs>0</Paragraphs>
  <TotalTime>186</TotalTime>
  <ScaleCrop>false</ScaleCrop>
  <LinksUpToDate>false</LinksUpToDate>
  <CharactersWithSpaces>1776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2025-12-11T07:42:00Z</dcterms:created>
  <dc:creator>刘慧芳</dc:creator>
  <cp:lastModifiedBy>李秉昌</cp:lastModifiedBy>
  <dcterms:modified xsi:type="dcterms:W3CDTF">2026-02-10T06:57:14Z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06DC2816A8DB483FB546552A945DE08D_13</vt:lpwstr>
  </property>
  <property fmtid="{D5CDD505-2E9C-101B-9397-08002B2CF9AE}" pid="4" name="KSOTemplateDocerSaveRecord">
    <vt:lpwstr>eyJoZGlkIjoiNTA5ZGY5NTg0NWNhZmQ1NDhjOTk1ZmViZDhmZjY1NWIiLCJ1c2VySWQiOiIxMDM1ODc3MjM5In0=</vt:lpwstr>
  </property>
</Properties>
</file>