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jc w:val="both"/>
        <w:rPr>
          <w:rFonts w:ascii="Times New Roman" w:hAnsi="Times New Roman" w:eastAsia="仿宋_GB2312" w:cs="Times New Roman"/>
          <w:kern w:val="2"/>
          <w:sz w:val="32"/>
          <w:szCs w:val="32"/>
          <w:u w:val="none"/>
          <w:lang w:val="en-US" w:eastAsia="zh-CN" w:bidi="ar-SA"/>
        </w:rPr>
      </w:pPr>
    </w:p>
    <w:p>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u w:val="none"/>
          <w:lang w:val="en-US" w:eastAsia="zh-CN"/>
        </w:rPr>
        <w:t>茅草街社区</w:t>
      </w:r>
      <w:r>
        <w:rPr>
          <w:rFonts w:hint="eastAsia" w:ascii="方正小标宋_GBK" w:hAnsi="Times New Roman" w:eastAsia="方正小标宋_GBK" w:cs="Times New Roman"/>
          <w:b/>
          <w:bCs/>
          <w:spacing w:val="8"/>
          <w:sz w:val="48"/>
          <w:szCs w:val="48"/>
          <w:u w:val="none"/>
          <w:lang w:eastAsia="zh-CN"/>
        </w:rPr>
        <w:t>县</w:t>
      </w:r>
      <w:r>
        <w:rPr>
          <w:rFonts w:hint="eastAsia" w:ascii="方正小标宋_GBK" w:hAnsi="Times New Roman" w:eastAsia="方正小标宋_GBK" w:cs="Times New Roman"/>
          <w:b/>
          <w:bCs/>
          <w:spacing w:val="8"/>
          <w:sz w:val="48"/>
          <w:szCs w:val="48"/>
          <w:lang w:eastAsia="zh-CN"/>
        </w:rPr>
        <w:t>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val="en-US" w:eastAsia="zh-CN"/>
        </w:rPr>
        <w:t>情况</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pPr>
        <w:widowControl w:val="0"/>
        <w:ind w:left="1680" w:leftChars="800"/>
        <w:jc w:val="both"/>
        <w:rPr>
          <w:rFonts w:ascii="Times New Roman" w:hAnsi="Times New Roman" w:eastAsia="仿宋_GB2312" w:cs="Times New Roman"/>
          <w:kern w:val="2"/>
          <w:sz w:val="32"/>
          <w:szCs w:val="32"/>
          <w:lang w:val="en-US" w:eastAsia="zh-CN" w:bidi="ar-SA"/>
        </w:rPr>
      </w:pP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w:t>
      </w:r>
    </w:p>
    <w:tbl>
      <w:tblPr>
        <w:tblStyle w:val="3"/>
        <w:tblW w:w="14113" w:type="dxa"/>
        <w:jc w:val="center"/>
        <w:tblInd w:w="0" w:type="dxa"/>
        <w:tblLayout w:type="fixed"/>
        <w:tblCellMar>
          <w:top w:w="0" w:type="dxa"/>
          <w:left w:w="108" w:type="dxa"/>
          <w:bottom w:w="0" w:type="dxa"/>
          <w:right w:w="108" w:type="dxa"/>
        </w:tblCellMar>
      </w:tblPr>
      <w:tblGrid>
        <w:gridCol w:w="537"/>
        <w:gridCol w:w="2670"/>
        <w:gridCol w:w="6337"/>
        <w:gridCol w:w="1271"/>
        <w:gridCol w:w="1201"/>
        <w:gridCol w:w="1241"/>
        <w:gridCol w:w="856"/>
      </w:tblGrid>
      <w:tr>
        <w:tblPrEx>
          <w:tblLayout w:type="fixed"/>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ascii="方正黑体_GBK" w:hAnsi="Times New Roman" w:eastAsia="方正黑体_GBK" w:cs="Times New Roman"/>
                <w:b/>
                <w:bCs w:val="0"/>
                <w:sz w:val="24"/>
                <w:szCs w:val="32"/>
              </w:rPr>
            </w:pPr>
            <w:r>
              <w:rPr>
                <w:rFonts w:hint="eastAsia" w:ascii="方正黑体_GBK" w:hAnsi="方正黑体_GBK" w:eastAsia="方正黑体_GBK" w:cs="方正黑体_GBK"/>
                <w:b/>
                <w:bCs w:val="0"/>
                <w:i w:val="0"/>
                <w:color w:val="000000"/>
                <w:kern w:val="0"/>
                <w:sz w:val="24"/>
                <w:szCs w:val="24"/>
                <w:u w:val="none"/>
                <w:lang w:val="en-US" w:eastAsia="zh-CN" w:bidi="ar"/>
              </w:rPr>
              <w:t>序号</w:t>
            </w:r>
          </w:p>
        </w:tc>
        <w:tc>
          <w:tcPr>
            <w:tcW w:w="267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ascii="方正黑体_GBK" w:hAnsi="Times New Roman" w:eastAsia="方正黑体_GBK" w:cs="Times New Roman"/>
                <w:sz w:val="24"/>
                <w:szCs w:val="32"/>
              </w:rPr>
            </w:pPr>
            <w:r>
              <w:rPr>
                <w:rFonts w:hint="eastAsia" w:ascii="方正黑体_GBK" w:hAnsi="方正黑体_GBK" w:eastAsia="方正黑体_GBK" w:cs="方正黑体_GBK"/>
                <w:b/>
                <w:i w:val="0"/>
                <w:color w:val="000000"/>
                <w:kern w:val="0"/>
                <w:sz w:val="24"/>
                <w:szCs w:val="24"/>
                <w:u w:val="none"/>
                <w:lang w:val="en-US" w:eastAsia="zh-CN" w:bidi="ar"/>
              </w:rPr>
              <w:t>具体问题</w:t>
            </w:r>
          </w:p>
        </w:tc>
        <w:tc>
          <w:tcPr>
            <w:tcW w:w="63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ascii="方正黑体_GBK" w:hAnsi="Times New Roman" w:eastAsia="方正黑体_GBK" w:cs="Times New Roman"/>
                <w:sz w:val="24"/>
                <w:szCs w:val="32"/>
              </w:rPr>
            </w:pPr>
            <w:r>
              <w:rPr>
                <w:rFonts w:hint="eastAsia" w:ascii="方正黑体_GBK" w:hAnsi="方正黑体_GBK" w:eastAsia="方正黑体_GBK" w:cs="方正黑体_GBK"/>
                <w:b/>
                <w:i w:val="0"/>
                <w:color w:val="000000"/>
                <w:kern w:val="0"/>
                <w:sz w:val="24"/>
                <w:szCs w:val="24"/>
                <w:u w:val="none"/>
                <w:lang w:val="en-US" w:eastAsia="zh-CN" w:bidi="ar"/>
              </w:rPr>
              <w:t>整改情况</w:t>
            </w:r>
          </w:p>
        </w:tc>
        <w:tc>
          <w:tcPr>
            <w:tcW w:w="4569"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黑体_GBK" w:hAnsi="Times New Roman" w:eastAsia="方正黑体_GBK" w:cs="Lucida Sans"/>
                <w:b/>
                <w:sz w:val="24"/>
                <w:szCs w:val="32"/>
              </w:rPr>
            </w:pPr>
            <w:r>
              <w:rPr>
                <w:rStyle w:val="4"/>
                <w:lang w:val="en-US" w:eastAsia="zh-CN" w:bidi="ar"/>
              </w:rPr>
              <w:t>会  签</w:t>
            </w:r>
          </w:p>
        </w:tc>
      </w:tr>
      <w:tr>
        <w:tblPrEx>
          <w:tblLayout w:type="fixed"/>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黑体_GBK" w:hAnsi="Times New Roman" w:eastAsia="方正黑体_GBK" w:cs="Times New Roman"/>
                <w:b/>
                <w:bCs w:val="0"/>
                <w:sz w:val="24"/>
                <w:szCs w:val="32"/>
              </w:rPr>
            </w:pPr>
          </w:p>
        </w:tc>
        <w:tc>
          <w:tcPr>
            <w:tcW w:w="267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黑体_GBK" w:hAnsi="Times New Roman" w:eastAsia="方正黑体_GBK" w:cs="Times New Roman"/>
                <w:sz w:val="24"/>
                <w:szCs w:val="32"/>
              </w:rPr>
            </w:pPr>
          </w:p>
        </w:tc>
        <w:tc>
          <w:tcPr>
            <w:tcW w:w="63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黑体_GBK" w:hAnsi="Times New Roman" w:eastAsia="方正黑体_GBK" w:cs="Times New Roman"/>
                <w:sz w:val="24"/>
                <w:szCs w:val="32"/>
              </w:rPr>
            </w:pP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黑体_GBK" w:hAnsi="Times New Roman" w:eastAsia="方正黑体_GBK" w:cs="Lucida Sans"/>
                <w:b/>
                <w:sz w:val="21"/>
                <w:szCs w:val="24"/>
                <w:lang w:eastAsia="zh-CN"/>
              </w:rPr>
            </w:pPr>
            <w:r>
              <w:rPr>
                <w:rFonts w:hint="eastAsia" w:ascii="方正黑体_GBK" w:hAnsi="方正黑体_GBK" w:eastAsia="方正黑体_GBK" w:cs="方正黑体_GBK"/>
                <w:b/>
                <w:i w:val="0"/>
                <w:color w:val="000000"/>
                <w:kern w:val="0"/>
                <w:sz w:val="21"/>
                <w:szCs w:val="21"/>
                <w:u w:val="none"/>
                <w:lang w:val="en-US" w:eastAsia="zh-CN" w:bidi="ar"/>
              </w:rPr>
              <w:t>宣传部</w:t>
            </w: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黑体_GBK" w:hAnsi="Times New Roman" w:eastAsia="方正黑体_GBK" w:cs="Lucida Sans"/>
                <w:b/>
                <w:sz w:val="21"/>
                <w:szCs w:val="24"/>
                <w:lang w:eastAsia="zh-CN"/>
              </w:rPr>
            </w:pPr>
            <w:r>
              <w:rPr>
                <w:rFonts w:hint="eastAsia" w:ascii="方正黑体_GBK" w:hAnsi="方正黑体_GBK" w:eastAsia="方正黑体_GBK" w:cs="方正黑体_GBK"/>
                <w:b/>
                <w:i w:val="0"/>
                <w:color w:val="000000"/>
                <w:kern w:val="0"/>
                <w:sz w:val="21"/>
                <w:szCs w:val="21"/>
                <w:u w:val="none"/>
                <w:lang w:val="en-US" w:eastAsia="zh-CN" w:bidi="ar"/>
              </w:rPr>
              <w:t>组织部</w:t>
            </w: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黑体_GBK" w:hAnsi="Times New Roman" w:eastAsia="方正黑体_GBK" w:cs="Lucida Sans"/>
                <w:b/>
                <w:sz w:val="21"/>
                <w:szCs w:val="24"/>
                <w:lang w:eastAsia="zh-CN"/>
              </w:rPr>
            </w:pPr>
            <w:r>
              <w:rPr>
                <w:rFonts w:hint="eastAsia" w:ascii="方正黑体_GBK" w:hAnsi="方正黑体_GBK" w:eastAsia="方正黑体_GBK" w:cs="方正黑体_GBK"/>
                <w:b/>
                <w:i w:val="0"/>
                <w:color w:val="000000"/>
                <w:kern w:val="0"/>
                <w:sz w:val="21"/>
                <w:szCs w:val="21"/>
                <w:u w:val="none"/>
                <w:lang w:val="en-US" w:eastAsia="zh-CN" w:bidi="ar"/>
              </w:rPr>
              <w:t>巡察机构</w:t>
            </w: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黑体_GBK" w:hAnsi="Times New Roman" w:eastAsia="方正黑体_GBK" w:cs="Lucida Sans"/>
                <w:b/>
                <w:sz w:val="21"/>
                <w:szCs w:val="24"/>
                <w:lang w:eastAsia="zh-CN"/>
              </w:rPr>
            </w:pPr>
            <w:r>
              <w:rPr>
                <w:rFonts w:hint="eastAsia" w:ascii="方正黑体_GBK" w:hAnsi="方正黑体_GBK" w:eastAsia="方正黑体_GBK" w:cs="方正黑体_GBK"/>
                <w:b/>
                <w:i w:val="0"/>
                <w:color w:val="000000"/>
                <w:kern w:val="0"/>
                <w:sz w:val="21"/>
                <w:szCs w:val="21"/>
                <w:u w:val="none"/>
                <w:lang w:val="en-US" w:eastAsia="zh-CN" w:bidi="ar"/>
              </w:rPr>
              <w:t>纪委监委</w:t>
            </w: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rPr>
            </w:pPr>
            <w:r>
              <w:rPr>
                <w:rFonts w:hint="eastAsia" w:ascii="等线" w:hAnsi="等线" w:eastAsia="等线" w:cs="等线"/>
                <w:b/>
                <w:bCs w:val="0"/>
                <w:i w:val="0"/>
                <w:color w:val="000000"/>
                <w:kern w:val="0"/>
                <w:sz w:val="22"/>
                <w:szCs w:val="22"/>
                <w:u w:val="none"/>
                <w:lang w:val="en-US" w:eastAsia="zh-CN" w:bidi="ar"/>
              </w:rPr>
              <w:t>1</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举报箱设置未避开监控。</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已完成。一是于2025年4月14日将监控拆除。二是完成举报相关监控覆盖情况全面检查与优化，确保不再发生此类问题。进一步健全举报渠道安全保密机制，严格落实保密举措，有效保障了举报人合法权益，提升了举报工作的公信力与群众认可度。</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2</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会议用餐超标且违规饮酒。2024年8月召开党员大会，工作餐超标准报销1110元，且菜单中有啤酒7瓶35元，稻花香两瓶30元。</w:t>
            </w:r>
          </w:p>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组织生活有偿化。2021年至2022年违规发放党员会议补助共计8270元。</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已完成。一是镇纪委对超标准报销和工作餐饮酒相关责任人进行谈话并对相关责任人进行批评教育</w:t>
            </w:r>
            <w:bookmarkStart w:id="0" w:name="_GoBack"/>
            <w:bookmarkEnd w:id="0"/>
            <w:r>
              <w:rPr>
                <w:rFonts w:hint="eastAsia" w:ascii="仿宋_GB2312" w:hAnsi="等线" w:eastAsia="仿宋_GB2312" w:cs="仿宋_GB2312"/>
                <w:i w:val="0"/>
                <w:color w:val="000000"/>
                <w:kern w:val="0"/>
                <w:sz w:val="22"/>
                <w:szCs w:val="22"/>
                <w:u w:val="none"/>
                <w:lang w:val="en-US" w:eastAsia="zh-CN" w:bidi="ar"/>
              </w:rPr>
              <w:t>，相关费用退缴财政非税账户于2025年8月20日退费，人员为王迈宏等31名党员群众。二是明确使用范围与审批流程，全面停止并清退党员大会误工补贴，确保经费规范使用。</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Times New Roman"/>
                <w:b/>
                <w:bCs w:val="0"/>
                <w:sz w:val="24"/>
                <w:szCs w:val="32"/>
                <w:lang w:eastAsia="zh-CN"/>
              </w:rPr>
            </w:pPr>
            <w:r>
              <w:rPr>
                <w:rFonts w:hint="eastAsia" w:ascii="等线" w:hAnsi="等线" w:eastAsia="等线" w:cs="等线"/>
                <w:b/>
                <w:bCs w:val="0"/>
                <w:i w:val="0"/>
                <w:color w:val="000000"/>
                <w:kern w:val="0"/>
                <w:sz w:val="22"/>
                <w:szCs w:val="22"/>
                <w:u w:val="none"/>
                <w:lang w:val="en-US" w:eastAsia="zh-CN" w:bidi="ar"/>
              </w:rPr>
              <w:t>3</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sz w:val="22"/>
                <w:szCs w:val="22"/>
              </w:rPr>
            </w:pPr>
            <w:r>
              <w:rPr>
                <w:rFonts w:hint="eastAsia" w:ascii="仿宋_GB2312" w:hAnsi="等线" w:eastAsia="仿宋_GB2312" w:cs="仿宋_GB2312"/>
                <w:i w:val="0"/>
                <w:color w:val="000000"/>
                <w:kern w:val="0"/>
                <w:sz w:val="22"/>
                <w:szCs w:val="22"/>
                <w:u w:val="none"/>
                <w:lang w:val="en-US" w:eastAsia="zh-CN" w:bidi="ar"/>
              </w:rPr>
              <w:t>2021年至2024年违规发放离任社区干部补助共计2.1万余元。</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rPr>
            </w:pPr>
            <w:r>
              <w:rPr>
                <w:rFonts w:hint="eastAsia" w:ascii="仿宋_GB2312" w:hAnsi="等线" w:eastAsia="仿宋_GB2312" w:cs="仿宋_GB2312"/>
                <w:i w:val="0"/>
                <w:color w:val="000000"/>
                <w:kern w:val="0"/>
                <w:sz w:val="22"/>
                <w:szCs w:val="22"/>
                <w:u w:val="none"/>
                <w:lang w:val="en-US" w:eastAsia="zh-CN" w:bidi="ar"/>
              </w:rPr>
              <w:t>已完成。已立即停发离任社区干部补助，并完成历史发放情况核查，建立长效监管机制，确保今后不再违规发放。</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24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4</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1万以上的现金支出较为普遍，根据2023年现金明细账记录，2023年现金累计支出63.54万元。如2023年3月社区沟渠梳洗挖机工资18200元，发票有对应销售方对公账户，但最终由雷宇田个人现金收取。</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已完成。已组织专题培训，明确大额支付一律采用电子支付，资金支付准确性与时效性显著提升。</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225"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5</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2021年3月党员大会用餐餐费1390元，无人数，无发票，餐单无单价。</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一是补充用餐人数：阳建国、王德辉、张其、吴建平等35名用餐人员名单，在沱江小院开出用餐明细及发票，菜单明细为黄焖鸡、农家小炒肉、蒜香鸡脚等。二是已制定党员大会用餐管理细则，明确需事前审批报备菜单与人数，报销时须提供完整凭证，用餐费用已实现规范管理。</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43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6</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平台建设资金支出无审核流程，2021年3月平台建设资金支出4268元，发票无人经手证明审核同意支出。</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已完成。已补充并完善专项资金审核手续，建立标准化管理流程，明确各环节责任，确保资金审批与使用全程合规、可追溯。</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84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7</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党务公开栏更新不及时，支部年度计划、党日活动未及时更新，党收缴情况未公示，“其他”板块内容为仍2023年开展远程教育学习的通知。</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一是将支部年度计划、党日活动最新情况的张贴更新，公示党员党费收缴明细，并更新远程教育学习。二是已建立“定期更新”机制，设专人负责并按规更新、公示，每月末由书记检查时效性，确保信息及时准确公开。</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46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8</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2024年9月22日，茅草街社区党支部发展对象推优大会唱票人、计票人、监票人未签字。</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一是已向党员调查会议真实情况，内容真实。已按要求补齐签名，加盖支部印章。唱票人：张涛，计票人：王德辉，监票人：张宇恒、徐文祥已补签字。二是已组织开展发展党员专题培训，系统讲解流程规范与常见问题，覆盖基层党务工作者。同时今后将举一反三，全面排查整改党员教育管理、档案规范等同类问题，修订完善工作细则，建立长效机制，确保发展党员工作严格规范。</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08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jc w:val="center"/>
              <w:textAlignment w:val="center"/>
              <w:rPr>
                <w:rFonts w:hint="eastAsia" w:ascii="方正仿宋_GBK" w:hAnsi="Times New Roman" w:eastAsia="方正仿宋_GBK" w:cs="Lucida Sans"/>
                <w:b/>
                <w:bCs w:val="0"/>
                <w:sz w:val="24"/>
                <w:szCs w:val="32"/>
                <w:lang w:val="en-US" w:eastAsia="zh-CN"/>
              </w:rPr>
            </w:pPr>
            <w:r>
              <w:rPr>
                <w:rFonts w:hint="eastAsia" w:ascii="等线" w:hAnsi="等线" w:eastAsia="等线" w:cs="等线"/>
                <w:b/>
                <w:bCs w:val="0"/>
                <w:i w:val="0"/>
                <w:color w:val="000000"/>
                <w:kern w:val="0"/>
                <w:sz w:val="22"/>
                <w:szCs w:val="22"/>
                <w:u w:val="none"/>
                <w:lang w:val="en-US" w:eastAsia="zh-CN" w:bidi="ar"/>
              </w:rPr>
              <w:t>9</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2020年度组织生活会和民主评议党员谈心谈话记录未填写时间，谈话对象未写职务，谈心谈话对象较少。</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等线" w:eastAsia="仿宋_GB2312" w:cs="仿宋_GB2312"/>
                <w:i w:val="0"/>
                <w:color w:val="000000"/>
                <w:kern w:val="0"/>
                <w:sz w:val="22"/>
                <w:szCs w:val="22"/>
                <w:u w:val="none"/>
                <w:lang w:val="en-US" w:eastAsia="zh-CN" w:bidi="ar"/>
              </w:rPr>
              <w:t>已完成。一是补充完善谈心谈话记录时间2021年3月25日填上补充号对象职务。二是已组织业务学习，谈心谈话定期开展，组织生活记录专人专簿规范管理，党员日常教育质量显著提升。</w:t>
            </w:r>
          </w:p>
        </w:tc>
        <w:tc>
          <w:tcPr>
            <w:tcW w:w="127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0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2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8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bl>
    <w:p>
      <w:pPr>
        <w:rPr>
          <w:rFonts w:hint="eastAsia" w:eastAsiaTheme="minorEastAsia"/>
          <w:lang w:eastAsia="zh-CN"/>
        </w:rPr>
      </w:pPr>
      <w:r>
        <w:rPr>
          <w:rFonts w:hint="eastAsia"/>
          <w:lang w:eastAsia="zh-CN"/>
        </w:rPr>
        <w:t>注：此表作为整改报告附件</w:t>
      </w:r>
    </w:p>
    <w:p/>
    <w:sectPr>
      <w:pgSz w:w="16838" w:h="11906" w:orient="landscape"/>
      <w:pgMar w:top="1531" w:right="1531" w:bottom="1531" w:left="153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F43FF"/>
    <w:rsid w:val="03294D69"/>
    <w:rsid w:val="0D790367"/>
    <w:rsid w:val="0F0C6429"/>
    <w:rsid w:val="15682F21"/>
    <w:rsid w:val="177B1C82"/>
    <w:rsid w:val="1BB73E71"/>
    <w:rsid w:val="1F8B46D2"/>
    <w:rsid w:val="218E4F44"/>
    <w:rsid w:val="255313C0"/>
    <w:rsid w:val="2714336B"/>
    <w:rsid w:val="2CC3300F"/>
    <w:rsid w:val="31260926"/>
    <w:rsid w:val="38B71C05"/>
    <w:rsid w:val="41296019"/>
    <w:rsid w:val="465E368F"/>
    <w:rsid w:val="4B812E56"/>
    <w:rsid w:val="50F44145"/>
    <w:rsid w:val="51C06DA4"/>
    <w:rsid w:val="54CF43FF"/>
    <w:rsid w:val="69216978"/>
    <w:rsid w:val="7E47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方正黑体_GBK" w:hAnsi="方正黑体_GBK" w:eastAsia="方正黑体_GBK" w:cs="方正黑体_GBK"/>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2025-11-27T00:27:00Z</dcterms:created>
  <dc:creator>李秉昌</dc:creator>
  <cp:lastModifiedBy>李秉昌</cp:lastModifiedBy>
  <dcterms:modified xsi:type="dcterms:W3CDTF">2026-02-10T13:00:24Z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