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u w:val="none"/>
          <w:lang w:val="en-US" w:eastAsia="zh-CN"/>
        </w:rPr>
        <w:t>同春村</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val="en-US" w:eastAsia="zh-CN"/>
        </w:rPr>
        <w:t>情况</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pPr>
        <w:widowControl w:val="0"/>
        <w:ind w:left="1680" w:leftChars="800"/>
        <w:jc w:val="both"/>
        <w:rPr>
          <w:rFonts w:ascii="Times New Roman" w:hAnsi="Times New Roman" w:eastAsia="仿宋_GB2312" w:cs="Times New Roman"/>
          <w:kern w:val="2"/>
          <w:sz w:val="40"/>
          <w:szCs w:val="40"/>
          <w:lang w:val="en-US" w:eastAsia="zh-CN" w:bidi="ar-SA"/>
        </w:rPr>
      </w:pPr>
    </w:p>
    <w:p>
      <w:pPr>
        <w:widowControl w:val="0"/>
        <w:ind w:left="0" w:leftChars="0"/>
        <w:jc w:val="both"/>
        <w:rPr>
          <w:rFonts w:hint="eastAsia"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pPr>
        <w:widowControl w:val="0"/>
        <w:ind w:left="0" w:leftChars="0"/>
        <w:jc w:val="both"/>
        <w:rPr>
          <w:rFonts w:hint="eastAsia"/>
          <w:b w:val="0"/>
          <w:bCs w:val="0"/>
          <w:sz w:val="24"/>
          <w:szCs w:val="32"/>
          <w:lang w:val="en-US" w:eastAsia="zh-CN"/>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4113" w:type="dxa"/>
        <w:jc w:val="center"/>
        <w:tblInd w:w="0" w:type="dxa"/>
        <w:tblLayout w:type="fixed"/>
        <w:tblCellMar>
          <w:top w:w="0" w:type="dxa"/>
          <w:left w:w="108" w:type="dxa"/>
          <w:bottom w:w="0" w:type="dxa"/>
          <w:right w:w="108" w:type="dxa"/>
        </w:tblCellMar>
      </w:tblPr>
      <w:tblGrid>
        <w:gridCol w:w="537"/>
        <w:gridCol w:w="3608"/>
        <w:gridCol w:w="5399"/>
        <w:gridCol w:w="1173"/>
        <w:gridCol w:w="1088"/>
        <w:gridCol w:w="1136"/>
        <w:gridCol w:w="1172"/>
      </w:tblGrid>
      <w:tr>
        <w:tblPrEx>
          <w:tblLayout w:type="fixed"/>
          <w:tblCellMar>
            <w:top w:w="0" w:type="dxa"/>
            <w:left w:w="108" w:type="dxa"/>
            <w:bottom w:w="0" w:type="dxa"/>
            <w:right w:w="108" w:type="dxa"/>
          </w:tblCellMar>
        </w:tblPrEx>
        <w:trPr>
          <w:trHeight w:val="38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60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具体问题</w:t>
            </w:r>
          </w:p>
        </w:tc>
        <w:tc>
          <w:tcPr>
            <w:tcW w:w="5399"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整改情况</w:t>
            </w:r>
          </w:p>
        </w:tc>
        <w:tc>
          <w:tcPr>
            <w:tcW w:w="456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会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签</w:t>
            </w:r>
          </w:p>
        </w:tc>
      </w:tr>
      <w:tr>
        <w:tblPrEx>
          <w:tblLayout w:type="fixed"/>
          <w:tblCellMar>
            <w:top w:w="0" w:type="dxa"/>
            <w:left w:w="108" w:type="dxa"/>
            <w:bottom w:w="0" w:type="dxa"/>
            <w:right w:w="108" w:type="dxa"/>
          </w:tblCellMar>
        </w:tblPrEx>
        <w:trPr>
          <w:trHeight w:val="9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360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rPr>
                <w:rFonts w:hint="eastAsia" w:ascii="仿宋_GB2312" w:hAnsi="仿宋_GB2312" w:eastAsia="仿宋_GB2312" w:cs="仿宋_GB2312"/>
                <w:b/>
                <w:bCs/>
                <w:sz w:val="22"/>
                <w:szCs w:val="22"/>
              </w:rPr>
            </w:pPr>
          </w:p>
        </w:tc>
        <w:tc>
          <w:tcPr>
            <w:tcW w:w="5399"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rPr>
                <w:rFonts w:hint="eastAsia" w:ascii="仿宋_GB2312" w:hAnsi="仿宋_GB2312" w:eastAsia="仿宋_GB2312" w:cs="仿宋_GB2312"/>
                <w:b/>
                <w:bCs/>
                <w:sz w:val="22"/>
                <w:szCs w:val="22"/>
              </w:rPr>
            </w:pP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宣传部</w:t>
            </w: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组织部</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巡察机构</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rPr>
              <w:t>纪委监委</w:t>
            </w:r>
          </w:p>
        </w:tc>
      </w:tr>
      <w:tr>
        <w:tblPrEx>
          <w:tblLayout w:type="fixed"/>
          <w:tblCellMar>
            <w:top w:w="0" w:type="dxa"/>
            <w:left w:w="108" w:type="dxa"/>
            <w:bottom w:w="0" w:type="dxa"/>
            <w:right w:w="108" w:type="dxa"/>
          </w:tblCellMar>
        </w:tblPrEx>
        <w:trPr>
          <w:trHeight w:val="1994"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eastAsia"/>
                <w:b/>
                <w:bCs/>
              </w:rPr>
            </w:pPr>
            <w:r>
              <w:rPr>
                <w:rFonts w:hint="eastAsia"/>
                <w:b/>
                <w:bCs/>
              </w:rPr>
              <w:t>1</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“村村响”无法正常播放。</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rPr>
              <w:t>针对“村村响”无法正常播放问题，已全面排查设备故障、信号中断等隐患，完成受损设备维修更换与线路优化，同步建立日常巡检机制。</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目前所有“村村响”设备均恢复正常播放，音质清晰、覆盖全面，确保政策宣传、应急通知等功能稳定运行。</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val="0"/>
                <w:bCs w:val="0"/>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val="0"/>
                <w:bCs w:val="0"/>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val="0"/>
                <w:bCs w:val="0"/>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val="0"/>
                <w:bCs w:val="0"/>
                <w:sz w:val="24"/>
                <w:szCs w:val="32"/>
              </w:rPr>
            </w:pPr>
          </w:p>
        </w:tc>
      </w:tr>
      <w:tr>
        <w:tblPrEx>
          <w:tblLayout w:type="fixed"/>
          <w:tblCellMar>
            <w:top w:w="0" w:type="dxa"/>
            <w:left w:w="108" w:type="dxa"/>
            <w:bottom w:w="0" w:type="dxa"/>
            <w:right w:w="108" w:type="dxa"/>
          </w:tblCellMar>
        </w:tblPrEx>
        <w:trPr>
          <w:trHeight w:val="2124"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eastAsia"/>
                <w:b/>
                <w:bCs/>
              </w:rPr>
            </w:pPr>
            <w:r>
              <w:rPr>
                <w:rFonts w:hint="eastAsia"/>
                <w:b/>
                <w:bCs/>
              </w:rPr>
              <w:t>2</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国旗破损严重并褪色;党务公开栏内党徽不规范。</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rPr>
              <w:t>针对国旗破损褪色、党务公开栏党徽不规范问题，已立即更换崭新合规国旗，重新制作并规范张贴党徽。</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同时建立定期检查机制，明确</w:t>
            </w:r>
            <w:r>
              <w:rPr>
                <w:rFonts w:hint="eastAsia" w:ascii="仿宋_GB2312" w:hAnsi="仿宋_GB2312" w:eastAsia="仿宋_GB2312" w:cs="仿宋_GB2312"/>
                <w:b w:val="0"/>
                <w:bCs w:val="0"/>
                <w:sz w:val="22"/>
                <w:szCs w:val="22"/>
                <w:lang w:val="en-US" w:eastAsia="zh-CN"/>
              </w:rPr>
              <w:t>党建专干</w:t>
            </w:r>
            <w:r>
              <w:rPr>
                <w:rFonts w:hint="eastAsia" w:ascii="仿宋_GB2312" w:hAnsi="仿宋_GB2312" w:eastAsia="仿宋_GB2312" w:cs="仿宋_GB2312"/>
                <w:b w:val="0"/>
                <w:bCs w:val="0"/>
                <w:sz w:val="22"/>
                <w:szCs w:val="22"/>
              </w:rPr>
              <w:t>负责日常维护，确保国旗完好、党徽规范，维护好党组织形象与庄严氛围。</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332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eastAsia" w:eastAsiaTheme="minorEastAsia"/>
                <w:b/>
                <w:bCs/>
                <w:lang w:val="en-US" w:eastAsia="zh-CN"/>
              </w:rPr>
            </w:pPr>
            <w:r>
              <w:rPr>
                <w:rFonts w:hint="eastAsia"/>
                <w:b/>
                <w:bCs/>
                <w:lang w:val="en-US" w:eastAsia="zh-CN"/>
              </w:rPr>
              <w:t>3</w:t>
            </w:r>
          </w:p>
        </w:tc>
        <w:tc>
          <w:tcPr>
            <w:tcW w:w="360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2022年6月付人居环境“六个一”工程项目款(乡村振兴资金)25万元，2022年12月现金支付涵闸建设专项资金(财政专项资金)22.6万元，两笔支出均超过20万元，均无财评、工程预决算。</w:t>
            </w:r>
          </w:p>
          <w:p>
            <w:pPr>
              <w:keepNext w:val="0"/>
              <w:keepLines w:val="0"/>
              <w:widowControl/>
              <w:suppressLineNumbers w:val="0"/>
              <w:ind w:firstLine="440" w:firstLineChars="20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b w:val="0"/>
                <w:bCs w:val="0"/>
                <w:sz w:val="22"/>
                <w:szCs w:val="22"/>
                <w:lang w:val="en-US" w:eastAsia="zh-CN"/>
              </w:rPr>
              <w:t>2024年6月付7组涵闸建设支出4万元，属于基础设施建设，未预留质保金。</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已完成。一是已</w:t>
            </w:r>
            <w:r>
              <w:rPr>
                <w:rFonts w:hint="eastAsia" w:ascii="仿宋_GB2312" w:hAnsi="仿宋_GB2312" w:eastAsia="仿宋_GB2312" w:cs="仿宋_GB2312"/>
                <w:b w:val="0"/>
                <w:bCs w:val="0"/>
                <w:sz w:val="22"/>
                <w:szCs w:val="22"/>
              </w:rPr>
              <w:t>补做2022年两笔超20万元项目财评及工程预决算，规范资金支出流程</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针对同春村七组涵闸建设质保金管理问题，7月3日，按约定从承包人工程款中提取3%质保金，全额纳入村财务公账统一管理，规范资金监管流程，确保工程质量售后有保障，切实维护村集体利益。</w:t>
            </w:r>
            <w:r>
              <w:rPr>
                <w:rFonts w:hint="eastAsia" w:ascii="仿宋_GB2312" w:hAnsi="仿宋_GB2312" w:eastAsia="仿宋_GB2312" w:cs="仿宋_GB2312"/>
                <w:b w:val="0"/>
                <w:bCs w:val="0"/>
                <w:sz w:val="22"/>
                <w:szCs w:val="22"/>
                <w:lang w:eastAsia="zh-CN"/>
              </w:rPr>
              <w:t>三是</w:t>
            </w:r>
            <w:r>
              <w:rPr>
                <w:rFonts w:hint="eastAsia" w:ascii="仿宋_GB2312" w:hAnsi="仿宋_GB2312" w:eastAsia="仿宋_GB2312" w:cs="仿宋_GB2312"/>
                <w:b w:val="0"/>
                <w:bCs w:val="0"/>
                <w:sz w:val="22"/>
                <w:szCs w:val="22"/>
              </w:rPr>
              <w:t>同步建立项目资金支出审核机制，确保基建类支出全流程合规。</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2752"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default" w:eastAsiaTheme="minorEastAsia"/>
                <w:b/>
                <w:bCs/>
                <w:lang w:val="en-US" w:eastAsia="zh-CN"/>
              </w:rPr>
            </w:pPr>
            <w:r>
              <w:rPr>
                <w:rFonts w:hint="eastAsia"/>
                <w:b/>
                <w:bCs/>
                <w:lang w:val="en-US" w:eastAsia="zh-CN"/>
              </w:rPr>
              <w:t>4</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2024年6月同春村发放民政救助资金，其中杨春华2000元，陈胜2000元，管荣华2000元，肖超良1500元，曹明生2000元，阳喜平1500元，该六人均承包村内多项工程，不符合民政救助发放标准，涉及资金1.1万元。</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rPr>
              <w:t>针对同春村2024年6月违规向6名承包村内工程人员发放民政救助资金1.1万元问题，已全额追回违规资金并上缴。</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核查完善救助对象审核机制，严格对照标准筛查，杜绝不符合条件人员纳入救助范围，确保民政资金发放规范合规</w:t>
            </w:r>
            <w:r>
              <w:rPr>
                <w:rFonts w:hint="eastAsia" w:ascii="仿宋_GB2312" w:hAnsi="仿宋_GB2312" w:eastAsia="仿宋_GB2312" w:cs="仿宋_GB2312"/>
                <w:b w:val="0"/>
                <w:bCs w:val="0"/>
                <w:sz w:val="22"/>
                <w:szCs w:val="22"/>
                <w:lang w:eastAsia="zh-CN"/>
              </w:rPr>
              <w:t>。</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277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default" w:eastAsiaTheme="minorEastAsia"/>
                <w:b/>
                <w:bCs/>
                <w:lang w:val="en-US" w:eastAsia="zh-CN"/>
              </w:rPr>
            </w:pPr>
            <w:r>
              <w:rPr>
                <w:rFonts w:hint="eastAsia"/>
                <w:b/>
                <w:bCs/>
                <w:lang w:val="en-US" w:eastAsia="zh-CN"/>
              </w:rPr>
              <w:t>5</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2023年3月收社会捐赠资金3万元，水稻种植土地流转资金6.7万余元，执法大队拨款1万元，抗旱资金2万元，共计12.7万余元，均为现金收取入账。</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已完成。</w:t>
            </w:r>
            <w:r>
              <w:rPr>
                <w:rFonts w:hint="eastAsia" w:ascii="仿宋_GB2312" w:hAnsi="仿宋_GB2312" w:eastAsia="仿宋_GB2312" w:cs="仿宋_GB2312"/>
                <w:b w:val="0"/>
                <w:bCs w:val="0"/>
                <w:sz w:val="22"/>
                <w:szCs w:val="22"/>
              </w:rPr>
              <w:t>针对2023年3月12.7万余元资金（含社会捐赠、土地流转等）均以现金收取入账问题，已全面整改：规范资金收缴方式，优先采用银行转账等非现金形式；完善现金管理制度，明确大额资金收缴流程，同步核查资金入账合规性，确保各类款项收取、核算全环节规范，防范资金管理风险。</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2864"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default" w:eastAsiaTheme="minorEastAsia"/>
                <w:b/>
                <w:bCs/>
                <w:lang w:val="en-US" w:eastAsia="zh-CN"/>
              </w:rPr>
            </w:pPr>
            <w:r>
              <w:rPr>
                <w:rFonts w:hint="eastAsia"/>
                <w:b/>
                <w:bCs/>
                <w:lang w:val="en-US" w:eastAsia="zh-CN"/>
              </w:rPr>
              <w:t>6</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党务公开栏内容更新不及时，除支部简介、换届资料、工作制度、其他制度板块外其余板块内容未更新;党务公开栏、村务公开栏面板有破损;村级财务公示均为2022年。</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rPr>
              <w:t>针对党务村务公开问题已完成整改：更新党务公开栏未及时更新板块内容，修复破损公开栏面板，</w:t>
            </w:r>
            <w:r>
              <w:rPr>
                <w:rFonts w:hint="eastAsia" w:ascii="仿宋_GB2312" w:hAnsi="仿宋_GB2312" w:eastAsia="仿宋_GB2312" w:cs="仿宋_GB2312"/>
                <w:b w:val="0"/>
                <w:bCs w:val="0"/>
                <w:sz w:val="22"/>
                <w:szCs w:val="22"/>
                <w:lang w:eastAsia="zh-CN"/>
              </w:rPr>
              <w:t>已</w:t>
            </w:r>
            <w:r>
              <w:rPr>
                <w:rFonts w:hint="eastAsia" w:ascii="仿宋_GB2312" w:hAnsi="仿宋_GB2312" w:eastAsia="仿宋_GB2312" w:cs="仿宋_GB2312"/>
                <w:b w:val="0"/>
                <w:bCs w:val="0"/>
                <w:sz w:val="22"/>
                <w:szCs w:val="22"/>
              </w:rPr>
              <w:t>补全</w:t>
            </w:r>
            <w:r>
              <w:rPr>
                <w:rFonts w:hint="eastAsia" w:ascii="仿宋_GB2312" w:hAnsi="仿宋_GB2312" w:eastAsia="仿宋_GB2312" w:cs="仿宋_GB2312"/>
                <w:b w:val="0"/>
                <w:bCs w:val="0"/>
                <w:sz w:val="22"/>
                <w:szCs w:val="22"/>
                <w:lang w:val="en-US" w:eastAsia="zh-CN"/>
              </w:rPr>
              <w:t>2023年及2024</w:t>
            </w:r>
            <w:r>
              <w:rPr>
                <w:rFonts w:hint="eastAsia" w:ascii="仿宋_GB2312" w:hAnsi="仿宋_GB2312" w:eastAsia="仿宋_GB2312" w:cs="仿宋_GB2312"/>
                <w:b w:val="0"/>
                <w:bCs w:val="0"/>
                <w:sz w:val="22"/>
                <w:szCs w:val="22"/>
              </w:rPr>
              <w:t>年</w:t>
            </w:r>
            <w:r>
              <w:rPr>
                <w:rFonts w:hint="eastAsia" w:ascii="仿宋_GB2312" w:hAnsi="仿宋_GB2312" w:eastAsia="仿宋_GB2312" w:cs="仿宋_GB2312"/>
                <w:b w:val="0"/>
                <w:bCs w:val="0"/>
                <w:sz w:val="22"/>
                <w:szCs w:val="22"/>
                <w:lang w:eastAsia="zh-CN"/>
              </w:rPr>
              <w:t>以来的</w:t>
            </w:r>
            <w:r>
              <w:rPr>
                <w:rFonts w:hint="eastAsia" w:ascii="仿宋_GB2312" w:hAnsi="仿宋_GB2312" w:eastAsia="仿宋_GB2312" w:cs="仿宋_GB2312"/>
                <w:b w:val="0"/>
                <w:bCs w:val="0"/>
                <w:sz w:val="22"/>
                <w:szCs w:val="22"/>
              </w:rPr>
              <w:t>村级财务公示信息。</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建立月度更新核查机制，确保公开内容及时、完整，公开载体完好，保障村民知情权。针对信息公开不规范问题，已完成整改并建立长效机制。</w:t>
            </w:r>
            <w:r>
              <w:rPr>
                <w:rFonts w:hint="eastAsia" w:ascii="仿宋_GB2312" w:hAnsi="仿宋_GB2312" w:eastAsia="仿宋_GB2312" w:cs="仿宋_GB2312"/>
                <w:b w:val="0"/>
                <w:bCs w:val="0"/>
                <w:sz w:val="22"/>
                <w:szCs w:val="22"/>
                <w:lang w:eastAsia="zh-CN"/>
              </w:rPr>
              <w:t>三是</w:t>
            </w:r>
            <w:r>
              <w:rPr>
                <w:rFonts w:hint="eastAsia" w:ascii="仿宋_GB2312" w:hAnsi="仿宋_GB2312" w:eastAsia="仿宋_GB2312" w:cs="仿宋_GB2312"/>
                <w:b w:val="0"/>
                <w:bCs w:val="0"/>
                <w:sz w:val="22"/>
                <w:szCs w:val="22"/>
              </w:rPr>
              <w:t>明确专人负责信息公开工作，严格落实党务、村务每月更新、财务每季度更新要求，定期核查公开栏状态</w:t>
            </w:r>
            <w:r>
              <w:rPr>
                <w:rFonts w:hint="eastAsia" w:ascii="仿宋_GB2312" w:hAnsi="仿宋_GB2312" w:eastAsia="仿宋_GB2312" w:cs="仿宋_GB2312"/>
                <w:b w:val="0"/>
                <w:bCs w:val="0"/>
                <w:sz w:val="22"/>
                <w:szCs w:val="22"/>
                <w:lang w:eastAsia="zh-CN"/>
              </w:rPr>
              <w:t>。</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1988"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default" w:eastAsiaTheme="minorEastAsia"/>
                <w:b/>
                <w:bCs/>
                <w:lang w:val="en-US" w:eastAsia="zh-CN"/>
              </w:rPr>
            </w:pPr>
            <w:r>
              <w:rPr>
                <w:rFonts w:hint="eastAsia"/>
                <w:b/>
                <w:bCs/>
                <w:lang w:val="en-US" w:eastAsia="zh-CN"/>
              </w:rPr>
              <w:t>7</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同春村同庆8组水渠中有大量垃圾、杂草等漂浮物。</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已完成。</w:t>
            </w:r>
            <w:r>
              <w:rPr>
                <w:rFonts w:hint="eastAsia" w:ascii="仿宋_GB2312" w:hAnsi="仿宋_GB2312" w:eastAsia="仿宋_GB2312" w:cs="仿宋_GB2312"/>
                <w:b w:val="0"/>
                <w:bCs w:val="0"/>
                <w:sz w:val="22"/>
                <w:szCs w:val="22"/>
              </w:rPr>
              <w:t>针对同春村同庆8组水渠存在大量垃圾、杂草漂浮物问题，已组织人员全面清理渠内漂浮物及淤泥，恢复水渠畅通。定期开展清理维护，确保水渠环境整洁，保障灌溉功能正常。</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1871"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eastAsia" w:eastAsiaTheme="minorEastAsia"/>
                <w:b/>
                <w:bCs/>
                <w:lang w:val="en-US" w:eastAsia="zh-CN"/>
              </w:rPr>
            </w:pPr>
            <w:r>
              <w:rPr>
                <w:rFonts w:hint="eastAsia"/>
                <w:b/>
                <w:bCs/>
                <w:lang w:val="en-US" w:eastAsia="zh-CN"/>
              </w:rPr>
              <w:t>8</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第一支部2023年党支部会议记录本，党总支2023年1月至9月会议记录，2022年述职评议资料遗失。</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lang w:val="en-US" w:eastAsia="zh-CN"/>
              </w:rPr>
              <w:t>对相关责任人进行批评教育，</w:t>
            </w:r>
            <w:r>
              <w:rPr>
                <w:rFonts w:hint="eastAsia" w:ascii="仿宋_GB2312" w:hAnsi="仿宋_GB2312" w:eastAsia="仿宋_GB2312" w:cs="仿宋_GB2312"/>
                <w:b w:val="0"/>
                <w:bCs w:val="0"/>
                <w:sz w:val="22"/>
                <w:szCs w:val="22"/>
              </w:rPr>
              <w:t>针对会议记录及述职评议资料遗失问题，已全力整改：通过查阅参会人员笔记、工作台账等，补全第一支部2023年党支部会议记录及党总支2023年1-9月会议记录；重新梳理2022年述职评议相关材料，完成资料补档。</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同时建立资料专人保管、定期归档机制，杜绝此类问题再次发生</w:t>
            </w:r>
            <w:r>
              <w:rPr>
                <w:rFonts w:hint="eastAsia" w:ascii="仿宋_GB2312" w:hAnsi="仿宋_GB2312" w:eastAsia="仿宋_GB2312" w:cs="仿宋_GB2312"/>
                <w:b w:val="0"/>
                <w:bCs w:val="0"/>
                <w:sz w:val="22"/>
                <w:szCs w:val="22"/>
                <w:lang w:eastAsia="zh-CN"/>
              </w:rPr>
              <w:t>。</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479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default" w:eastAsiaTheme="minorEastAsia"/>
                <w:b/>
                <w:bCs/>
                <w:lang w:val="en-US" w:eastAsia="zh-CN"/>
              </w:rPr>
            </w:pPr>
            <w:r>
              <w:rPr>
                <w:rFonts w:hint="eastAsia"/>
                <w:b/>
                <w:bCs/>
                <w:lang w:val="en-US" w:eastAsia="zh-CN"/>
              </w:rPr>
              <w:t>9</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bookmarkStart w:id="0" w:name="OLE_LINK1"/>
            <w:r>
              <w:rPr>
                <w:rFonts w:hint="eastAsia" w:ascii="仿宋_GB2312" w:hAnsi="仿宋_GB2312" w:eastAsia="仿宋_GB2312" w:cs="仿宋_GB2312"/>
                <w:b w:val="0"/>
                <w:bCs w:val="0"/>
                <w:sz w:val="22"/>
                <w:szCs w:val="22"/>
              </w:rPr>
              <w:t>第一党支部2023年度组织生活会会前书记与委员、委员与委员、与普通党员谈心谈话少，民主评议党员登记表未达到当年党员人数；2020年度和2021年度组织生活会、第二党支部2021年度组织生活会、第三党支部2023年组织生活会批评与自我批评未按照党员自评后其他党员依次对其进行批评的程序开展，仅支委对其他党员开展了互评，其他党员仅自评，且第三党支部2023年度组织生活会自我批评和互评大部分都是肯定其工作，未指出不足。</w:t>
            </w:r>
            <w:bookmarkEnd w:id="0"/>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已完成。一是对</w:t>
            </w:r>
            <w:r>
              <w:rPr>
                <w:rFonts w:hint="eastAsia" w:ascii="仿宋_GB2312" w:hAnsi="仿宋_GB2312" w:eastAsia="仿宋_GB2312" w:cs="仿宋_GB2312"/>
                <w:b w:val="0"/>
                <w:bCs w:val="0"/>
                <w:sz w:val="22"/>
                <w:szCs w:val="22"/>
              </w:rPr>
              <w:t>第一党支部补做2023年度会前谈心谈话</w:t>
            </w:r>
            <w:r>
              <w:rPr>
                <w:rFonts w:hint="eastAsia" w:ascii="仿宋_GB2312" w:hAnsi="仿宋_GB2312" w:eastAsia="仿宋_GB2312" w:cs="仿宋_GB2312"/>
                <w:b w:val="0"/>
                <w:bCs w:val="0"/>
                <w:sz w:val="22"/>
                <w:szCs w:val="22"/>
                <w:lang w:val="en-US" w:eastAsia="zh-CN"/>
              </w:rPr>
              <w:t>并完善</w:t>
            </w:r>
            <w:r>
              <w:rPr>
                <w:rFonts w:hint="eastAsia" w:ascii="仿宋_GB2312" w:hAnsi="仿宋_GB2312" w:eastAsia="仿宋_GB2312" w:cs="仿宋_GB2312"/>
                <w:b w:val="0"/>
                <w:bCs w:val="0"/>
                <w:sz w:val="22"/>
                <w:szCs w:val="22"/>
              </w:rPr>
              <w:t>记录，补全民主评议党员登记表</w:t>
            </w: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确保人数一致</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对2020-2021年及第三党支部2023年组织生活会，按“党员自评—其他党员互评”程序补全批评记录，补充指出不足的评议内容。</w:t>
            </w:r>
            <w:r>
              <w:rPr>
                <w:rFonts w:hint="eastAsia" w:ascii="仿宋_GB2312" w:hAnsi="仿宋_GB2312" w:eastAsia="仿宋_GB2312" w:cs="仿宋_GB2312"/>
                <w:b w:val="0"/>
                <w:bCs w:val="0"/>
                <w:sz w:val="22"/>
                <w:szCs w:val="22"/>
                <w:lang w:eastAsia="zh-CN"/>
              </w:rPr>
              <w:t>三是</w:t>
            </w:r>
            <w:r>
              <w:rPr>
                <w:rFonts w:hint="eastAsia" w:ascii="仿宋_GB2312" w:hAnsi="仿宋_GB2312" w:eastAsia="仿宋_GB2312" w:cs="仿宋_GB2312"/>
                <w:b w:val="0"/>
                <w:bCs w:val="0"/>
                <w:sz w:val="22"/>
                <w:szCs w:val="22"/>
              </w:rPr>
              <w:t>同步建立组织生活会流程核查机制，确保会议规范开展</w:t>
            </w:r>
            <w:r>
              <w:rPr>
                <w:rFonts w:hint="eastAsia" w:ascii="仿宋_GB2312" w:hAnsi="仿宋_GB2312" w:eastAsia="仿宋_GB2312" w:cs="仿宋_GB2312"/>
                <w:b w:val="0"/>
                <w:bCs w:val="0"/>
                <w:sz w:val="22"/>
                <w:szCs w:val="22"/>
                <w:lang w:eastAsia="zh-CN"/>
              </w:rPr>
              <w:t>。</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3165"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default" w:eastAsiaTheme="minorEastAsia"/>
                <w:b/>
                <w:bCs/>
                <w:lang w:val="en-US" w:eastAsia="zh-CN"/>
              </w:rPr>
            </w:pPr>
            <w:r>
              <w:rPr>
                <w:rFonts w:hint="eastAsia"/>
                <w:b/>
                <w:bCs/>
                <w:lang w:val="en-US" w:eastAsia="zh-CN"/>
              </w:rPr>
              <w:t>10</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第一党支部2021年3月22日、2021月3月23日、2021年7月1日发展党员会议记录党支部均未盖章，2022年12月28日接收李洁清同志为中共预备党员支部大会会议未落款及盖章，到会人员未签字；第二党支部2023年4月6日发展对象推优大会会议落款处未盖支部章，仅两名到会人员签字。</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已完成。一是核实党员大会情况，镇党建办干部通过走访参会党员，对照人员签到表等方式，核实会议真实性。二是开展党建业务培训，着重对发展党员知识进行讲解，对近年来党员档案进行全面排查，对同类问题整改到位，有效提升发展党员档案质量。</w:t>
            </w:r>
            <w:r>
              <w:rPr>
                <w:rFonts w:hint="eastAsia" w:ascii="仿宋_GB2312" w:hAnsi="仿宋_GB2312" w:eastAsia="仿宋_GB2312" w:cs="仿宋_GB2312"/>
                <w:i w:val="0"/>
                <w:iCs w:val="0"/>
                <w:caps w:val="0"/>
                <w:spacing w:val="0"/>
                <w:sz w:val="22"/>
                <w:szCs w:val="22"/>
                <w:shd w:val="clear" w:fill="FFFFFF"/>
              </w:rPr>
              <w:br w:type="textWrapping"/>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bookmarkStart w:id="1" w:name="_GoBack"/>
            <w:bookmarkEnd w:id="1"/>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r>
        <w:tblPrEx>
          <w:tblLayout w:type="fixed"/>
          <w:tblCellMar>
            <w:top w:w="0" w:type="dxa"/>
            <w:left w:w="108" w:type="dxa"/>
            <w:bottom w:w="0" w:type="dxa"/>
            <w:right w:w="108" w:type="dxa"/>
          </w:tblCellMar>
        </w:tblPrEx>
        <w:trPr>
          <w:trHeight w:val="239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hint="default" w:eastAsiaTheme="minorEastAsia"/>
                <w:b/>
                <w:bCs/>
                <w:lang w:val="en-US" w:eastAsia="zh-CN"/>
              </w:rPr>
            </w:pPr>
            <w:r>
              <w:rPr>
                <w:rFonts w:hint="eastAsia"/>
                <w:b/>
                <w:bCs/>
                <w:lang w:val="en-US" w:eastAsia="zh-CN"/>
              </w:rPr>
              <w:t>11</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村支两委成员对2024年开展的党纪学习教育基本概念不熟悉。</w:t>
            </w:r>
          </w:p>
        </w:tc>
        <w:tc>
          <w:tcPr>
            <w:tcW w:w="5399"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已完成。一是组织</w:t>
            </w:r>
            <w:r>
              <w:rPr>
                <w:rFonts w:hint="eastAsia" w:ascii="仿宋_GB2312" w:hAnsi="仿宋_GB2312" w:eastAsia="仿宋_GB2312" w:cs="仿宋_GB2312"/>
                <w:b w:val="0"/>
                <w:bCs w:val="0"/>
                <w:sz w:val="22"/>
                <w:szCs w:val="22"/>
              </w:rPr>
              <w:t>“集中领学+线上自学”模式，依托“三会一课”、主题党日开展专题学习，用“乡音土话” 解读核心概念，推送通俗解读视频和“每日一纪”内容。组织党纪知识测试和交流研讨，参与率、合格率均达100%。</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建立常态化学习机制，将党纪学习纳入日常必修，村支两委成员已熟练掌握基本概念，纪律意识和业务能力显著提升。</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rPr>
                <w:rFonts w:hint="eastAsia"/>
                <w:b w:val="0"/>
                <w:bCs w:val="0"/>
              </w:rPr>
            </w:pPr>
          </w:p>
        </w:tc>
      </w:tr>
    </w:tbl>
    <w:p>
      <w:pPr>
        <w:rPr>
          <w:rFonts w:hint="eastAsia" w:eastAsiaTheme="minorEastAsia"/>
          <w:lang w:eastAsia="zh-CN"/>
        </w:rPr>
      </w:pPr>
      <w:r>
        <w:rPr>
          <w:rFonts w:hint="eastAsia"/>
          <w:lang w:eastAsia="zh-CN"/>
        </w:rPr>
        <w:t>注：此表作为整改报告附件</w:t>
      </w:r>
    </w:p>
    <w:p/>
    <w:sectPr>
      <w:pgSz w:w="16838" w:h="11906" w:orient="landscape"/>
      <w:pgMar w:top="911" w:right="1531" w:bottom="458" w:left="1531"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F43FF"/>
    <w:rsid w:val="009E2EA5"/>
    <w:rsid w:val="177B1C82"/>
    <w:rsid w:val="1BB73E71"/>
    <w:rsid w:val="2D264B8E"/>
    <w:rsid w:val="35A67B6D"/>
    <w:rsid w:val="3F730771"/>
    <w:rsid w:val="4A7166D2"/>
    <w:rsid w:val="4D053AE6"/>
    <w:rsid w:val="54CF43FF"/>
    <w:rsid w:val="568402BE"/>
    <w:rsid w:val="56D0673F"/>
    <w:rsid w:val="5D5948AF"/>
    <w:rsid w:val="6BA358BB"/>
    <w:rsid w:val="6E6F50E1"/>
    <w:rsid w:val="760C2DF3"/>
    <w:rsid w:val="7A2720D8"/>
    <w:rsid w:val="7E4B5ED6"/>
    <w:rsid w:val="7F89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4</Pages>
  <Words>2143</Words>
  <Characters>2278</Characters>
  <Lines>0</Lines>
  <Paragraphs>0</Paragraphs>
  <TotalTime>14</TotalTime>
  <ScaleCrop>false</ScaleCrop>
  <LinksUpToDate>false</LinksUpToDate>
  <CharactersWithSpaces>2321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2025-11-27T00:27:00Z</dcterms:created>
  <dc:creator>李秉昌</dc:creator>
  <cp:lastModifiedBy>李秉昌</cp:lastModifiedBy>
  <dcterms:modified xsi:type="dcterms:W3CDTF">2026-02-10T09:27:48Z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eyJoZGlkIjoiN2I2OTM0ZThiZDQyNDc2MGIyMTEyNzNlM2YwOTU2YWYiLCJ1c2VySWQiOiIxMjc4Nzc3NTUzIn0=</vt:lpwstr>
  </property>
  <property fmtid="{D5CDD505-2E9C-101B-9397-08002B2CF9AE}" pid="4" name="ICV">
    <vt:lpwstr>1E1A1F9C837D4503B338D98DEEDB613C_12</vt:lpwstr>
  </property>
</Properties>
</file>