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b/>
          <w:bCs/>
          <w:spacing w:val="8"/>
          <w:sz w:val="48"/>
          <w:szCs w:val="48"/>
        </w:rPr>
      </w:pP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u w:val="none"/>
          <w:lang w:val="en-US" w:eastAsia="zh-CN"/>
        </w:rPr>
        <w:t>新尚村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eastAsia="zh-CN"/>
        </w:rPr>
        <w:t>县委巡察</w:t>
      </w:r>
      <w:r>
        <w:rPr>
          <w:rFonts w:ascii="方正小标宋_GBK" w:hAnsi="Times New Roman" w:eastAsia="方正小标宋_GBK" w:cs="Times New Roman"/>
          <w:b/>
          <w:bCs/>
          <w:spacing w:val="8"/>
          <w:sz w:val="48"/>
          <w:szCs w:val="48"/>
        </w:rPr>
        <w:t>反馈问题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</w:rPr>
        <w:t>整改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val="en-US" w:eastAsia="zh-CN"/>
        </w:rPr>
        <w:t>情况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eastAsia="zh-CN"/>
        </w:rPr>
        <w:t>联审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</w:rPr>
        <w:t>表</w:t>
      </w:r>
    </w:p>
    <w:p>
      <w:pPr>
        <w:widowControl w:val="0"/>
        <w:ind w:left="1680" w:leftChars="8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left="0" w:leftChars="0"/>
        <w:jc w:val="both"/>
        <w:rPr>
          <w:rFonts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 xml:space="preserve">被巡察党组织（加盖党组织公章）：   </w:t>
      </w:r>
    </w:p>
    <w:p>
      <w:pPr>
        <w:widowControl w:val="0"/>
        <w:ind w:left="0" w:leftChars="0"/>
        <w:jc w:val="both"/>
        <w:rPr>
          <w:rFonts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>党组织主要负责人签字：            派驻纪检组长/乡镇纪委书记签字：            填表时间：  年  月  日</w:t>
      </w:r>
    </w:p>
    <w:tbl>
      <w:tblPr>
        <w:tblStyle w:val="3"/>
        <w:tblW w:w="141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012"/>
        <w:gridCol w:w="5183"/>
        <w:gridCol w:w="985"/>
        <w:gridCol w:w="1088"/>
        <w:gridCol w:w="1136"/>
        <w:gridCol w:w="11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序号</w:t>
            </w:r>
          </w:p>
        </w:tc>
        <w:tc>
          <w:tcPr>
            <w:tcW w:w="40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具体问题</w:t>
            </w:r>
          </w:p>
        </w:tc>
        <w:tc>
          <w:tcPr>
            <w:tcW w:w="51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整改情况</w:t>
            </w:r>
          </w:p>
        </w:tc>
        <w:tc>
          <w:tcPr>
            <w:tcW w:w="43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 xml:space="preserve">会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40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51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宣传部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组织部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巡察机构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</w:rPr>
              <w:t>纪委监委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4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村部国旗边缘有破损未更换</w:t>
            </w:r>
          </w:p>
        </w:tc>
        <w:tc>
          <w:tcPr>
            <w:tcW w:w="5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更换破损的国旗，确定符合规定的标准尺寸和材质，确保悬挂规范、完好。二是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明确党建专干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每周对国旗悬挂情况进行检查，发现污损、破损、褪色等问题及时更换，维护国旗的尊严和严肃性。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4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2022年至2023年召开党员大会发放误工补贴共计1.504万元。</w:t>
            </w:r>
          </w:p>
        </w:tc>
        <w:tc>
          <w:tcPr>
            <w:tcW w:w="5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已完成。一是已收回误工补贴，存入村对公账户。并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对相关责任人进行问责。二是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已召开支委会，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明确党建活动经费的使用范围、标准和审批程序，严禁以任何名义向党员发放党员大会会议误工补贴。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2024年底账面在建工程84.6万余元未转为固定资产。</w:t>
            </w:r>
          </w:p>
        </w:tc>
        <w:tc>
          <w:tcPr>
            <w:tcW w:w="5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tabs>
                <w:tab w:val="left" w:pos="1143"/>
              </w:tabs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一是对于未登记入账的固定资产，立即进行入账操作。二是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10月8日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组织财务人员加强学习，提高专业素质和业务水平，确保能够熟练掌握哪些需要固定资产入账的相关知识和技能。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4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2024年3月支付公路建设硬化项目资金34.8万元，未进行项目手续、财评，工程承包方为个人，不具备项目资质。虚报工程款项。2023年12月入账人居环境整治资金7万元，为村委伪造虚假合同套取资金用于其他开支。</w:t>
            </w:r>
          </w:p>
        </w:tc>
        <w:tc>
          <w:tcPr>
            <w:tcW w:w="5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一是针对2024年3月公路建设硬化项目存在的未办手续财评、承包方无资质及虚报工程款问题，已按规定补齐项目手续与财评资料，完善项目全流程材料。二是针对2023年12月人居环境整治项目伪造虚假合同套取资金问题，已完成资金规范处置与账务整改。三是组织相关工作人员开展项目流程、财务规范等业务学习，确保项目手续、公示公开等环节落实到位。四是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对该事项经手工作人员进行严肃批评教育，强化纪律意识。后续将严格执行项目管理规定，规范资金使用，杜绝违规问题再次发生。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4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使用民政救助资金发放工资劳务费。2024年6月向不符合条件的19名对象发放民政救助资金共计3.39万元，用于支付该19名人员的工资或劳务费。</w:t>
            </w:r>
          </w:p>
        </w:tc>
        <w:tc>
          <w:tcPr>
            <w:tcW w:w="5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已完成。一是已收回19名对象资金，并存入村帐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，今后村将对资金使用进行严格把关。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加强业务学习，严格资金使用监管，执行专款专用。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4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党务公开栏内容更新不及时，阵地建设板块未公示;村级村务公示仅到2024年9月份。</w:t>
            </w:r>
          </w:p>
        </w:tc>
        <w:tc>
          <w:tcPr>
            <w:tcW w:w="5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党务公开栏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已更新，并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针对3个工作日内由村党组织宣传委员牵头，完成阵地建设板块内容的整理与公示，同步梳理其他需更新的党务信息，确保全部更新至最新状态。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完成2024年10月至当前月份的村务信息梳理，后续严格执行每月10日前公示上月村务情况的制度，由村务监督委员会每月检查公示及时性。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4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无2023年党支部会议记录本(第一党支部、第二党支部);无2020年度、2021年度组织生活和民主评议党员资料(第一党支部、第二党支部);无2021年至2022年述职评议资料。</w:t>
            </w:r>
          </w:p>
        </w:tc>
        <w:tc>
          <w:tcPr>
            <w:tcW w:w="5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对相关责任人进行批评教育，已召开支委会议，要求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加强党建资料保管工作，明确资料存放资料，张贴标签，每年度做好归档工作，确保资料保存妥当。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在资料归档时开展“回头看”，确保资料完善。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4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一支部2021年3月9日接收吴敏同志为中共预备党员会议党落款处党支部未盖章。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一支部2022年10月14日入党积极分子推优大会、二支部2021年9月17日入党积极分子推优大会“无到会党员签字”、“无支部盖章”、“无支部书记签字”等内容。</w:t>
            </w:r>
          </w:p>
        </w:tc>
        <w:tc>
          <w:tcPr>
            <w:tcW w:w="5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调查核实相关会议的真实性，按照要求补齐会议记录支部章、到会人员签名等，完善相应资料。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组织开展发展党员业务培训，提高业务能力。针对此类问题，举一反三地整改好同类型问题。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4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一支部、二支部2023年度组织生活会和民主评议党员党员自评，互评程序不规范。</w:t>
            </w:r>
          </w:p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2023年度第一支部民主评议党员登记表未达到当年党员人数(民主评议党员评议结果公示47人，党员民主评议党员登记表仅22份)。2023年度第二支部民主评议党员登记表未达到当年党员人数(民主评议党员评议结果公示42人，党员民主评议党员登记表仅20份)。</w:t>
            </w:r>
            <w:bookmarkEnd w:id="1"/>
          </w:p>
        </w:tc>
        <w:tc>
          <w:tcPr>
            <w:tcW w:w="5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tabs>
                <w:tab w:val="left" w:pos="2026"/>
              </w:tabs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核查确认，一支部2023年实有党员47人、二支部42人，登记表缺口分别为25份、22份，系材料收集把关不严所致。整改中，两支部逐一联系相关党员，规范补填登记表，目前均已补齐，登记表数量与党员人数、公示人数一致。同时，严格按照规定流程补正自评互评环节，完善谈心谈话记录，规范评议内容，确保程序合规。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是规范组织生活会、民主评议党员流程，认真开展组织生活会和民主评议党员工作，党员之间坦诚相见。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组织“两委”班子成员学习组织生活会、民主评议党员流程。后续组织生活会、民主评议党员工作开展中，由支部书记对批评与自我批评把关，查找自身问题，明确整改方向。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4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综治中心被当做杂物间使用</w:t>
            </w:r>
          </w:p>
        </w:tc>
        <w:tc>
          <w:tcPr>
            <w:tcW w:w="5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对综治中心进行全面清理，移除所有杂物，恢复中心原有功能，配齐综治办公、矛盾调解所需的桌椅、档案柜、台账等设施。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严禁将综治中心挪作杂物间或其他非综治用途，每周由村“两委”成员检查中心使用情况，确保其专门用于社会治安综合治理、矛盾纠纷化解等工作，保障综治功能规范有效发挥。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注：此表作为整改报告附件</w:t>
      </w:r>
    </w:p>
    <w:p/>
    <w:sectPr>
      <w:pgSz w:w="16838" w:h="11906" w:orient="landscape"/>
      <w:pgMar w:top="850" w:right="1531" w:bottom="1531" w:left="1531" w:header="851" w:footer="992" w:gutter="0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F43FF"/>
    <w:rsid w:val="0A185237"/>
    <w:rsid w:val="177B1C82"/>
    <w:rsid w:val="1BB73E71"/>
    <w:rsid w:val="1EA30F59"/>
    <w:rsid w:val="24047FF7"/>
    <w:rsid w:val="25BD6198"/>
    <w:rsid w:val="36557914"/>
    <w:rsid w:val="3A943E55"/>
    <w:rsid w:val="3F285A5B"/>
    <w:rsid w:val="43465B97"/>
    <w:rsid w:val="439F06DF"/>
    <w:rsid w:val="49512EEE"/>
    <w:rsid w:val="4AFF6FDD"/>
    <w:rsid w:val="4D240E33"/>
    <w:rsid w:val="54CF43FF"/>
    <w:rsid w:val="5ABE7204"/>
    <w:rsid w:val="5AE86E43"/>
    <w:rsid w:val="5BAA1CEF"/>
    <w:rsid w:val="5CC727BE"/>
    <w:rsid w:val="5D100E60"/>
    <w:rsid w:val="67685B4F"/>
    <w:rsid w:val="6D9E7739"/>
    <w:rsid w:val="6F9F5203"/>
    <w:rsid w:val="749F2F93"/>
    <w:rsid w:val="79A82E2D"/>
    <w:rsid w:val="7AFE3BC1"/>
    <w:rsid w:val="7BE4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</Company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2025-11-27T00:27:00Z</dcterms:created>
  <dc:creator>李秉昌</dc:creator>
  <cp:lastModifiedBy>李秉昌</cp:lastModifiedBy>
  <dcterms:modified xsi:type="dcterms:W3CDTF">2026-02-10T12:57:13Z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