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71ED8">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方正小标宋简体" w:cs="Times New Roman"/>
          <w:sz w:val="44"/>
          <w:szCs w:val="44"/>
          <w:highlight w:val="none"/>
        </w:rPr>
      </w:pPr>
    </w:p>
    <w:p w14:paraId="7F1AEA1C">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5</w:t>
      </w:r>
      <w:r>
        <w:rPr>
          <w:rFonts w:hint="default" w:ascii="Times New Roman" w:hAnsi="Times New Roman" w:eastAsia="方正小标宋简体" w:cs="Times New Roman"/>
          <w:sz w:val="44"/>
          <w:szCs w:val="44"/>
          <w:highlight w:val="none"/>
        </w:rPr>
        <w:t>年度</w:t>
      </w:r>
      <w:r>
        <w:rPr>
          <w:rFonts w:hint="eastAsia" w:eastAsia="方正小标宋简体" w:cs="Times New Roman"/>
          <w:sz w:val="44"/>
          <w:szCs w:val="44"/>
          <w:highlight w:val="none"/>
          <w:lang w:eastAsia="zh-CN"/>
        </w:rPr>
        <w:t>南县住房和城乡建设局</w:t>
      </w:r>
    </w:p>
    <w:p w14:paraId="1AEBA7DC">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部门整体支出绩效自评报告</w:t>
      </w:r>
    </w:p>
    <w:p w14:paraId="5C6AFE6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bookmarkStart w:id="0" w:name="_GoBack"/>
      <w:bookmarkEnd w:id="0"/>
    </w:p>
    <w:p w14:paraId="09A5261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部门基本情况</w:t>
      </w:r>
    </w:p>
    <w:p w14:paraId="002A6596">
      <w:pPr>
        <w:keepNext w:val="0"/>
        <w:keepLines w:val="0"/>
        <w:pageBreakBefore w:val="0"/>
        <w:widowControl w:val="0"/>
        <w:numPr>
          <w:ilvl w:val="0"/>
          <w:numId w:val="0"/>
        </w:numPr>
        <w:kinsoku/>
        <w:wordWrap/>
        <w:overflowPunct w:val="0"/>
        <w:topLinePunct/>
        <w:autoSpaceDE/>
        <w:autoSpaceDN/>
        <w:bidi w:val="0"/>
        <w:adjustRightInd/>
        <w:snapToGrid/>
        <w:spacing w:line="240" w:lineRule="auto"/>
        <w:ind w:firstLine="643" w:firstLineChars="200"/>
        <w:textAlignment w:val="baseline"/>
        <w:rPr>
          <w:rFonts w:hint="eastAsia" w:ascii="宋体" w:hAnsi="宋体" w:eastAsia="宋体" w:cs="宋体"/>
          <w:sz w:val="32"/>
          <w:szCs w:val="32"/>
        </w:rPr>
      </w:pPr>
      <w:r>
        <w:rPr>
          <w:rFonts w:hint="eastAsia" w:ascii="Times New Roman" w:hAnsi="Times New Roman" w:eastAsia="楷体_GB2312" w:cs="Times New Roman"/>
          <w:b/>
          <w:kern w:val="2"/>
          <w:sz w:val="32"/>
          <w:szCs w:val="32"/>
          <w:highlight w:val="none"/>
          <w:lang w:val="en-US" w:eastAsia="zh-CN" w:bidi="ar-SA"/>
        </w:rPr>
        <w:t>（一）机构设置及人员情况。</w:t>
      </w:r>
      <w:r>
        <w:rPr>
          <w:rFonts w:hint="eastAsia" w:ascii="宋体" w:hAnsi="宋体" w:eastAsia="宋体" w:cs="宋体"/>
          <w:sz w:val="32"/>
          <w:szCs w:val="32"/>
        </w:rPr>
        <w:t>南县住房和城乡建设局属正科级行政单位，内设股室1</w:t>
      </w:r>
      <w:r>
        <w:rPr>
          <w:rFonts w:hint="eastAsia" w:ascii="宋体" w:hAnsi="宋体" w:eastAsia="宋体" w:cs="宋体"/>
          <w:sz w:val="32"/>
          <w:szCs w:val="32"/>
          <w:lang w:val="en-US" w:eastAsia="zh-CN"/>
        </w:rPr>
        <w:t>0</w:t>
      </w:r>
      <w:r>
        <w:rPr>
          <w:rFonts w:hint="eastAsia" w:ascii="宋体" w:hAnsi="宋体" w:eastAsia="宋体" w:cs="宋体"/>
          <w:sz w:val="32"/>
          <w:szCs w:val="32"/>
        </w:rPr>
        <w:t>个</w:t>
      </w:r>
      <w:r>
        <w:rPr>
          <w:rFonts w:hint="eastAsia" w:ascii="宋体" w:hAnsi="宋体" w:eastAsia="宋体" w:cs="宋体"/>
          <w:sz w:val="32"/>
          <w:szCs w:val="32"/>
          <w:lang w:val="en-US" w:eastAsia="zh-CN"/>
        </w:rPr>
        <w:t>,</w:t>
      </w:r>
      <w:r>
        <w:rPr>
          <w:rFonts w:hint="eastAsia" w:ascii="宋体" w:hAnsi="宋体" w:eastAsia="宋体" w:cs="宋体"/>
          <w:sz w:val="32"/>
          <w:szCs w:val="32"/>
        </w:rPr>
        <w:t>所属事业单位</w:t>
      </w:r>
      <w:r>
        <w:rPr>
          <w:rFonts w:hint="eastAsia" w:ascii="宋体" w:hAnsi="宋体" w:eastAsia="宋体" w:cs="宋体"/>
          <w:sz w:val="32"/>
          <w:szCs w:val="32"/>
          <w:lang w:val="en-US" w:eastAsia="zh-CN"/>
        </w:rPr>
        <w:t>9</w:t>
      </w:r>
      <w:r>
        <w:rPr>
          <w:rFonts w:hint="eastAsia" w:ascii="宋体" w:hAnsi="宋体" w:eastAsia="宋体" w:cs="宋体"/>
          <w:sz w:val="32"/>
          <w:szCs w:val="32"/>
        </w:rPr>
        <w:t>个（含二级独立核算事业单位德昌公园管理所）。全局实有职工人数</w:t>
      </w:r>
      <w:r>
        <w:rPr>
          <w:rFonts w:hint="eastAsia" w:ascii="宋体" w:hAnsi="宋体" w:eastAsia="宋体" w:cs="宋体"/>
          <w:sz w:val="32"/>
          <w:szCs w:val="32"/>
          <w:lang w:val="en-US" w:eastAsia="zh-CN"/>
        </w:rPr>
        <w:t>170</w:t>
      </w:r>
      <w:r>
        <w:rPr>
          <w:rFonts w:hint="eastAsia" w:ascii="宋体" w:hAnsi="宋体" w:eastAsia="宋体" w:cs="宋体"/>
          <w:sz w:val="32"/>
          <w:szCs w:val="32"/>
        </w:rPr>
        <w:t>人，其中</w:t>
      </w:r>
      <w:r>
        <w:rPr>
          <w:rFonts w:hint="eastAsia" w:ascii="宋体" w:hAnsi="宋体" w:eastAsia="宋体" w:cs="宋体"/>
          <w:sz w:val="32"/>
          <w:szCs w:val="32"/>
          <w:lang w:eastAsia="zh-CN"/>
        </w:rPr>
        <w:t>在职</w:t>
      </w:r>
      <w:r>
        <w:rPr>
          <w:rFonts w:hint="eastAsia" w:ascii="宋体" w:hAnsi="宋体" w:eastAsia="宋体" w:cs="宋体"/>
          <w:sz w:val="32"/>
          <w:szCs w:val="32"/>
          <w:lang w:val="en-US" w:eastAsia="zh-CN"/>
        </w:rPr>
        <w:t>103人，退休67人</w:t>
      </w:r>
      <w:r>
        <w:rPr>
          <w:rFonts w:hint="eastAsia" w:ascii="宋体" w:hAnsi="宋体" w:eastAsia="宋体" w:cs="宋体"/>
          <w:sz w:val="32"/>
          <w:szCs w:val="32"/>
        </w:rPr>
        <w:t>。</w:t>
      </w:r>
    </w:p>
    <w:p w14:paraId="4B9D8BEE">
      <w:pPr>
        <w:keepNext w:val="0"/>
        <w:keepLines w:val="0"/>
        <w:pageBreakBefore w:val="0"/>
        <w:widowControl w:val="0"/>
        <w:numPr>
          <w:ilvl w:val="0"/>
          <w:numId w:val="0"/>
        </w:numPr>
        <w:kinsoku/>
        <w:wordWrap/>
        <w:overflowPunct w:val="0"/>
        <w:topLinePunct/>
        <w:autoSpaceDE/>
        <w:autoSpaceDN/>
        <w:bidi w:val="0"/>
        <w:adjustRightInd/>
        <w:snapToGrid/>
        <w:spacing w:line="240" w:lineRule="auto"/>
        <w:ind w:firstLine="643" w:firstLineChars="200"/>
        <w:textAlignment w:val="baseline"/>
        <w:rPr>
          <w:rFonts w:hint="eastAsia" w:ascii="宋体" w:hAnsi="宋体" w:eastAsia="宋体" w:cs="宋体"/>
          <w:sz w:val="32"/>
          <w:szCs w:val="32"/>
          <w:highlight w:val="none"/>
        </w:rPr>
      </w:pPr>
      <w:r>
        <w:rPr>
          <w:rFonts w:hint="eastAsia" w:ascii="Times New Roman" w:hAnsi="Times New Roman" w:eastAsia="楷体_GB2312" w:cs="Times New Roman"/>
          <w:b/>
          <w:kern w:val="2"/>
          <w:sz w:val="32"/>
          <w:szCs w:val="32"/>
          <w:highlight w:val="none"/>
          <w:lang w:val="en-US" w:eastAsia="zh-CN" w:bidi="ar-SA"/>
        </w:rPr>
        <w:t>（二）主要工作职责。</w:t>
      </w:r>
      <w:r>
        <w:rPr>
          <w:rFonts w:hint="eastAsia" w:ascii="宋体" w:hAnsi="宋体" w:eastAsia="宋体" w:cs="宋体"/>
          <w:sz w:val="32"/>
          <w:szCs w:val="32"/>
        </w:rPr>
        <w:t>主要负责全县</w:t>
      </w:r>
      <w:r>
        <w:rPr>
          <w:rFonts w:hint="eastAsia" w:ascii="宋体" w:hAnsi="宋体" w:eastAsia="宋体" w:cs="宋体"/>
          <w:sz w:val="32"/>
          <w:szCs w:val="32"/>
          <w:lang w:eastAsia="zh-CN"/>
        </w:rPr>
        <w:t>住房保障、</w:t>
      </w:r>
      <w:r>
        <w:rPr>
          <w:rFonts w:hint="eastAsia" w:ascii="宋体" w:hAnsi="宋体" w:eastAsia="宋体" w:cs="宋体"/>
          <w:sz w:val="32"/>
          <w:szCs w:val="32"/>
        </w:rPr>
        <w:t>城乡建设、房地产业管理、建筑市场管理与建设工程质量安全监督、供水供气、污水和黑臭水体治理、新型城镇化、农村危房改造、公园管理</w:t>
      </w:r>
      <w:r>
        <w:rPr>
          <w:rFonts w:hint="eastAsia" w:ascii="宋体" w:hAnsi="宋体" w:eastAsia="宋体" w:cs="宋体"/>
          <w:sz w:val="32"/>
          <w:szCs w:val="32"/>
          <w:lang w:eastAsia="zh-CN"/>
        </w:rPr>
        <w:t>、污水管网建设项目</w:t>
      </w:r>
      <w:r>
        <w:rPr>
          <w:rFonts w:hint="eastAsia" w:ascii="宋体" w:hAnsi="宋体" w:eastAsia="宋体" w:cs="宋体"/>
          <w:sz w:val="32"/>
          <w:szCs w:val="32"/>
        </w:rPr>
        <w:t>等工作。</w:t>
      </w:r>
    </w:p>
    <w:p w14:paraId="494EE09E">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45EFDCD">
      <w:pPr>
        <w:pStyle w:val="13"/>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0D5DE5AD">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2025年度一般公共预算基本支出合计1360.25万元。其中：工资福利支出1181.87万元，占86.89%；商品和服务支出138.50万元，占10.18%；对个人和家庭的补助39.32万元，占2.89%；资本性支出0.56万元，占0.04%。</w:t>
      </w:r>
    </w:p>
    <w:p w14:paraId="0B81ECF8">
      <w:pPr>
        <w:pStyle w:val="13"/>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2E53F13">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2025年度一般公共预算项目支出合计5424.45万元。其中：商品和服务支出5156.08万元，占95.05%；资本性支出268.36万元，占4.95%。</w:t>
      </w:r>
    </w:p>
    <w:p w14:paraId="66B32AEE">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说明：因四舍五入导致支出明细合计与一般公共预算项目支出总数存在尾数差。</w:t>
      </w:r>
    </w:p>
    <w:p w14:paraId="44EDD53A">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0E4A3C45">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b w:val="0"/>
          <w:bCs/>
          <w:sz w:val="32"/>
          <w:szCs w:val="32"/>
          <w:highlight w:val="none"/>
          <w:lang w:val="en-US"/>
        </w:rPr>
      </w:pPr>
      <w:r>
        <w:rPr>
          <w:rFonts w:hint="eastAsia" w:ascii="宋体" w:hAnsi="宋体" w:eastAsia="宋体" w:cs="宋体"/>
          <w:b w:val="0"/>
          <w:bCs/>
          <w:sz w:val="32"/>
          <w:szCs w:val="32"/>
          <w:highlight w:val="none"/>
          <w:lang w:val="en-US" w:eastAsia="zh-CN"/>
        </w:rPr>
        <w:t>2025年度政府性基金预算支出15505.89万元，主要是用于南县河东片区排水防涝设施建设项目、南县第一污水处理厂设备更新改造项目（一期）、南县第一污水处理厂设备更新改造项目（二期）、污水处理费等重点民生项目。本部门严格执行专项资金管理规定，实行专账管理、专款专用，严禁截留、挤占和挪用。所有支出均按批复用途及合规程序列支，切实保障专项资金安全、规范、高效使用。</w:t>
      </w:r>
    </w:p>
    <w:p w14:paraId="26AA365C">
      <w:pPr>
        <w:pStyle w:val="13"/>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7028B10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2025年度无国有资本经营预算收支。</w:t>
      </w:r>
    </w:p>
    <w:p w14:paraId="6BFB16D6">
      <w:pPr>
        <w:pStyle w:val="13"/>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7D3D312E">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2025年度无社会保险基金预算收支。</w:t>
      </w:r>
    </w:p>
    <w:p w14:paraId="7E9D28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eastAsia="仿宋_GB2312" w:cs="Times New Roman"/>
          <w:sz w:val="32"/>
          <w:szCs w:val="32"/>
          <w:highlight w:val="none"/>
          <w:lang w:eastAsia="zh-CN"/>
        </w:rPr>
      </w:pPr>
      <w:r>
        <w:rPr>
          <w:rFonts w:hint="eastAsia" w:eastAsia="黑体" w:cs="Times New Roman"/>
          <w:kern w:val="2"/>
          <w:sz w:val="32"/>
          <w:szCs w:val="32"/>
          <w:highlight w:val="none"/>
          <w:lang w:val="en-US" w:eastAsia="zh-CN" w:bidi="ar-SA"/>
        </w:rPr>
        <w:t>六、</w:t>
      </w:r>
      <w:r>
        <w:rPr>
          <w:rFonts w:hint="default" w:ascii="Times New Roman" w:hAnsi="Times New Roman" w:eastAsia="黑体" w:cs="Times New Roman"/>
          <w:kern w:val="2"/>
          <w:sz w:val="32"/>
          <w:szCs w:val="32"/>
          <w:highlight w:val="none"/>
          <w:lang w:val="en-US" w:eastAsia="zh-CN" w:bidi="ar-SA"/>
        </w:rPr>
        <w:t>部</w:t>
      </w:r>
      <w:r>
        <w:rPr>
          <w:rFonts w:hint="default" w:ascii="Times New Roman" w:hAnsi="Times New Roman" w:eastAsia="黑体" w:cs="Times New Roman"/>
          <w:sz w:val="32"/>
          <w:szCs w:val="32"/>
          <w:highlight w:val="none"/>
        </w:rPr>
        <w:t>门整体支出绩效情况</w:t>
      </w:r>
    </w:p>
    <w:p w14:paraId="026D55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（一）部门整体支出绩效目标</w:t>
      </w:r>
    </w:p>
    <w:p w14:paraId="54DD59B9">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1、完成县委、县政府下达的立项争资和招商引资任务。</w:t>
      </w:r>
    </w:p>
    <w:p w14:paraId="739697F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highlight w:val="none"/>
          <w:lang w:val="en-US" w:eastAsia="zh-CN"/>
        </w:rPr>
        <w:t>2、</w:t>
      </w:r>
      <w:r>
        <w:rPr>
          <w:rFonts w:hint="eastAsia" w:ascii="宋体" w:hAnsi="宋体" w:eastAsia="宋体" w:cs="宋体"/>
          <w:sz w:val="32"/>
          <w:szCs w:val="32"/>
        </w:rPr>
        <w:t>保障全年人员支出和公用经费的正常运转</w:t>
      </w:r>
      <w:r>
        <w:rPr>
          <w:rFonts w:hint="eastAsia" w:ascii="宋体" w:hAnsi="宋体" w:eastAsia="宋体" w:cs="宋体"/>
          <w:sz w:val="32"/>
          <w:szCs w:val="32"/>
          <w:lang w:eastAsia="zh-CN"/>
        </w:rPr>
        <w:t>，从严控制“三公”经费开支。</w:t>
      </w:r>
    </w:p>
    <w:p w14:paraId="30A66F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完成房地产业管理、建筑市场管理与建设工程质量安全监督、供水供气、污水和黑臭水体治理、新型城镇化、农村危房改造、公园管理</w:t>
      </w:r>
      <w:r>
        <w:rPr>
          <w:rFonts w:hint="eastAsia" w:ascii="宋体" w:hAnsi="宋体" w:eastAsia="宋体" w:cs="宋体"/>
          <w:sz w:val="32"/>
          <w:szCs w:val="32"/>
          <w:lang w:eastAsia="zh-CN"/>
        </w:rPr>
        <w:t>、污水管网建设项目</w:t>
      </w:r>
      <w:r>
        <w:rPr>
          <w:rFonts w:hint="eastAsia" w:ascii="宋体" w:hAnsi="宋体" w:eastAsia="宋体" w:cs="宋体"/>
          <w:sz w:val="32"/>
          <w:szCs w:val="32"/>
        </w:rPr>
        <w:t>等工作。</w:t>
      </w:r>
    </w:p>
    <w:p w14:paraId="5F9C33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4、</w:t>
      </w:r>
      <w:r>
        <w:rPr>
          <w:rFonts w:hint="eastAsia" w:ascii="宋体" w:hAnsi="宋体" w:eastAsia="宋体" w:cs="宋体"/>
          <w:sz w:val="32"/>
          <w:szCs w:val="32"/>
        </w:rPr>
        <w:t>加强财务监管</w:t>
      </w:r>
      <w:r>
        <w:rPr>
          <w:rFonts w:hint="eastAsia" w:ascii="宋体" w:hAnsi="宋体" w:eastAsia="宋体" w:cs="宋体"/>
          <w:sz w:val="32"/>
          <w:szCs w:val="32"/>
          <w:lang w:eastAsia="zh-CN"/>
        </w:rPr>
        <w:t>和年初预算执行力度。</w:t>
      </w:r>
    </w:p>
    <w:p w14:paraId="336C55BD">
      <w:pPr>
        <w:pStyle w:val="1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加强资产管理。</w:t>
      </w:r>
    </w:p>
    <w:p w14:paraId="25579877">
      <w:pPr>
        <w:pStyle w:val="1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完成脱贫攻坚工作。</w:t>
      </w:r>
    </w:p>
    <w:p w14:paraId="3ADC1AEF">
      <w:pPr>
        <w:pStyle w:val="1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7、</w:t>
      </w:r>
      <w:r>
        <w:rPr>
          <w:rFonts w:hint="eastAsia" w:ascii="宋体" w:hAnsi="宋体" w:eastAsia="宋体" w:cs="宋体"/>
          <w:sz w:val="32"/>
          <w:szCs w:val="32"/>
          <w:lang w:eastAsia="zh-CN"/>
        </w:rPr>
        <w:t>完成部门各项绩效评价和财务检查、审计工作。</w:t>
      </w:r>
    </w:p>
    <w:p w14:paraId="3D3FB833">
      <w:pPr>
        <w:pStyle w:val="1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8、</w:t>
      </w:r>
      <w:r>
        <w:rPr>
          <w:rFonts w:hint="eastAsia" w:ascii="宋体" w:hAnsi="宋体" w:eastAsia="宋体" w:cs="宋体"/>
          <w:sz w:val="32"/>
          <w:szCs w:val="32"/>
        </w:rPr>
        <w:t>完成县委、县政府交办的其他中心工作。</w:t>
      </w:r>
    </w:p>
    <w:p w14:paraId="281B9B74">
      <w:pPr>
        <w:pStyle w:val="12"/>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lang w:val="en-US" w:eastAsia="zh-CN"/>
        </w:rPr>
        <w:t>（二）部门整体支出绩效目标完成情况分析</w:t>
      </w:r>
    </w:p>
    <w:p w14:paraId="4BED5287">
      <w:pPr>
        <w:pStyle w:val="12"/>
        <w:keepNext w:val="0"/>
        <w:keepLines w:val="0"/>
        <w:pageBreakBefore w:val="0"/>
        <w:widowControl w:val="0"/>
        <w:kinsoku/>
        <w:wordWrap/>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rPr>
        <w:t>经济性分析。</w:t>
      </w:r>
      <w:r>
        <w:rPr>
          <w:rFonts w:hint="eastAsia" w:ascii="宋体" w:hAnsi="宋体" w:eastAsia="宋体" w:cs="宋体"/>
          <w:sz w:val="32"/>
          <w:szCs w:val="32"/>
          <w:lang w:val="en-US" w:eastAsia="zh-CN"/>
        </w:rPr>
        <w:t>全年完成立项争资4202万元、招商引资2000万元；核定建安造价14.11亿元，收取建设工程规费566.3万元；实现建筑业总产值73.81亿元，同比增长-0.83%；完成商品房销售面积5.73万平方米，同比增长1.1%；建筑设计院实现收入140万元。</w:t>
      </w:r>
    </w:p>
    <w:p w14:paraId="2D7305E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2、履职效能</w:t>
      </w:r>
      <w:r>
        <w:rPr>
          <w:rFonts w:hint="eastAsia" w:ascii="宋体" w:hAnsi="宋体" w:eastAsia="宋体" w:cs="宋体"/>
          <w:sz w:val="32"/>
          <w:szCs w:val="32"/>
          <w:highlight w:val="none"/>
        </w:rPr>
        <w:t>分析。</w:t>
      </w:r>
    </w:p>
    <w:p w14:paraId="1D59C46B">
      <w:pPr>
        <w:pStyle w:val="12"/>
        <w:keepNext w:val="0"/>
        <w:keepLines w:val="0"/>
        <w:pageBreakBefore w:val="0"/>
        <w:widowControl w:val="0"/>
        <w:kinsoku/>
        <w:wordWrap/>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住房保障及房地产业管理。①</w:t>
      </w:r>
      <w:r>
        <w:rPr>
          <w:rFonts w:hint="eastAsia" w:ascii="宋体" w:hAnsi="宋体" w:eastAsia="宋体" w:cs="宋体"/>
          <w:sz w:val="32"/>
          <w:szCs w:val="32"/>
          <w:lang w:val="en-US" w:eastAsia="zh-CN"/>
        </w:rPr>
        <w:t>积极谋划长远发展，储备中央预算内投资项目14个。完成县中心城区33.68平方公里范围“城市体检”并同步编制城市更新专项规划、南县“十五五”新型城镇化规划，为未来城市内涵式发展绘制了蓝图。②全年批准预售许可5件，面积6.78万平方米；完成新建商品房网签面积3.46万平方米，金额1.54亿元。出台《南县房屋征收补偿定额房票安置办法（试行）》；持续落实房地产相关增量政策，全年发放契税奖补424户共306万元，发放生育奖补22户共24万元，促进了市场预期的边际改善。</w:t>
      </w:r>
    </w:p>
    <w:p w14:paraId="36C3240D">
      <w:pPr>
        <w:pStyle w:val="12"/>
        <w:keepNext w:val="0"/>
        <w:keepLines w:val="0"/>
        <w:pageBreakBefore w:val="0"/>
        <w:widowControl w:val="0"/>
        <w:kinsoku/>
        <w:wordWrap/>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建筑市场管理。</w:t>
      </w:r>
      <w:r>
        <w:rPr>
          <w:rFonts w:hint="eastAsia" w:ascii="宋体" w:hAnsi="宋体" w:eastAsia="宋体" w:cs="宋体"/>
          <w:sz w:val="32"/>
          <w:szCs w:val="32"/>
          <w:lang w:val="en-US" w:eastAsia="zh-CN"/>
        </w:rPr>
        <w:t>全县建筑业总产值保持稳定，14家入规企业发挥了支撑作用。坚持政策引导与困难帮扶并举，持续开展“两重”“两新”送解优专项行动。加强“三包一挂”专项检查、落实工程款支付担保制度并推进拖欠账款清欠，规范市场秩序、防范化解风险。行业发展质量持续提升，全年新开工房屋市政项目24个，绿色建筑面积占比达99.9%，装配式建筑占比达44.55%，均超额完成年度目标。招投标市场规范有序，完成监管项目22个，总金额4.7亿元。</w:t>
      </w:r>
    </w:p>
    <w:p w14:paraId="6B23F5DB">
      <w:pPr>
        <w:pStyle w:val="12"/>
        <w:keepNext w:val="0"/>
        <w:keepLines w:val="0"/>
        <w:pageBreakBefore w:val="0"/>
        <w:widowControl w:val="0"/>
        <w:kinsoku/>
        <w:wordWrap/>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建设工程质量安全监督。①</w:t>
      </w:r>
      <w:r>
        <w:rPr>
          <w:rFonts w:hint="eastAsia" w:ascii="宋体" w:hAnsi="宋体" w:eastAsia="宋体" w:cs="宋体"/>
          <w:sz w:val="32"/>
          <w:szCs w:val="32"/>
          <w:lang w:val="en-US" w:eastAsia="zh-CN"/>
        </w:rPr>
        <w:t>对全县54个在建项目开展建筑施工安全监管，确保了安全生产形势平稳可控；完成项目竣工备案49个，一次验收合格率100%，全年未发生一般及以上安全生产事故。开展各类专项检查，排查治理质量安全隐患千余处，对起重机械等进行第三方检测，守住了安全生产底线</w:t>
      </w:r>
      <w:r>
        <w:rPr>
          <w:rFonts w:hint="eastAsia" w:ascii="宋体" w:hAnsi="宋体" w:eastAsia="宋体" w:cs="宋体"/>
          <w:sz w:val="32"/>
          <w:szCs w:val="32"/>
          <w:lang w:eastAsia="zh-CN"/>
        </w:rPr>
        <w:t>。②</w:t>
      </w:r>
      <w:r>
        <w:rPr>
          <w:rFonts w:hint="eastAsia" w:ascii="宋体" w:hAnsi="宋体" w:eastAsia="宋体" w:cs="宋体"/>
          <w:sz w:val="32"/>
          <w:szCs w:val="32"/>
          <w:lang w:val="en-US" w:eastAsia="zh-CN"/>
        </w:rPr>
        <w:t>全年办结消防设计审查、验收及备案项目共26件。牵头开展消防审验违法违规专项治理，出动检查人员58人次，检查项目126个，督促整改问题46个，从源头保障了建设工程的消防安全，消防审验单项工作开展情况受到省住建厅通报表扬。</w:t>
      </w:r>
    </w:p>
    <w:p w14:paraId="03E55B86">
      <w:pPr>
        <w:pStyle w:val="12"/>
        <w:keepNext w:val="0"/>
        <w:keepLines w:val="0"/>
        <w:pageBreakBefore w:val="0"/>
        <w:widowControl w:val="0"/>
        <w:kinsoku/>
        <w:wordWrap/>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农村危房改造。①积极落实农村危房改造政策，完成危房改造</w:t>
      </w:r>
      <w:r>
        <w:rPr>
          <w:rFonts w:hint="eastAsia" w:ascii="宋体" w:hAnsi="宋体" w:eastAsia="宋体" w:cs="宋体"/>
          <w:sz w:val="32"/>
          <w:szCs w:val="32"/>
          <w:lang w:val="en-US" w:eastAsia="zh-CN"/>
        </w:rPr>
        <w:t>229</w:t>
      </w:r>
      <w:r>
        <w:rPr>
          <w:rFonts w:hint="eastAsia" w:ascii="宋体" w:hAnsi="宋体" w:eastAsia="宋体" w:cs="宋体"/>
          <w:sz w:val="32"/>
          <w:szCs w:val="32"/>
          <w:lang w:eastAsia="zh-CN"/>
        </w:rPr>
        <w:t>户，</w:t>
      </w:r>
      <w:r>
        <w:rPr>
          <w:rFonts w:hint="eastAsia" w:ascii="宋体" w:hAnsi="宋体" w:eastAsia="宋体" w:cs="宋体"/>
          <w:sz w:val="32"/>
          <w:szCs w:val="32"/>
          <w:lang w:val="en-US" w:eastAsia="zh-CN"/>
        </w:rPr>
        <w:t>504万元补助资金通过“一卡通”全额拨付到位</w:t>
      </w:r>
      <w:r>
        <w:rPr>
          <w:rFonts w:hint="eastAsia" w:ascii="宋体" w:hAnsi="宋体" w:eastAsia="宋体" w:cs="宋体"/>
          <w:sz w:val="32"/>
          <w:szCs w:val="32"/>
          <w:lang w:eastAsia="zh-CN"/>
        </w:rPr>
        <w:t>。②</w:t>
      </w:r>
      <w:r>
        <w:rPr>
          <w:rFonts w:hint="eastAsia" w:ascii="宋体" w:hAnsi="宋体" w:eastAsia="宋体" w:cs="宋体"/>
          <w:sz w:val="32"/>
          <w:szCs w:val="32"/>
          <w:lang w:val="en-US" w:eastAsia="zh-CN"/>
        </w:rPr>
        <w:t>开展农村危房改造及自建房排查整治“回头看”，累计排查农房1794户、自建房30012栋，完成3户C/D级危房解危，新增保障1户。③开展城市既有建筑外墙安全隐患排查整治，管控措施持续落实。</w:t>
      </w:r>
    </w:p>
    <w:p w14:paraId="20385F03">
      <w:pPr>
        <w:pStyle w:val="12"/>
        <w:keepNext w:val="0"/>
        <w:keepLines w:val="0"/>
        <w:pageBreakBefore w:val="0"/>
        <w:widowControl w:val="0"/>
        <w:kinsoku/>
        <w:wordWrap/>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污水基础设施建设及黑臭水治理。①</w:t>
      </w:r>
      <w:r>
        <w:rPr>
          <w:rFonts w:hint="eastAsia" w:ascii="宋体" w:hAnsi="宋体" w:eastAsia="宋体" w:cs="宋体"/>
          <w:sz w:val="32"/>
          <w:szCs w:val="32"/>
          <w:lang w:val="en-US" w:eastAsia="zh-CN"/>
        </w:rPr>
        <w:t>全面升级城区排水防涝设施，完成河东片区排水防涝设施建设项目和南县第一污水处理厂设备更新改造项目（一期）建设，总投资1.92亿元，累计新（改）建雨污分流管网47公里，清淤管渠55公里，城市内涝防治和水环境治理能力得到系统提升。②全县15座生活污水处理厂和3个污水处理站稳定运行，出水达标排放。定期开展城区渠道清理和疏浚清淤，对污水溢流口及破损管道进行整治，确保了已销号渠道未出现返黑返臭现象，全年城区无新增黑臭水体。③扎实推进大气污染防治专项行动，强化事前把关、事中巡检、事后处置，坚决落实在建工地扬尘防治“六个百分百”要求，做到“一改二停三处罚”。</w:t>
      </w:r>
    </w:p>
    <w:p w14:paraId="514939D5">
      <w:pPr>
        <w:pStyle w:val="12"/>
        <w:keepNext w:val="0"/>
        <w:keepLines w:val="0"/>
        <w:pageBreakBefore w:val="0"/>
        <w:widowControl w:val="0"/>
        <w:kinsoku/>
        <w:wordWrap/>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燃气管理。</w:t>
      </w:r>
      <w:r>
        <w:rPr>
          <w:rFonts w:hint="eastAsia" w:ascii="宋体" w:hAnsi="宋体" w:eastAsia="宋体" w:cs="宋体"/>
          <w:sz w:val="32"/>
          <w:szCs w:val="32"/>
          <w:lang w:val="en-US" w:eastAsia="zh-CN"/>
        </w:rPr>
        <w:t>统筹实施燃气管道老化更新改造，累计整改18个居民小区（片区）密闭空间管道及设施，更新各类管道超4.3万米，完成4587户户内设施改造，从源头上消除了一批老旧管网安全隐患。完善全县燃气供应体系，持续推进专车配送服务，打击非法经营，智慧燃气监管平台作用进一步发挥。</w:t>
      </w:r>
    </w:p>
    <w:p w14:paraId="66C8F0CA">
      <w:pPr>
        <w:pStyle w:val="12"/>
        <w:keepNext w:val="0"/>
        <w:keepLines w:val="0"/>
        <w:pageBreakBefore w:val="0"/>
        <w:widowControl w:val="0"/>
        <w:kinsoku/>
        <w:wordWrap/>
        <w:topLinePunct w:val="0"/>
        <w:autoSpaceDE/>
        <w:autoSpaceDN/>
        <w:bidi w:val="0"/>
        <w:adjustRightInd/>
        <w:snapToGrid/>
        <w:spacing w:line="240" w:lineRule="auto"/>
        <w:ind w:left="0" w:leftChars="0"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7</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公园管理。</w:t>
      </w:r>
      <w:r>
        <w:rPr>
          <w:rFonts w:hint="eastAsia" w:ascii="宋体" w:hAnsi="宋体" w:eastAsia="宋体" w:cs="宋体"/>
          <w:sz w:val="32"/>
          <w:szCs w:val="32"/>
          <w:lang w:val="en-US" w:eastAsia="zh-CN"/>
        </w:rPr>
        <w:t>德昌公园成功获评为省级烈士纪念设施，全年接待祭扫群众2.3万余人次。园区基础设施和绿化环境得到精心维护，游客满意度持续走高，社会效益显著。</w:t>
      </w:r>
    </w:p>
    <w:p w14:paraId="74223E0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3、社会效应</w:t>
      </w:r>
      <w:r>
        <w:rPr>
          <w:rFonts w:hint="eastAsia" w:ascii="宋体" w:hAnsi="宋体" w:eastAsia="宋体" w:cs="宋体"/>
          <w:sz w:val="32"/>
          <w:szCs w:val="32"/>
          <w:highlight w:val="none"/>
        </w:rPr>
        <w:t>分析。</w:t>
      </w:r>
    </w:p>
    <w:p w14:paraId="78EE1A6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完善城镇功能品质。住房保障及房地产业管理，保交工作的开展以政策支持为导向，保障房地产市场健康发展。物业服务管理质效的提升，进一步规范我县物业管理活动，维护物业管理各方主体合法权益</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污水基础设施的更新，解决了一批群众反映强烈的涉及渠道水质、污水溢流的问题，同时结合项目逐步实施城区排水管网雨污分流改造，这些都极大的巩固污水治理的成效</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燃气及消防安全的管理，建立完善燃气设施安全保护监管体系，全力防控化解各类燃气安全事故。加强消防安全防控，全面落实人密场所消防审验手续排查整治，保障了人民群众的生命财产安全。</w:t>
      </w:r>
    </w:p>
    <w:p w14:paraId="46FB8E99">
      <w:pPr>
        <w:pStyle w:val="12"/>
        <w:keepNext w:val="0"/>
        <w:keepLines w:val="0"/>
        <w:pageBreakBefore w:val="0"/>
        <w:widowControl w:val="0"/>
        <w:kinsoku/>
        <w:wordWrap/>
        <w:topLinePunct w:val="0"/>
        <w:autoSpaceDE/>
        <w:autoSpaceDN/>
        <w:bidi w:val="0"/>
        <w:adjustRightInd/>
        <w:snapToGrid/>
        <w:spacing w:line="240" w:lineRule="auto"/>
        <w:ind w:left="0" w:leftChars="0" w:firstLine="640" w:firstLineChars="200"/>
        <w:textAlignment w:val="auto"/>
        <w:rPr>
          <w:rFonts w:hint="default" w:ascii="宋体" w:hAnsi="宋体" w:eastAsia="宋体" w:cs="宋体"/>
          <w:kern w:val="2"/>
          <w:sz w:val="32"/>
          <w:szCs w:val="32"/>
          <w:highlight w:val="none"/>
          <w:lang w:val="en-US" w:eastAsia="zh-CN" w:bidi="ar-SA"/>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lang w:eastAsia="zh-CN"/>
        </w:rPr>
        <w:t>）</w:t>
      </w:r>
      <w:r>
        <w:rPr>
          <w:rFonts w:hint="eastAsia" w:ascii="宋体" w:hAnsi="宋体" w:eastAsia="宋体" w:cs="宋体"/>
          <w:kern w:val="2"/>
          <w:sz w:val="32"/>
          <w:szCs w:val="32"/>
          <w:highlight w:val="none"/>
          <w:lang w:val="en-US" w:eastAsia="zh-CN" w:bidi="ar-SA"/>
        </w:rPr>
        <w:t>积极回应民生关切。全年办结信访案件38件，处理12345热线、县长信箱等转办件698件，按时办结率100%，满意率超95%。处理网络问政留言16条，化解重复信访4件。积极化解房地产领域历史遗留问题，打通铜锣湾项目13栋住宅办证堵点，完成交证1922本。</w:t>
      </w:r>
    </w:p>
    <w:p w14:paraId="3302894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4、管理效率分析</w:t>
      </w:r>
      <w:r>
        <w:rPr>
          <w:rFonts w:hint="eastAsia" w:ascii="宋体" w:hAnsi="宋体" w:eastAsia="宋体" w:cs="宋体"/>
          <w:sz w:val="32"/>
          <w:szCs w:val="32"/>
          <w:highlight w:val="none"/>
        </w:rPr>
        <w:t xml:space="preserve">。在资金使用上严格遵照国家财经法规、有关专项资金管理规定和财务管理制度。资金拨付由财务股负责与财政局对接，提供准确无误名册、账号，做好报批、公示、校对、核准等工作。同时利用有限资金完成了党建、扶贫、拆迁等工作，取得良好成效。                                              </w:t>
      </w:r>
    </w:p>
    <w:p w14:paraId="4675EEE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5、服务对象满意度分析</w:t>
      </w: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年按年初目标完成了各项工作任务，尤其在城镇污水和黑臭水体治理、供水供气、农村危房改造等改善民生方面发挥了积极作用，取得了新的成绩，赢得了人民群众的广泛好评。</w:t>
      </w:r>
    </w:p>
    <w:p w14:paraId="1073A5A6">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08DC7867">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1、预算编制与决算支出差异较大，因实行零基预算且无项目支出预算，年度内新增任务缺乏预算来源，导致频繁调剂或追加。</w:t>
      </w:r>
    </w:p>
    <w:p w14:paraId="36F323AD">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2、绩效目标设定过于笼统、可衡量性差，源于对“全面绩效管理”理解不深，以及绩效目标编制、指标设计等专业能力不足。</w:t>
      </w:r>
    </w:p>
    <w:p w14:paraId="41B56E0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296C117D">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1、厉行勤俭节约，严控一般性支出，压减非必要开支，规范资金使用流程，切实提升资金使用效益。</w:t>
      </w:r>
    </w:p>
    <w:p w14:paraId="0B96D362">
      <w:pPr>
        <w:pStyle w:val="1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2、提高思想认识，加强绩效业务培训，提升绩效管理专业化水平。</w:t>
      </w:r>
    </w:p>
    <w:p w14:paraId="5D5C8F2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59690C98">
      <w:pPr>
        <w:pStyle w:val="12"/>
        <w:keepNext w:val="0"/>
        <w:keepLines w:val="0"/>
        <w:pageBreakBefore w:val="0"/>
        <w:widowControl w:val="0"/>
        <w:kinsoku/>
        <w:wordWrap/>
        <w:autoSpaceDE/>
        <w:autoSpaceDN/>
        <w:bidi w:val="0"/>
        <w:adjustRightInd/>
        <w:snapToGrid/>
        <w:spacing w:line="240" w:lineRule="auto"/>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本部门对2025年度部门整体支出绩效自评严格按照既定指标体系、评分标准开展，经综合打分，自评得分97分，评价等级为“优”。同时，按照“谁评价、谁报告、谁公开”的原则，在县人民政府门户网站“财政信息”专栏，依法依规、及时完整的公开了2025年度部门整体支出绩效自评报告及相关结果，并同步报送县财政局预算绩效管理股备案。</w:t>
      </w:r>
    </w:p>
    <w:p w14:paraId="739700E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792EA5D7">
      <w:pPr>
        <w:pStyle w:val="2"/>
        <w:keepNext w:val="0"/>
        <w:keepLines w:val="0"/>
        <w:pageBreakBefore w:val="0"/>
        <w:widowControl w:val="0"/>
        <w:numPr>
          <w:ilvl w:val="0"/>
          <w:numId w:val="0"/>
        </w:numPr>
        <w:kinsoku/>
        <w:wordWrap/>
        <w:autoSpaceDE/>
        <w:autoSpaceDN/>
        <w:bidi w:val="0"/>
        <w:adjustRightInd/>
        <w:snapToGrid/>
        <w:spacing w:line="240" w:lineRule="auto"/>
        <w:ind w:firstLine="640" w:firstLineChars="200"/>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无。</w:t>
      </w:r>
    </w:p>
    <w:p w14:paraId="454E817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w:t>
      </w:r>
      <w:r>
        <w:rPr>
          <w:rFonts w:hint="eastAsia" w:eastAsia="仿宋_GB2312" w:cs="Times New Roman"/>
          <w:sz w:val="32"/>
          <w:szCs w:val="32"/>
          <w:highlight w:val="none"/>
          <w:lang w:val="en-US" w:eastAsia="zh-CN"/>
        </w:rPr>
        <w:t>1.2025年度</w:t>
      </w:r>
      <w:r>
        <w:rPr>
          <w:rFonts w:hint="default" w:ascii="Times New Roman" w:hAnsi="Times New Roman" w:eastAsia="仿宋_GB2312" w:cs="Times New Roman"/>
          <w:sz w:val="32"/>
          <w:szCs w:val="32"/>
          <w:highlight w:val="none"/>
        </w:rPr>
        <w:t>部门整体支出绩效评价基础数据表</w:t>
      </w:r>
    </w:p>
    <w:p w14:paraId="4104E5F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color w:val="auto"/>
        </w:rPr>
      </w:pPr>
      <w:r>
        <w:rPr>
          <w:rFonts w:hint="eastAsia" w:eastAsia="仿宋_GB2312" w:cs="Times New Roman"/>
          <w:sz w:val="32"/>
          <w:szCs w:val="32"/>
          <w:highlight w:val="none"/>
          <w:lang w:eastAsia="zh-CN"/>
        </w:rPr>
        <w:t>附件</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2025年度</w:t>
      </w:r>
      <w:r>
        <w:rPr>
          <w:rFonts w:hint="default" w:ascii="Times New Roman" w:hAnsi="Times New Roman" w:eastAsia="仿宋_GB2312" w:cs="Times New Roman"/>
          <w:sz w:val="32"/>
          <w:szCs w:val="32"/>
          <w:highlight w:val="none"/>
        </w:rPr>
        <w:t>部门整体支出绩效自评表</w:t>
      </w:r>
    </w:p>
    <w:p w14:paraId="141E3A89">
      <w:pPr>
        <w:rPr>
          <w:rFonts w:hint="default" w:ascii="Times New Roman" w:hAnsi="Times New Roman" w:eastAsia="黑体" w:cs="Times New Roman"/>
          <w:color w:val="auto"/>
          <w:sz w:val="28"/>
          <w:szCs w:val="28"/>
        </w:rPr>
      </w:pPr>
    </w:p>
    <w:sectPr>
      <w:headerReference r:id="rId3" w:type="default"/>
      <w:footerReference r:id="rId4" w:type="default"/>
      <w:pgSz w:w="11906" w:h="16838"/>
      <w:pgMar w:top="1928" w:right="1304" w:bottom="1701"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A7845">
    <w:pPr>
      <w:pStyle w:val="6"/>
      <w:framePr w:wrap="around" w:vAnchor="text" w:hAnchor="margin" w:xAlign="outside" w:y="1"/>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- 14 -</w:t>
    </w:r>
    <w:r>
      <w:rPr>
        <w:rFonts w:ascii="宋体" w:hAnsi="宋体"/>
        <w:sz w:val="28"/>
        <w:szCs w:val="28"/>
      </w:rPr>
      <w:fldChar w:fldCharType="end"/>
    </w:r>
  </w:p>
  <w:p w14:paraId="51A5B67A">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9F2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CC562"/>
    <w:multiLevelType w:val="singleLevel"/>
    <w:tmpl w:val="84ECC562"/>
    <w:lvl w:ilvl="0" w:tentative="0">
      <w:start w:val="10"/>
      <w:numFmt w:val="chineseCounting"/>
      <w:suff w:val="nothing"/>
      <w:lvlText w:val="%1、"/>
      <w:lvlJc w:val="left"/>
      <w:rPr>
        <w:rFonts w:hint="eastAsia"/>
      </w:rPr>
    </w:lvl>
  </w:abstractNum>
  <w:abstractNum w:abstractNumId="1">
    <w:nsid w:val="A154170F"/>
    <w:multiLevelType w:val="singleLevel"/>
    <w:tmpl w:val="A154170F"/>
    <w:lvl w:ilvl="0" w:tentative="0">
      <w:start w:val="4"/>
      <w:numFmt w:val="chineseCounting"/>
      <w:suff w:val="nothing"/>
      <w:lvlText w:val="%1、"/>
      <w:lvlJc w:val="left"/>
      <w:rPr>
        <w:rFonts w:hint="eastAsia"/>
      </w:rPr>
    </w:lvl>
  </w:abstractNum>
  <w:abstractNum w:abstractNumId="2">
    <w:nsid w:val="DA3B307A"/>
    <w:multiLevelType w:val="singleLevel"/>
    <w:tmpl w:val="DA3B307A"/>
    <w:lvl w:ilvl="0" w:tentative="0">
      <w:start w:val="1"/>
      <w:numFmt w:val="chineseCounting"/>
      <w:suff w:val="nothing"/>
      <w:lvlText w:val="%1、"/>
      <w:lvlJc w:val="left"/>
      <w:rPr>
        <w:rFonts w:hint="eastAsia"/>
      </w:rPr>
    </w:lvl>
  </w:abstractNum>
  <w:abstractNum w:abstractNumId="3">
    <w:nsid w:val="605C6CCF"/>
    <w:multiLevelType w:val="singleLevel"/>
    <w:tmpl w:val="605C6CCF"/>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YzA1OGQ3OGQ4Y2RiYmZlYzE0M2RlYThkNDZhZjcifQ=="/>
  </w:docVars>
  <w:rsids>
    <w:rsidRoot w:val="00172A27"/>
    <w:rsid w:val="00016E78"/>
    <w:rsid w:val="000517F6"/>
    <w:rsid w:val="0008268B"/>
    <w:rsid w:val="00095703"/>
    <w:rsid w:val="000F340A"/>
    <w:rsid w:val="00157788"/>
    <w:rsid w:val="00222A8C"/>
    <w:rsid w:val="00257791"/>
    <w:rsid w:val="002E08CB"/>
    <w:rsid w:val="0036518A"/>
    <w:rsid w:val="0038757F"/>
    <w:rsid w:val="0039402F"/>
    <w:rsid w:val="004354C2"/>
    <w:rsid w:val="004A4B3B"/>
    <w:rsid w:val="004C7F07"/>
    <w:rsid w:val="0062478A"/>
    <w:rsid w:val="00642F78"/>
    <w:rsid w:val="006450E8"/>
    <w:rsid w:val="00734C32"/>
    <w:rsid w:val="0075130B"/>
    <w:rsid w:val="00784DD9"/>
    <w:rsid w:val="007920AE"/>
    <w:rsid w:val="007C4736"/>
    <w:rsid w:val="008141AF"/>
    <w:rsid w:val="0084115E"/>
    <w:rsid w:val="0096017A"/>
    <w:rsid w:val="009F0C58"/>
    <w:rsid w:val="00B67D55"/>
    <w:rsid w:val="00B83B5A"/>
    <w:rsid w:val="00BC0049"/>
    <w:rsid w:val="00BE380A"/>
    <w:rsid w:val="00C06FFA"/>
    <w:rsid w:val="00C13032"/>
    <w:rsid w:val="00C22B81"/>
    <w:rsid w:val="00C75A34"/>
    <w:rsid w:val="00D66FC8"/>
    <w:rsid w:val="00D703E9"/>
    <w:rsid w:val="00E0714D"/>
    <w:rsid w:val="00E13486"/>
    <w:rsid w:val="00ED18F7"/>
    <w:rsid w:val="00F24A42"/>
    <w:rsid w:val="01311D17"/>
    <w:rsid w:val="01853181"/>
    <w:rsid w:val="01F57BBE"/>
    <w:rsid w:val="027946C2"/>
    <w:rsid w:val="02AC0AE4"/>
    <w:rsid w:val="03740046"/>
    <w:rsid w:val="03AE21D8"/>
    <w:rsid w:val="04874417"/>
    <w:rsid w:val="04D537EF"/>
    <w:rsid w:val="051C4A8C"/>
    <w:rsid w:val="054D010C"/>
    <w:rsid w:val="06E61CDB"/>
    <w:rsid w:val="074C13A1"/>
    <w:rsid w:val="075E313A"/>
    <w:rsid w:val="07F41599"/>
    <w:rsid w:val="088F7561"/>
    <w:rsid w:val="09922893"/>
    <w:rsid w:val="0B1306DF"/>
    <w:rsid w:val="0B8A0A96"/>
    <w:rsid w:val="0C243577"/>
    <w:rsid w:val="0C395F24"/>
    <w:rsid w:val="0C9A348B"/>
    <w:rsid w:val="0CF754CB"/>
    <w:rsid w:val="0D101E50"/>
    <w:rsid w:val="0EA80D14"/>
    <w:rsid w:val="0EE82E08"/>
    <w:rsid w:val="0EF56BDD"/>
    <w:rsid w:val="0F490B74"/>
    <w:rsid w:val="10066A65"/>
    <w:rsid w:val="11FF360E"/>
    <w:rsid w:val="124E024F"/>
    <w:rsid w:val="1347407F"/>
    <w:rsid w:val="14302302"/>
    <w:rsid w:val="153970B2"/>
    <w:rsid w:val="1582093B"/>
    <w:rsid w:val="15F01D49"/>
    <w:rsid w:val="163255EA"/>
    <w:rsid w:val="1715758D"/>
    <w:rsid w:val="173D0DF0"/>
    <w:rsid w:val="189F7A56"/>
    <w:rsid w:val="18BE612E"/>
    <w:rsid w:val="18E727F8"/>
    <w:rsid w:val="19F6645A"/>
    <w:rsid w:val="1BF6798D"/>
    <w:rsid w:val="1D280CE8"/>
    <w:rsid w:val="1D2E4D49"/>
    <w:rsid w:val="1DC964EA"/>
    <w:rsid w:val="1DF83475"/>
    <w:rsid w:val="1EFD1033"/>
    <w:rsid w:val="1F8B184A"/>
    <w:rsid w:val="206C46C2"/>
    <w:rsid w:val="209716B3"/>
    <w:rsid w:val="213A0DBD"/>
    <w:rsid w:val="21696A82"/>
    <w:rsid w:val="21C85928"/>
    <w:rsid w:val="22D87DED"/>
    <w:rsid w:val="22E31FB3"/>
    <w:rsid w:val="23C205BE"/>
    <w:rsid w:val="23CC7105"/>
    <w:rsid w:val="246D27B7"/>
    <w:rsid w:val="2470542F"/>
    <w:rsid w:val="254554E2"/>
    <w:rsid w:val="26CB1A16"/>
    <w:rsid w:val="26F471BF"/>
    <w:rsid w:val="27E31140"/>
    <w:rsid w:val="27EE37D4"/>
    <w:rsid w:val="283F1A51"/>
    <w:rsid w:val="2849353B"/>
    <w:rsid w:val="28BD51DB"/>
    <w:rsid w:val="2962117A"/>
    <w:rsid w:val="2B456631"/>
    <w:rsid w:val="2B4F7403"/>
    <w:rsid w:val="2D9130AB"/>
    <w:rsid w:val="2DF13843"/>
    <w:rsid w:val="2F0B00CE"/>
    <w:rsid w:val="2FB80920"/>
    <w:rsid w:val="2FBC00A2"/>
    <w:rsid w:val="316D2048"/>
    <w:rsid w:val="32B006D0"/>
    <w:rsid w:val="32DA195F"/>
    <w:rsid w:val="33233306"/>
    <w:rsid w:val="33977850"/>
    <w:rsid w:val="33A17DDB"/>
    <w:rsid w:val="33C323F3"/>
    <w:rsid w:val="33E20459"/>
    <w:rsid w:val="340E6BDC"/>
    <w:rsid w:val="347D07F4"/>
    <w:rsid w:val="3611147B"/>
    <w:rsid w:val="36AF3B97"/>
    <w:rsid w:val="36B5561E"/>
    <w:rsid w:val="38F31085"/>
    <w:rsid w:val="38FE5B71"/>
    <w:rsid w:val="39FD49F6"/>
    <w:rsid w:val="3A141AFE"/>
    <w:rsid w:val="3A4B5971"/>
    <w:rsid w:val="3D5C12BD"/>
    <w:rsid w:val="3E963FD6"/>
    <w:rsid w:val="3F34210E"/>
    <w:rsid w:val="41BD4CE5"/>
    <w:rsid w:val="42D62877"/>
    <w:rsid w:val="42D737C5"/>
    <w:rsid w:val="434A3F97"/>
    <w:rsid w:val="4367222D"/>
    <w:rsid w:val="436F1C50"/>
    <w:rsid w:val="43931449"/>
    <w:rsid w:val="468D6B40"/>
    <w:rsid w:val="46F80A40"/>
    <w:rsid w:val="472B65B5"/>
    <w:rsid w:val="477B5067"/>
    <w:rsid w:val="47DF3B60"/>
    <w:rsid w:val="48345886"/>
    <w:rsid w:val="49252813"/>
    <w:rsid w:val="49487A2C"/>
    <w:rsid w:val="49740A6F"/>
    <w:rsid w:val="4A944BE6"/>
    <w:rsid w:val="4BDA55E6"/>
    <w:rsid w:val="4BF74ED8"/>
    <w:rsid w:val="4D425653"/>
    <w:rsid w:val="4E8809F6"/>
    <w:rsid w:val="4E9E6768"/>
    <w:rsid w:val="4F5F0DCA"/>
    <w:rsid w:val="4FB720D5"/>
    <w:rsid w:val="4FE37EA2"/>
    <w:rsid w:val="518F3376"/>
    <w:rsid w:val="525C5F8D"/>
    <w:rsid w:val="52B7716F"/>
    <w:rsid w:val="537531BF"/>
    <w:rsid w:val="537F1368"/>
    <w:rsid w:val="54CA318A"/>
    <w:rsid w:val="55E02539"/>
    <w:rsid w:val="588C5A61"/>
    <w:rsid w:val="592866D1"/>
    <w:rsid w:val="592A6ABE"/>
    <w:rsid w:val="598602B6"/>
    <w:rsid w:val="5A266C80"/>
    <w:rsid w:val="5AC93EE4"/>
    <w:rsid w:val="5AD00DCE"/>
    <w:rsid w:val="5B223DC7"/>
    <w:rsid w:val="5BBD28AC"/>
    <w:rsid w:val="5C3655A9"/>
    <w:rsid w:val="5C432A29"/>
    <w:rsid w:val="5C5B1CAF"/>
    <w:rsid w:val="5D7C2467"/>
    <w:rsid w:val="5DBA0848"/>
    <w:rsid w:val="5F836B23"/>
    <w:rsid w:val="5F8A3717"/>
    <w:rsid w:val="5FE570CA"/>
    <w:rsid w:val="600C0AFA"/>
    <w:rsid w:val="60F94CA5"/>
    <w:rsid w:val="651D7306"/>
    <w:rsid w:val="657F43A5"/>
    <w:rsid w:val="65B66C39"/>
    <w:rsid w:val="66495ED8"/>
    <w:rsid w:val="66A47BB8"/>
    <w:rsid w:val="68797FAC"/>
    <w:rsid w:val="6947264B"/>
    <w:rsid w:val="696F3EA8"/>
    <w:rsid w:val="6A1F0C58"/>
    <w:rsid w:val="6AFA70CB"/>
    <w:rsid w:val="6C4705FD"/>
    <w:rsid w:val="6C551141"/>
    <w:rsid w:val="6C815E4F"/>
    <w:rsid w:val="6CDC64B4"/>
    <w:rsid w:val="6D1F2460"/>
    <w:rsid w:val="6DCC7B1B"/>
    <w:rsid w:val="6E151D01"/>
    <w:rsid w:val="6E463D9C"/>
    <w:rsid w:val="6F495B4E"/>
    <w:rsid w:val="704A6210"/>
    <w:rsid w:val="70D2469B"/>
    <w:rsid w:val="71127683"/>
    <w:rsid w:val="7171260C"/>
    <w:rsid w:val="71D82BCE"/>
    <w:rsid w:val="71E34D20"/>
    <w:rsid w:val="724C3A9C"/>
    <w:rsid w:val="732C3BB6"/>
    <w:rsid w:val="74A32866"/>
    <w:rsid w:val="777C5092"/>
    <w:rsid w:val="783E0A08"/>
    <w:rsid w:val="78654DF4"/>
    <w:rsid w:val="78E26444"/>
    <w:rsid w:val="78F52843"/>
    <w:rsid w:val="7A7835C5"/>
    <w:rsid w:val="7A9F4CE9"/>
    <w:rsid w:val="7AF10BC1"/>
    <w:rsid w:val="7C6F7FEF"/>
    <w:rsid w:val="7CC83BA3"/>
    <w:rsid w:val="7CEC7892"/>
    <w:rsid w:val="7D164D84"/>
    <w:rsid w:val="7D8661DC"/>
    <w:rsid w:val="7DCD7BD3"/>
    <w:rsid w:val="7DF90BE0"/>
    <w:rsid w:val="7EF2064A"/>
    <w:rsid w:val="7F040FC2"/>
    <w:rsid w:val="7F6C6A68"/>
    <w:rsid w:val="7F741DC0"/>
    <w:rsid w:val="7F993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link w:val="10"/>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 Char Char Char Char Char Char1"/>
    <w:basedOn w:val="1"/>
    <w:link w:val="9"/>
    <w:qFormat/>
    <w:uiPriority w:val="0"/>
    <w:rPr>
      <w:rFonts w:ascii="Tahoma" w:hAnsi="Tahoma"/>
      <w:sz w:val="24"/>
      <w:szCs w:val="20"/>
    </w:rPr>
  </w:style>
  <w:style w:type="character" w:styleId="11">
    <w:name w:val="page number"/>
    <w:basedOn w:val="9"/>
    <w:qFormat/>
    <w:uiPriority w:val="0"/>
  </w:style>
  <w:style w:type="paragraph" w:customStyle="1" w:styleId="12">
    <w:name w:val="列出段落1"/>
    <w:basedOn w:val="1"/>
    <w:qFormat/>
    <w:uiPriority w:val="34"/>
    <w:pPr>
      <w:ind w:firstLine="420" w:firstLineChars="200"/>
    </w:p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ef1f8dba-cb4c-487a-a584-6b4c6f94a027</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25BDCB6A</paraID>
      <start>47</start>
      <end>54</end>
      <status>unmodified</status>
      <modifiedWord/>
      <trackRevisions>false</trackRevisions>
    </reviewItem>
    <reviewItem>
      <errorID>e352a274-c641-4611-bfaa-8103cc59074f</errorID>
      <errorWord>所有</errorWord>
      <group>L1_AI</group>
      <groupName>深度校对</groupName>
      <ability>L2_AI_Grammar</ability>
      <abilityName>语法纠错</abilityName>
      <candidateList>
        <item>包括所有</item>
      </candidateList>
      <explain/>
      <paraID>7F49A5F2</paraID>
      <start>29</start>
      <end>33</end>
      <status>modified</status>
      <modifiedWord>包括所有</modifiedWord>
      <trackRevisions>false</trackRevisions>
    </reviewItem>
    <reviewItem>
      <errorID>88ec5d70-be3c-4ec0-8f2b-e27336e118b9</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4BE1A8BD</paraID>
      <start>1</start>
      <end>8</end>
      <status>unmodified</status>
      <modifiedWord/>
      <trackRevisions>false</trackRevisions>
    </reviewItem>
    <reviewItem>
      <errorID>175c0c40-71b6-4d11-856d-c552eb05e689</errorID>
      <errorWord>国民经济与社会发展规划</errorWord>
      <group>L1_Knowledge</group>
      <groupName>知识性问题</groupName>
      <ability>L2_Term</ability>
      <abilityName>专业术语</abilityName>
      <candidateList>
        <item>国民经济和社会发展规划</item>
      </candidateList>
      <explain/>
      <paraID>4BE1A8BD</paraID>
      <start>153</start>
      <end>164</end>
      <status>modified</status>
      <modifiedWord>国民经济和社会发展规划</modifiedWord>
      <trackRevisions>false</trackRevisions>
    </reviewItem>
    <reviewItem>
      <errorID>7c26be34-bc69-4c93-99e2-96aff3c540b3</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618079F2</paraID>
      <start>41</start>
      <end>47</end>
      <status>modified</status>
      <modifiedWord>“三公”经费</modifiedWord>
      <trackRevisions>false</trackRevisions>
    </reviewItem>
    <reviewItem>
      <errorID>940a967f-ac71-4954-8f0e-75ecd291bfb3</errorID>
      <errorWord>勘察</errorWord>
      <group>L1_AI</group>
      <groupName>深度校对</groupName>
      <ability>L2_AI_Word</ability>
      <abilityName>字词纠错</abilityName>
      <candidateList>
        <item>勘查</item>
      </candidateList>
      <explain/>
      <paraID>55418D9F</paraID>
      <start>39</start>
      <end>41</end>
      <status>unmodified</status>
      <modifiedWord/>
      <trackRevisions>false</trackRevisions>
    </reviewItem>
    <reviewItem>
      <errorID>2c14c481-6624-44a3-950e-cd289a04e7e4</errorID>
      <errorWord>/)</errorWord>
      <group>L1_Punc</group>
      <groupName>标点问题</groupName>
      <ability>L2_Punc</ability>
      <abilityName>标点符号检查</abilityName>
      <candidateList>
        <item>)</item>
      </candidateList>
      <explain/>
      <paraID> 520F2CF</paraID>
      <start>232</start>
      <end>234</end>
      <status>unmodified</status>
      <modifiedWord/>
      <trackRevisions>false</trackRevisions>
    </reviewItem>
    <reviewItem>
      <errorID>a7ad8543-0f26-4c78-b32c-d6c203730cf3</errorID>
      <errorWord>:</errorWord>
      <group>L1_Format</group>
      <groupName>格式问题</groupName>
      <ability>L2_HalfPunc</ability>
      <abilityName>全半角检查</abilityName>
      <candidateList>
        <item>：</item>
      </candidateList>
      <explain>文本全半角错误。</explain>
      <paraID> 520F2CF</paraID>
      <start>238</start>
      <end>239</end>
      <status>unmodified</status>
      <modifiedWord/>
      <trackRevisions>false</trackRevisions>
    </reviewItem>
    <reviewItem>
      <errorID>aacd18fa-25e8-4592-8476-c3ccde5b3bcd</errorID>
      <errorWord>:</errorWord>
      <group>L1_Format</group>
      <groupName>格式问题</groupName>
      <ability>L2_HalfPunc</ability>
      <abilityName>全半角检查</abilityName>
      <candidateList>
        <item>：</item>
      </candidateList>
      <explain>文本全半角错误。</explain>
      <paraID> 520F2CF</paraID>
      <start>251</start>
      <end>252</end>
      <status>unmodified</status>
      <modifiedWord/>
      <trackRevisions>false</trackRevisions>
    </reviewItem>
    <reviewItem>
      <errorID>d0b0766c-3579-4fb1-85e1-7d1181d40439</errorID>
      <errorWord>)</errorWord>
      <group>L1_Format</group>
      <groupName>格式问题</groupName>
      <ability>L2_HalfPunc</ability>
      <abilityName>全半角检查</abilityName>
      <candidateList>
        <item>）</item>
      </candidateList>
      <explain>文本全半角错误。</explain>
      <paraID> 520F2CF</paraID>
      <start>262</start>
      <end>263</end>
      <status>unmodified</status>
      <modifiedWord/>
      <trackRevisions>false</trackRevisions>
    </reviewItem>
    <reviewItem>
      <errorID>3a114c67-e138-4acf-9008-e6ccaae1f0eb</errorID>
      <errorWord>-</errorWord>
      <group>L1_Format</group>
      <groupName>格式问题</groupName>
      <ability>L2_HalfPunc</ability>
      <abilityName>全半角检查</abilityName>
      <candidateList>
        <item>－</item>
      </candidateList>
      <explain>文本全半角错误。</explain>
      <paraID> 520F2CF</paraID>
      <start>271</start>
      <end>272</end>
      <status>unmodified</status>
      <modifiedWord/>
      <trackRevisions>false</trackRevisions>
    </reviewItem>
    <reviewItem>
      <errorID>4fc25bd9-c9f2-4b06-827e-a4d765bd9846</errorID>
      <errorWord>-</errorWord>
      <group>L1_Format</group>
      <groupName>格式问题</groupName>
      <ability>L2_HalfPunc</ability>
      <abilityName>全半角检查</abilityName>
      <candidateList>
        <item>－</item>
      </candidateList>
      <explain>文本全半角错误。</explain>
      <paraID> 520F2CF</paraID>
      <start>276</start>
      <end>277</end>
      <status>unmodified</status>
      <modifiedWord/>
      <trackRevisions>false</trackRevisions>
    </reviewItem>
    <reviewItem>
      <errorID>dae3062f-02bd-4c12-8edb-7ace0aecfbae</errorID>
      <errorWord>-</errorWord>
      <group>L1_Format</group>
      <groupName>格式问题</groupName>
      <ability>L2_HalfPunc</ability>
      <abilityName>全半角检查</abilityName>
      <candidateList>
        <item>－</item>
      </candidateList>
      <explain>文本全半角错误。</explain>
      <paraID> 520F2CF</paraID>
      <start>283</start>
      <end>284</end>
      <status>unmodified</status>
      <modifiedWord/>
      <trackRevisions>false</trackRevisions>
    </reviewItem>
    <reviewItem>
      <errorID>14f32a3f-2260-4e89-bc15-ba59c41237e3</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5BB1B286</paraID>
      <start>0</start>
      <end>6</end>
      <status>modified</status>
      <modifiedWord>“三公”经费</modifiedWord>
      <trackRevisions>false</trackRevisions>
    </reviewItem>
    <reviewItem>
      <errorID>2556b8b9-dcfe-4dde-af0f-95ae3ffdba9c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1CE7C406</paraID>
      <start>3</start>
      <end>5</end>
      <status>modified</status>
      <modifiedWord>1.</modifiedWord>
      <trackRevisions>false</trackRevisions>
    </reviewItem>
    <reviewItem>
      <errorID>1a907d27-f789-4d88-a8ad-7dd4b2591820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211E916D</paraID>
      <start>3</start>
      <end>5</end>
      <status>modified</status>
      <modifiedWord>2.</modifiedWord>
      <trackRevisions>false</trackRevisions>
    </reviewItem>
    <reviewItem>
      <errorID>acdf2ee8-2412-4623-8a91-b747ebb968ac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ABA0DE7</paraID>
      <start>3</start>
      <end>5</end>
      <status>modified</status>
      <modifiedWord>3.</modifiedWord>
      <trackRevisions>false</trackRevisions>
    </reviewItem>
    <reviewItem>
      <errorID>d95eb9d0-a447-443e-96d3-5048368ca032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6FF398AF</paraID>
      <start>3</start>
      <end>5</end>
      <status>modified</status>
      <modifiedWord>1.</modifiedWord>
      <trackRevisions>false</trackRevisions>
    </reviewItem>
    <reviewItem>
      <errorID>4eb3a2c9-4cc9-48bf-891e-436570787575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FC09FDB</paraID>
      <start>3</start>
      <end>5</end>
      <status>modified</status>
      <modifiedWord>2.</modifiedWord>
      <trackRevisions>false</trackRevisions>
    </reviewItem>
    <reviewItem>
      <errorID>a135620b-db6a-4799-b2e2-22c23178fb34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1CFCEE53</paraID>
      <start>0</start>
      <end>2</end>
      <status>modified</status>
      <modifiedWord>3.</modifiedWord>
      <trackRevisions>false</trackRevisions>
    </reviewItem>
    <reviewItem>
      <errorID>ffa8cf1e-bc85-46c3-9aec-2b36b01edfda</errorID>
      <errorWord>)</errorWord>
      <group>L1_Format</group>
      <groupName>格式问题</groupName>
      <ability>L2_HalfPunc</ability>
      <abilityName>全半角检查</abilityName>
      <candidateList>
        <item>）</item>
      </candidateList>
      <explain>文本全半角错误。</explain>
      <paraID>2E7B71B4</paraID>
      <start>4</start>
      <end>5</end>
      <status>unmodified</status>
      <modifiedWord/>
      <trackRevisions>false</trackRevisions>
    </reviewItem>
    <reviewItem>
      <errorID>aca118f5-d6ec-432a-be7e-d5c0cbee662b</errorID>
      <errorWord>)</errorWord>
      <group>L1_Format</group>
      <groupName>格式问题</groupName>
      <ability>L2_HalfPunc</ability>
      <abilityName>全半角检查</abilityName>
      <candidateList>
        <item>）</item>
      </candidateList>
      <explain>文本全半角错误。</explain>
      <paraID>4A93BB1D</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dd07514e-7573-4c16-bde0-10cdc8a1a2b6}">
  <ds:schemaRefs/>
</ds:datastoreItem>
</file>

<file path=docProps/app.xml><?xml version="1.0" encoding="utf-8"?>
<Properties xmlns="http://schemas.openxmlformats.org/officeDocument/2006/extended-properties" xmlns:vt="http://schemas.openxmlformats.org/officeDocument/2006/docPropsVTypes">
  <Template>Normal</Template>
  <Pages>8</Pages>
  <Words>3376</Words>
  <Characters>3620</Characters>
  <Lines>69</Lines>
  <Paragraphs>19</Paragraphs>
  <TotalTime>63</TotalTime>
  <ScaleCrop>false</ScaleCrop>
  <LinksUpToDate>false</LinksUpToDate>
  <CharactersWithSpaces>3669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2018-03-15T01:03:00Z</dcterms:created>
  <dc:creator>Windows 用户</dc:creator>
  <cp:lastModifiedBy>钟哥</cp:lastModifiedBy>
  <cp:lastPrinted>2026-04-09T01:44:00Z</cp:lastPrinted>
  <dcterms:modified xsi:type="dcterms:W3CDTF">2026-04-09T03:15:25Z</dcterms:modified>
  <dc:title>关于开展2016年度一般公共预算资金</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497132290_btnclosed</vt:lpwstr>
  </property>
  <property fmtid="{D5CDD505-2E9C-101B-9397-08002B2CF9AE}" pid="4" name="ICV">
    <vt:lpwstr>B8ACCF6D449D46FA8B8B6E11036278D0_13</vt:lpwstr>
  </property>
  <property fmtid="{D5CDD505-2E9C-101B-9397-08002B2CF9AE}" pid="5" name="KSOTemplateDocerSaveRecord">
    <vt:lpwstr>eyJoZGlkIjoiYjM4ZDY3OTI3YWNmNmUyM2NiYTJhNzdjZTAxMDkzNTQiLCJ1c2VySWQiOiI1MDkzMzcwMTYifQ==</vt:lpwstr>
  </property>
</Properties>
</file>