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bookmarkEnd w:id="0"/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南县供销合作社联合社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786.02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786.02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572.59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485.67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1.54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166.80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44.56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881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全面贯彻落实“二十大”会议和上级财政会议精神，围绕县委、县政府各项决策部署，以过好“紧日子”为主线，提高财政资金使用效益。</w:t>
            </w:r>
          </w:p>
          <w:p w14:paraId="74DFC5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1.深化供销改革，协助建设高质量发展基层社，助推乡村振兴，促进农民增收致富。</w:t>
            </w:r>
          </w:p>
          <w:p w14:paraId="0C7FBF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2.维护全系统稳定工作，不出现赴省上京事件。</w:t>
            </w:r>
          </w:p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3.为留守人员提供服务，保障留守人员正常的待遇。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新建基层社2个、提质改造6个，打造示范社 1个；秸秆综合利用率稳定95%以上；淡储农资9300吨；农业社会化托管土地1.1 万亩。“三公”经费仅支出0.06万元，严控行政成本。深化“村社共建”，基层社从单一供应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方式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向综合服务转型；数字供销赋能稻虾全产业链。服务对象满意度高：面向农户、合作社、涉农企业的服务保障到位，群众与经营主体满意度较高。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BD6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改造升级基层供销社数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7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B6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6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C9AA">
            <w:pP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6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0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B00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A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1455">
            <w:pP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及时缴纳企业改制人员医保和社保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及时缴纳企业改制人员医保和社保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及时缴纳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D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46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5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94E8">
            <w:pP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促进合作社农民增产增收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促进合作社农民增产增收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F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E3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69F9">
            <w:pP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FD3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6F2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C0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70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8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18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B2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7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保证企业改制遗留人员满意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CB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3D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8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节约资金，不超过预算的115%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3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CCE1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C5D23"/>
    <w:rsid w:val="773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2026-04-10T08:35:00Z</dcterms:created>
  <dc:creator>舞辛夷</dc:creator>
  <cp:lastModifiedBy>舞辛夷</cp:lastModifiedBy>
  <dcterms:modified xsi:type="dcterms:W3CDTF">2026-04-10T08:36:05Z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031704C910A04611BB1BE576E922DA2C_11</vt:lpwstr>
  </property>
  <property fmtid="{D5CDD505-2E9C-101B-9397-08002B2CF9AE}" pid="4" name="KSOTemplateDocerSaveRecord">
    <vt:lpwstr>eyJoZGlkIjoiMmYxZGVkYWY5MjU5ODFlNzA1NDA2NzFmMjUzYjUyNDAiLCJ1c2VySWQiOiIxMDYxMDU4MzkyIn0=</vt:lpwstr>
  </property>
</Properties>
</file>