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98329">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63B376E6">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14BECFC">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749004">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56FA2F78">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859FE9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7C83FCF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94C1B3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73465D6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A342B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0BB966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5D841C9B">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EA48FD">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1000E795">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F8FA8C">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5CE458C0">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36D6A99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6ED7EF">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0D20775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FA0946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317B1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31300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3EE060D9">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6E95EA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9AEA89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7281FC">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67A15D0">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0D04FFF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7339A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9088F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3E45C0BA">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1CD282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75E7BB">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6392CC9A">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667FC962">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C6F521">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05779F0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23983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0F467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0CE77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23504610">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307883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595786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573A6C">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2573684A">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4407AE33">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606046C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B24FC5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E3E9C8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789F9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25E93FC7">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50A11B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F6D498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B8A467">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16209C3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8A18CE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44E326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254E9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10D33FA3">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8021A6">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A1F80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2A47466">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2898B4F2">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DA975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BD97080">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EE115A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1C55E2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A21B2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3456D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52D9E5F6">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7A909CA">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B098E10">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0A5A88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F6D5B70">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568930C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EDE8D8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9ACF8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A540B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6DE51B5C">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8ACFD1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593477E">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FD66E4">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AE319A1">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1D090F5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3A47D3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6D985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12B17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15D45AAD">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A2D0137">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43A2DC1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1FCDB22">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59428E6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822A3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73E93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C6ADE3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1CE4EE20">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31D9103F">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0D7B88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64063CF">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01560DC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000777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0B1D2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30B77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C73ECD7">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4A87153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519647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415EE08">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11D20F6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14606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7C98F7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1A417949">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5F63313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3595DBF">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DDA4FC">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0C86D2F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1DE7E3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EFF2B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68448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1F66EC73">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0B5103D">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692293">
            <w:pPr>
              <w:spacing w:line="240" w:lineRule="exact"/>
              <w:jc w:val="center"/>
              <w:rPr>
                <w:rFonts w:hint="eastAsia" w:ascii="仿宋_GB2312"/>
                <w:color w:val="000000"/>
                <w:szCs w:val="21"/>
              </w:rPr>
            </w:pPr>
            <w:r>
              <w:rPr>
                <w:rFonts w:hint="eastAsia" w:ascii="仿宋_GB2312"/>
                <w:color w:val="000000"/>
                <w:szCs w:val="21"/>
              </w:rPr>
              <w:t>预算</w:t>
            </w:r>
          </w:p>
          <w:p w14:paraId="16096490">
            <w:pPr>
              <w:spacing w:line="240" w:lineRule="exact"/>
              <w:jc w:val="center"/>
              <w:rPr>
                <w:rFonts w:hint="eastAsia" w:ascii="仿宋_GB2312"/>
                <w:color w:val="000000"/>
                <w:szCs w:val="21"/>
              </w:rPr>
            </w:pPr>
            <w:r>
              <w:rPr>
                <w:rFonts w:hint="eastAsia" w:ascii="仿宋_GB2312"/>
                <w:color w:val="000000"/>
                <w:szCs w:val="21"/>
              </w:rPr>
              <w:t>管理</w:t>
            </w:r>
          </w:p>
          <w:p w14:paraId="1267C9DC">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132BA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742C94E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8AC938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01728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2CDD6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D1FA12C">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DDAE66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9FF5BA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AB6EA6">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5F36DF5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32686C0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5B812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1C421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4D1CF9C2">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3B79ED8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C9D14E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2262D5">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140E1B2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511B59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F050F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6AC46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1021880D">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577676F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156536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3A3249">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A4BD38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6055D9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7EF12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3AD5B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030E4CEC">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7CF9D19D">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155584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018D8254">
            <w:pPr>
              <w:spacing w:line="240" w:lineRule="exact"/>
              <w:jc w:val="center"/>
              <w:rPr>
                <w:rFonts w:hint="eastAsia" w:ascii="仿宋_GB2312"/>
                <w:color w:val="000000"/>
                <w:szCs w:val="21"/>
              </w:rPr>
            </w:pPr>
            <w:r>
              <w:rPr>
                <w:rFonts w:hint="eastAsia" w:ascii="仿宋_GB2312"/>
                <w:color w:val="000000"/>
                <w:szCs w:val="21"/>
              </w:rPr>
              <w:t>管理</w:t>
            </w:r>
          </w:p>
          <w:p w14:paraId="221FFF2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4DDADD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12CECC6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2D9F0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2795E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08E40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1BC96FA8">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8FAD53C">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9F5E20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6AD050C">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1C08ABD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D24088A">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CB52BC">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7276E7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50FB2C5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451461E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EF8BBE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71D8909">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1ECE289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0C100C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32196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8B237E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B2F2BFB">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1B0C8B">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9BCCBC">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23783887">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FF37F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4FE622B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5F60ABD7">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2347C6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C6A40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5AF6D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320DC68E">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82AB70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0DDD77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B1F5D2">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2B9DF698">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278D607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C19128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BA262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9C1FD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233B73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BD9D0F7">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2E4AD8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514003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69A034">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47FAA427">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3D5A502E">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3AD2EB6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4B920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C1E0C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24E2C003">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A2E35E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61362E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683BB2">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494330F3">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72CDA67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080DF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4B90C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7E0BE26F">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12FE5C">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100BB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4CD0473E">
            <w:pPr>
              <w:spacing w:line="240" w:lineRule="exact"/>
              <w:jc w:val="center"/>
              <w:rPr>
                <w:rFonts w:hint="eastAsia" w:ascii="仿宋_GB2312"/>
                <w:color w:val="000000"/>
                <w:sz w:val="18"/>
                <w:szCs w:val="18"/>
              </w:rPr>
            </w:pPr>
            <w:r>
              <w:rPr>
                <w:rFonts w:hint="eastAsia" w:ascii="仿宋_GB2312"/>
                <w:color w:val="000000"/>
                <w:sz w:val="18"/>
                <w:szCs w:val="18"/>
              </w:rPr>
              <w:t>效益</w:t>
            </w:r>
          </w:p>
          <w:p w14:paraId="36B8883F">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84A4F2">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7DEBECA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F8AEED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2A8F8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F9606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2D823FA3">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AE5980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B8C0B2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61D1DD">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54E7EA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79122B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8DDBD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2E7B5F3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47B7FE1">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4B1AE1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D46B99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2DFD09">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6E3ACC8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8B96F5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B5332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AF73D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B3860A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B85D3B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22D51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118D48">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79A72B3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93965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02A00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6F4F171D">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096762A6">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B7CEC53">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BF8B9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82063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9F99E6A"/>
    <w:p w14:paraId="1E78D1A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F249">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D4D2EF">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D4D2EF">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20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D6C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F545">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B74C">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4897">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3921226F"/>
    <w:rsid w:val="45D5630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