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5C132F">
      <w:pPr>
        <w:jc w:val="center"/>
        <w:rPr>
          <w:rFonts w:hint="eastAsia" w:ascii="黑体" w:eastAsia="黑体"/>
          <w:bCs/>
          <w:color w:val="000000"/>
          <w:sz w:val="36"/>
          <w:szCs w:val="36"/>
        </w:rPr>
      </w:pPr>
      <w:r>
        <w:rPr>
          <w:rFonts w:hint="eastAsia" w:ascii="黑体" w:eastAsia="黑体"/>
          <w:bCs/>
          <w:color w:val="000000"/>
          <w:sz w:val="36"/>
          <w:szCs w:val="36"/>
        </w:rPr>
        <w:t>20</w:t>
      </w:r>
      <w:r>
        <w:rPr>
          <w:rFonts w:hint="eastAsia" w:ascii="黑体" w:eastAsia="黑体"/>
          <w:bCs/>
          <w:color w:val="000000"/>
          <w:sz w:val="36"/>
          <w:szCs w:val="36"/>
          <w:lang w:val="en-US" w:eastAsia="zh-CN"/>
        </w:rPr>
        <w:t>25</w:t>
      </w:r>
      <w:bookmarkStart w:id="0" w:name="_GoBack"/>
      <w:bookmarkEnd w:id="0"/>
      <w:r>
        <w:rPr>
          <w:rFonts w:hint="eastAsia" w:ascii="黑体" w:eastAsia="黑体"/>
          <w:bCs/>
          <w:color w:val="000000"/>
          <w:sz w:val="36"/>
          <w:szCs w:val="36"/>
        </w:rPr>
        <w:t>年部门整体支出绩效自评指标计分表</w:t>
      </w:r>
    </w:p>
    <w:p w14:paraId="7B55AE8E">
      <w:pPr>
        <w:spacing w:line="300" w:lineRule="exact"/>
        <w:rPr>
          <w:rFonts w:hint="eastAsia" w:ascii="黑体" w:eastAsia="黑体"/>
          <w:color w:val="000000"/>
          <w:szCs w:val="32"/>
        </w:rPr>
      </w:pPr>
    </w:p>
    <w:tbl>
      <w:tblPr>
        <w:tblStyle w:val="5"/>
        <w:tblW w:w="9992" w:type="dxa"/>
        <w:jc w:val="center"/>
        <w:tblLayout w:type="fixed"/>
        <w:tblCellMar>
          <w:top w:w="0" w:type="dxa"/>
          <w:left w:w="0" w:type="dxa"/>
          <w:bottom w:w="0" w:type="dxa"/>
          <w:right w:w="0" w:type="dxa"/>
        </w:tblCellMar>
      </w:tblPr>
      <w:tblGrid>
        <w:gridCol w:w="828"/>
        <w:gridCol w:w="784"/>
        <w:gridCol w:w="848"/>
        <w:gridCol w:w="368"/>
        <w:gridCol w:w="2792"/>
        <w:gridCol w:w="4372"/>
      </w:tblGrid>
      <w:tr w14:paraId="1DE9CF70">
        <w:tblPrEx>
          <w:tblCellMar>
            <w:top w:w="0" w:type="dxa"/>
            <w:left w:w="0" w:type="dxa"/>
            <w:bottom w:w="0" w:type="dxa"/>
            <w:right w:w="0" w:type="dxa"/>
          </w:tblCellMar>
        </w:tblPrEx>
        <w:trPr>
          <w:trHeight w:val="853" w:hRule="atLeast"/>
          <w:tblHeader/>
          <w:jc w:val="center"/>
        </w:trPr>
        <w:tc>
          <w:tcPr>
            <w:tcW w:w="82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BBA6E4A">
            <w:pPr>
              <w:spacing w:line="240" w:lineRule="exact"/>
              <w:jc w:val="center"/>
              <w:rPr>
                <w:rFonts w:hint="eastAsia" w:ascii="黑体" w:hAnsi="黑体" w:eastAsia="黑体"/>
                <w:bCs/>
                <w:color w:val="000000"/>
                <w:szCs w:val="21"/>
                <w:lang w:eastAsia="zh-CN"/>
              </w:rPr>
            </w:pPr>
            <w:r>
              <w:rPr>
                <w:rFonts w:hint="eastAsia" w:ascii="黑体" w:hAnsi="黑体" w:eastAsia="黑体"/>
                <w:bCs/>
                <w:color w:val="000000"/>
                <w:szCs w:val="21"/>
              </w:rPr>
              <w:t>一级</w:t>
            </w:r>
          </w:p>
          <w:p w14:paraId="283B4B01">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指标</w:t>
            </w:r>
          </w:p>
        </w:tc>
        <w:tc>
          <w:tcPr>
            <w:tcW w:w="784"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0847ECA8">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二级</w:t>
            </w:r>
          </w:p>
          <w:p w14:paraId="7F6A23BB">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指标</w:t>
            </w: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6D5750D3">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三级  指标</w:t>
            </w:r>
          </w:p>
        </w:tc>
        <w:tc>
          <w:tcPr>
            <w:tcW w:w="368" w:type="dxa"/>
            <w:tcBorders>
              <w:top w:val="single" w:color="auto" w:sz="4" w:space="0"/>
              <w:left w:val="nil"/>
              <w:bottom w:val="single" w:color="auto" w:sz="4" w:space="0"/>
              <w:right w:val="single" w:color="auto" w:sz="4" w:space="0"/>
            </w:tcBorders>
            <w:noWrap w:val="0"/>
            <w:vAlign w:val="center"/>
          </w:tcPr>
          <w:p w14:paraId="5E0EA7C6">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自评分</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58034BE">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指标解释</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2D210007">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指标说明</w:t>
            </w:r>
          </w:p>
        </w:tc>
      </w:tr>
      <w:tr w14:paraId="4E841863">
        <w:tblPrEx>
          <w:tblCellMar>
            <w:top w:w="0" w:type="dxa"/>
            <w:left w:w="0" w:type="dxa"/>
            <w:bottom w:w="0" w:type="dxa"/>
            <w:right w:w="0" w:type="dxa"/>
          </w:tblCellMar>
        </w:tblPrEx>
        <w:trPr>
          <w:trHeight w:val="1327" w:hRule="atLeast"/>
          <w:jc w:val="center"/>
        </w:trPr>
        <w:tc>
          <w:tcPr>
            <w:tcW w:w="828"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4EFF5F4">
            <w:pPr>
              <w:spacing w:line="240" w:lineRule="exact"/>
              <w:jc w:val="center"/>
              <w:rPr>
                <w:rFonts w:hint="eastAsia" w:ascii="仿宋_GB2312"/>
                <w:color w:val="000000"/>
                <w:szCs w:val="21"/>
              </w:rPr>
            </w:pPr>
            <w:r>
              <w:rPr>
                <w:rFonts w:hint="eastAsia" w:ascii="仿宋_GB2312"/>
                <w:color w:val="000000"/>
                <w:szCs w:val="21"/>
              </w:rPr>
              <w:t>投</w:t>
            </w:r>
            <w:r>
              <w:rPr>
                <w:rFonts w:hint="eastAsia" w:ascii="仿宋_GB2312"/>
                <w:color w:val="000000"/>
                <w:szCs w:val="21"/>
                <w:lang w:val="en-US" w:eastAsia="zh-CN"/>
              </w:rPr>
              <w:t xml:space="preserve"> </w:t>
            </w:r>
            <w:r>
              <w:rPr>
                <w:rFonts w:hint="eastAsia" w:ascii="仿宋_GB2312"/>
                <w:color w:val="000000"/>
                <w:szCs w:val="21"/>
              </w:rPr>
              <w:t>入</w:t>
            </w:r>
          </w:p>
          <w:p w14:paraId="539B80A4">
            <w:pPr>
              <w:spacing w:line="240" w:lineRule="exact"/>
              <w:jc w:val="center"/>
              <w:rPr>
                <w:rFonts w:hint="eastAsia" w:ascii="仿宋_GB2312"/>
                <w:color w:val="000000"/>
                <w:szCs w:val="21"/>
              </w:rPr>
            </w:pPr>
            <w:r>
              <w:rPr>
                <w:rFonts w:hint="eastAsia" w:ascii="仿宋_GB2312"/>
                <w:color w:val="000000"/>
                <w:szCs w:val="21"/>
              </w:rPr>
              <w:t>（20分）</w:t>
            </w: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27CD484">
            <w:pPr>
              <w:spacing w:line="240" w:lineRule="exact"/>
              <w:jc w:val="center"/>
              <w:rPr>
                <w:rFonts w:hint="eastAsia" w:ascii="宋体" w:hAnsi="宋体" w:eastAsia="宋体"/>
                <w:color w:val="000000"/>
                <w:sz w:val="18"/>
                <w:szCs w:val="18"/>
                <w:lang w:eastAsia="zh-CN"/>
              </w:rPr>
            </w:pPr>
            <w:r>
              <w:rPr>
                <w:rFonts w:hint="eastAsia" w:ascii="宋体" w:hAnsi="宋体"/>
                <w:color w:val="000000"/>
                <w:sz w:val="18"/>
                <w:szCs w:val="18"/>
              </w:rPr>
              <w:t>目标</w:t>
            </w:r>
          </w:p>
          <w:p w14:paraId="7DE3189C">
            <w:pPr>
              <w:spacing w:line="240" w:lineRule="exact"/>
              <w:jc w:val="center"/>
              <w:rPr>
                <w:rFonts w:hint="eastAsia" w:ascii="宋体" w:hAnsi="宋体"/>
                <w:color w:val="000000"/>
                <w:sz w:val="18"/>
                <w:szCs w:val="18"/>
              </w:rPr>
            </w:pPr>
            <w:r>
              <w:rPr>
                <w:rFonts w:hint="eastAsia" w:ascii="宋体" w:hAnsi="宋体"/>
                <w:color w:val="000000"/>
                <w:sz w:val="18"/>
                <w:szCs w:val="18"/>
              </w:rPr>
              <w:t>设定</w:t>
            </w:r>
          </w:p>
          <w:p w14:paraId="0D4836C9">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D4DAC73">
            <w:pPr>
              <w:spacing w:line="240" w:lineRule="exact"/>
              <w:jc w:val="center"/>
              <w:rPr>
                <w:rFonts w:hint="eastAsia" w:ascii="宋体" w:hAnsi="宋体"/>
                <w:color w:val="000000"/>
                <w:sz w:val="18"/>
                <w:szCs w:val="18"/>
              </w:rPr>
            </w:pPr>
            <w:r>
              <w:rPr>
                <w:rFonts w:hint="eastAsia" w:ascii="宋体" w:hAnsi="宋体"/>
                <w:color w:val="000000"/>
                <w:sz w:val="18"/>
                <w:szCs w:val="18"/>
              </w:rPr>
              <w:t>绩效目标合理性</w:t>
            </w:r>
          </w:p>
          <w:p w14:paraId="4FDF23D5">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438183A0">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B800A21">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部门所设立的整体绩效目标依据是否充分，是否符合客观实际，用以反映和考核部门整体绩效目标与部门履职、年度工作任务的相符性情况。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3AF950B">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①符合国家法律法规、国民经济和社会发展总体规划计1分；②符合部门“三定”方案确定的职责计0.5分；③是否符合部门制定的中长期实施规划计0.5分。</w:t>
            </w:r>
          </w:p>
        </w:tc>
      </w:tr>
      <w:tr w14:paraId="4FDC72DA">
        <w:tblPrEx>
          <w:tblCellMar>
            <w:top w:w="0" w:type="dxa"/>
            <w:left w:w="0" w:type="dxa"/>
            <w:bottom w:w="0" w:type="dxa"/>
            <w:right w:w="0" w:type="dxa"/>
          </w:tblCellMar>
        </w:tblPrEx>
        <w:trPr>
          <w:trHeight w:val="1169"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51888B54">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33C353EA">
            <w:pPr>
              <w:spacing w:line="240" w:lineRule="exact"/>
              <w:jc w:val="center"/>
              <w:rPr>
                <w:rFonts w:hint="eastAsia" w:ascii="宋体" w:hAnsi="宋体"/>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3285BFBF">
            <w:pPr>
              <w:spacing w:line="240" w:lineRule="exact"/>
              <w:jc w:val="center"/>
              <w:rPr>
                <w:rFonts w:hint="eastAsia" w:ascii="宋体" w:hAnsi="宋体"/>
                <w:color w:val="000000"/>
                <w:sz w:val="18"/>
                <w:szCs w:val="18"/>
              </w:rPr>
            </w:pPr>
            <w:r>
              <w:rPr>
                <w:rFonts w:hint="eastAsia" w:ascii="宋体" w:hAnsi="宋体"/>
                <w:color w:val="000000"/>
                <w:sz w:val="18"/>
                <w:szCs w:val="18"/>
              </w:rPr>
              <w:t>绩效指标明确性</w:t>
            </w:r>
          </w:p>
          <w:p w14:paraId="663B86A5">
            <w:pPr>
              <w:spacing w:line="240" w:lineRule="exact"/>
              <w:jc w:val="center"/>
              <w:rPr>
                <w:rFonts w:hint="eastAsia" w:ascii="宋体" w:hAnsi="宋体"/>
                <w:color w:val="000000"/>
                <w:sz w:val="18"/>
                <w:szCs w:val="18"/>
              </w:rPr>
            </w:pPr>
            <w:r>
              <w:rPr>
                <w:rFonts w:hint="eastAsia" w:ascii="宋体" w:hAnsi="宋体"/>
                <w:color w:val="000000"/>
                <w:sz w:val="18"/>
                <w:szCs w:val="18"/>
              </w:rPr>
              <w:t>（3分）</w:t>
            </w:r>
          </w:p>
        </w:tc>
        <w:tc>
          <w:tcPr>
            <w:tcW w:w="368" w:type="dxa"/>
            <w:tcBorders>
              <w:top w:val="single" w:color="auto" w:sz="4" w:space="0"/>
              <w:left w:val="nil"/>
              <w:bottom w:val="single" w:color="auto" w:sz="4" w:space="0"/>
              <w:right w:val="single" w:color="auto" w:sz="4" w:space="0"/>
            </w:tcBorders>
            <w:noWrap w:val="0"/>
            <w:vAlign w:val="center"/>
          </w:tcPr>
          <w:p w14:paraId="637903D3">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3</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FB606CE">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部门依据整体绩效目标所设定的绩效指标是否清晰、细化、可衡量，用以反映和考核部门整体绩效目标的明细化情况。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6F749E3">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①将部门整体的绩效目标细化分解为具体的工作任务计1分；②通过清晰、可衡量的指标值予以体现计0.5分。③与部门年度的任务数或计划数相对应计0.5分；④与本年度部门预算资金相匹配计1分。</w:t>
            </w:r>
          </w:p>
        </w:tc>
      </w:tr>
      <w:tr w14:paraId="32EF629A">
        <w:tblPrEx>
          <w:tblCellMar>
            <w:top w:w="0" w:type="dxa"/>
            <w:left w:w="0" w:type="dxa"/>
            <w:bottom w:w="0" w:type="dxa"/>
            <w:right w:w="0" w:type="dxa"/>
          </w:tblCellMar>
        </w:tblPrEx>
        <w:trPr>
          <w:trHeight w:val="1221"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1E7D59BF">
            <w:pPr>
              <w:spacing w:line="240" w:lineRule="exact"/>
              <w:jc w:val="center"/>
              <w:rPr>
                <w:rFonts w:hint="eastAsia" w:ascii="仿宋_GB2312"/>
                <w:color w:val="000000"/>
                <w:szCs w:val="21"/>
              </w:rPr>
            </w:pP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BAE87A3">
            <w:pPr>
              <w:spacing w:line="240" w:lineRule="exact"/>
              <w:jc w:val="center"/>
              <w:rPr>
                <w:rFonts w:hint="eastAsia" w:ascii="宋体" w:hAnsi="宋体" w:eastAsia="宋体"/>
                <w:color w:val="000000"/>
                <w:sz w:val="18"/>
                <w:szCs w:val="18"/>
                <w:lang w:eastAsia="zh-CN"/>
              </w:rPr>
            </w:pPr>
            <w:r>
              <w:rPr>
                <w:rFonts w:hint="eastAsia" w:ascii="宋体" w:hAnsi="宋体"/>
                <w:color w:val="000000"/>
                <w:sz w:val="18"/>
                <w:szCs w:val="18"/>
              </w:rPr>
              <w:t>预算</w:t>
            </w:r>
          </w:p>
          <w:p w14:paraId="33B9C4EF">
            <w:pPr>
              <w:spacing w:line="240" w:lineRule="exact"/>
              <w:jc w:val="center"/>
              <w:rPr>
                <w:rFonts w:hint="eastAsia" w:ascii="宋体" w:hAnsi="宋体"/>
                <w:color w:val="000000"/>
                <w:sz w:val="18"/>
                <w:szCs w:val="18"/>
              </w:rPr>
            </w:pPr>
            <w:r>
              <w:rPr>
                <w:rFonts w:hint="eastAsia" w:ascii="宋体" w:hAnsi="宋体"/>
                <w:color w:val="000000"/>
                <w:sz w:val="18"/>
                <w:szCs w:val="18"/>
              </w:rPr>
              <w:t>配置</w:t>
            </w:r>
          </w:p>
          <w:p w14:paraId="6122A9AC">
            <w:pPr>
              <w:spacing w:line="240" w:lineRule="exact"/>
              <w:jc w:val="center"/>
              <w:rPr>
                <w:rFonts w:hint="eastAsia" w:ascii="宋体" w:hAnsi="宋体"/>
                <w:color w:val="000000"/>
                <w:sz w:val="18"/>
                <w:szCs w:val="18"/>
              </w:rPr>
            </w:pPr>
            <w:r>
              <w:rPr>
                <w:rFonts w:hint="eastAsia" w:ascii="宋体" w:hAnsi="宋体"/>
                <w:color w:val="000000"/>
                <w:sz w:val="18"/>
                <w:szCs w:val="18"/>
              </w:rPr>
              <w:t>（15分）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1058906">
            <w:pPr>
              <w:spacing w:line="240" w:lineRule="exact"/>
              <w:jc w:val="center"/>
              <w:rPr>
                <w:rFonts w:hint="eastAsia" w:ascii="宋体" w:hAnsi="宋体"/>
                <w:color w:val="000000"/>
                <w:sz w:val="18"/>
                <w:szCs w:val="18"/>
              </w:rPr>
            </w:pPr>
            <w:r>
              <w:rPr>
                <w:rFonts w:hint="eastAsia" w:ascii="宋体" w:hAnsi="宋体"/>
                <w:color w:val="000000"/>
                <w:sz w:val="18"/>
                <w:szCs w:val="18"/>
              </w:rPr>
              <w:t>在职人员控制率</w:t>
            </w:r>
          </w:p>
          <w:p w14:paraId="59DCA8A5">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1A7CB8E2">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F495930">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部门本年度实际在职人员数与编制数的比率，用以反映和考核部门对人员成本的控制程度。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77965B0">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在职人员控制率=（在职人员数/编制数）×100%小于或等于1计5分，否则按比例计分。在职人员数：部门实际在职人数，以财政部确定的部门决算编制口径为准。编制数：机构编制部门核定批复的部门的人员编制数。</w:t>
            </w:r>
          </w:p>
        </w:tc>
      </w:tr>
      <w:tr w14:paraId="3507AAE7">
        <w:tblPrEx>
          <w:tblCellMar>
            <w:top w:w="0" w:type="dxa"/>
            <w:left w:w="0" w:type="dxa"/>
            <w:bottom w:w="0" w:type="dxa"/>
            <w:right w:w="0" w:type="dxa"/>
          </w:tblCellMar>
        </w:tblPrEx>
        <w:trPr>
          <w:trHeight w:val="1357"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017825C6">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6F8D26CE">
            <w:pPr>
              <w:spacing w:line="240" w:lineRule="exact"/>
              <w:jc w:val="center"/>
              <w:rPr>
                <w:rFonts w:hint="eastAsia" w:ascii="宋体" w:hAnsi="宋体"/>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36B919D4">
            <w:pPr>
              <w:spacing w:line="240" w:lineRule="exact"/>
              <w:jc w:val="center"/>
              <w:rPr>
                <w:rFonts w:hint="eastAsia" w:ascii="宋体" w:hAnsi="宋体"/>
                <w:color w:val="000000"/>
                <w:sz w:val="18"/>
                <w:szCs w:val="18"/>
              </w:rPr>
            </w:pPr>
            <w:r>
              <w:rPr>
                <w:rFonts w:hint="eastAsia" w:ascii="宋体" w:hAnsi="宋体"/>
                <w:color w:val="000000"/>
                <w:sz w:val="18"/>
                <w:szCs w:val="18"/>
              </w:rPr>
              <w:t>“三公</w:t>
            </w:r>
          </w:p>
          <w:p w14:paraId="43ACFCEF">
            <w:pPr>
              <w:spacing w:line="240" w:lineRule="exact"/>
              <w:jc w:val="center"/>
              <w:rPr>
                <w:rFonts w:hint="eastAsia" w:ascii="宋体" w:hAnsi="宋体"/>
                <w:color w:val="000000"/>
                <w:sz w:val="18"/>
                <w:szCs w:val="18"/>
              </w:rPr>
            </w:pPr>
            <w:r>
              <w:rPr>
                <w:rFonts w:hint="eastAsia" w:ascii="宋体" w:hAnsi="宋体"/>
                <w:color w:val="000000"/>
                <w:sz w:val="18"/>
                <w:szCs w:val="18"/>
              </w:rPr>
              <w:t>经费”</w:t>
            </w:r>
          </w:p>
          <w:p w14:paraId="653B7AAF">
            <w:pPr>
              <w:spacing w:line="240" w:lineRule="exact"/>
              <w:jc w:val="center"/>
              <w:rPr>
                <w:rFonts w:hint="eastAsia" w:ascii="宋体" w:hAnsi="宋体"/>
                <w:color w:val="000000"/>
                <w:sz w:val="18"/>
                <w:szCs w:val="18"/>
              </w:rPr>
            </w:pPr>
            <w:r>
              <w:rPr>
                <w:rFonts w:hint="eastAsia" w:ascii="宋体" w:hAnsi="宋体"/>
                <w:color w:val="000000"/>
                <w:sz w:val="18"/>
                <w:szCs w:val="18"/>
              </w:rPr>
              <w:t>变动率</w:t>
            </w:r>
          </w:p>
          <w:p w14:paraId="5007EEBD">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13FB48DF">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F71FC55">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部门本年度“三公经费”预算数与上年度“三公经费”预算数的变动比率，用以反映和考核部门对控制重点行政成本的努力程度。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325C3C1">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三公经费”变动率=[（本年度“三公经费”总额-上年度“三公经费”总额）/上年度“三公经费”总额]×100%。下降的计5分，增加的按比例扣减。“三公经费”：年度预算安排的因公出国（境）费、公务车辆购置及运行费和公务招待费。</w:t>
            </w:r>
          </w:p>
        </w:tc>
      </w:tr>
      <w:tr w14:paraId="57D6386A">
        <w:tblPrEx>
          <w:tblCellMar>
            <w:top w:w="0" w:type="dxa"/>
            <w:left w:w="0" w:type="dxa"/>
            <w:bottom w:w="0" w:type="dxa"/>
            <w:right w:w="0" w:type="dxa"/>
          </w:tblCellMar>
        </w:tblPrEx>
        <w:trPr>
          <w:trHeight w:val="1524"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50CC1C24">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4B15AD2B">
            <w:pPr>
              <w:spacing w:line="240" w:lineRule="exact"/>
              <w:jc w:val="center"/>
              <w:rPr>
                <w:rFonts w:hint="eastAsia" w:ascii="宋体" w:hAnsi="宋体"/>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881F235">
            <w:pPr>
              <w:spacing w:line="240" w:lineRule="exact"/>
              <w:jc w:val="center"/>
              <w:rPr>
                <w:rFonts w:hint="eastAsia" w:ascii="宋体" w:hAnsi="宋体"/>
                <w:color w:val="000000"/>
                <w:sz w:val="18"/>
                <w:szCs w:val="18"/>
              </w:rPr>
            </w:pPr>
            <w:r>
              <w:rPr>
                <w:rFonts w:hint="eastAsia" w:ascii="宋体" w:hAnsi="宋体"/>
                <w:color w:val="000000"/>
                <w:sz w:val="18"/>
                <w:szCs w:val="18"/>
              </w:rPr>
              <w:t>重点支出安排率</w:t>
            </w:r>
          </w:p>
          <w:p w14:paraId="69666A4A">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388D811D">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0DE350B">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部门本年度预算安排的重点项目支出与部门项目总支出的比率，用以反映和考核部门对履行主要职责或完成重点任务的保障程度。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25F256D">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重点支出安排率=（重点项目支出/项目总支出）×100%。实际得分=支出安排率*5分。重点项目支出：部门年度预算安排的，与本部门履职和发展密切相关、具有明显社会和经济影响、党委政府关心或社会比较关注的项目支出总额。项目总支出：部门年度预算安排的项目支出总额。</w:t>
            </w:r>
          </w:p>
        </w:tc>
      </w:tr>
      <w:tr w14:paraId="645BC20A">
        <w:tblPrEx>
          <w:tblCellMar>
            <w:top w:w="0" w:type="dxa"/>
            <w:left w:w="0" w:type="dxa"/>
            <w:bottom w:w="0" w:type="dxa"/>
            <w:right w:w="0" w:type="dxa"/>
          </w:tblCellMar>
        </w:tblPrEx>
        <w:trPr>
          <w:trHeight w:val="1179" w:hRule="atLeast"/>
          <w:jc w:val="center"/>
        </w:trPr>
        <w:tc>
          <w:tcPr>
            <w:tcW w:w="828" w:type="dxa"/>
            <w:vMerge w:val="restar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6C9BC0D">
            <w:pPr>
              <w:spacing w:line="240" w:lineRule="exact"/>
              <w:jc w:val="center"/>
              <w:rPr>
                <w:rFonts w:hint="eastAsia" w:ascii="仿宋_GB2312"/>
                <w:color w:val="000000"/>
                <w:szCs w:val="21"/>
              </w:rPr>
            </w:pPr>
            <w:r>
              <w:rPr>
                <w:rFonts w:hint="eastAsia" w:ascii="仿宋_GB2312"/>
                <w:color w:val="000000"/>
                <w:szCs w:val="21"/>
              </w:rPr>
              <w:t>过  程（30分）</w:t>
            </w:r>
          </w:p>
        </w:tc>
        <w:tc>
          <w:tcPr>
            <w:tcW w:w="784" w:type="dxa"/>
            <w:vMerge w:val="restar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9EB79A4">
            <w:pPr>
              <w:spacing w:line="240" w:lineRule="exact"/>
              <w:jc w:val="center"/>
              <w:rPr>
                <w:rFonts w:hint="eastAsia" w:ascii="宋体" w:hAnsi="宋体" w:eastAsia="宋体"/>
                <w:color w:val="000000"/>
                <w:sz w:val="18"/>
                <w:szCs w:val="18"/>
                <w:lang w:eastAsia="zh-CN"/>
              </w:rPr>
            </w:pPr>
            <w:r>
              <w:rPr>
                <w:rFonts w:hint="eastAsia" w:ascii="宋体" w:hAnsi="宋体"/>
                <w:color w:val="000000"/>
                <w:sz w:val="18"/>
                <w:szCs w:val="18"/>
              </w:rPr>
              <w:t>预算</w:t>
            </w:r>
          </w:p>
          <w:p w14:paraId="31DCAD5C">
            <w:pPr>
              <w:spacing w:line="240" w:lineRule="exact"/>
              <w:jc w:val="center"/>
              <w:rPr>
                <w:rFonts w:hint="eastAsia" w:ascii="宋体" w:hAnsi="宋体"/>
                <w:color w:val="000000"/>
                <w:sz w:val="18"/>
                <w:szCs w:val="18"/>
              </w:rPr>
            </w:pPr>
            <w:r>
              <w:rPr>
                <w:rFonts w:hint="eastAsia" w:ascii="宋体" w:hAnsi="宋体"/>
                <w:color w:val="000000"/>
                <w:sz w:val="18"/>
                <w:szCs w:val="18"/>
              </w:rPr>
              <w:t>执行</w:t>
            </w:r>
          </w:p>
          <w:p w14:paraId="43C8CAED">
            <w:pPr>
              <w:spacing w:line="240" w:lineRule="exact"/>
              <w:jc w:val="center"/>
              <w:rPr>
                <w:rFonts w:hint="eastAsia" w:ascii="宋体" w:hAnsi="宋体"/>
                <w:color w:val="000000"/>
                <w:sz w:val="18"/>
                <w:szCs w:val="18"/>
              </w:rPr>
            </w:pPr>
            <w:r>
              <w:rPr>
                <w:rFonts w:hint="eastAsia" w:ascii="宋体" w:hAnsi="宋体"/>
                <w:color w:val="000000"/>
                <w:sz w:val="18"/>
                <w:szCs w:val="18"/>
              </w:rPr>
              <w:t>（20分）</w:t>
            </w:r>
          </w:p>
        </w:tc>
        <w:tc>
          <w:tcPr>
            <w:tcW w:w="84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211C83A">
            <w:pPr>
              <w:spacing w:line="240" w:lineRule="exact"/>
              <w:jc w:val="center"/>
              <w:rPr>
                <w:rFonts w:hint="eastAsia" w:ascii="宋体" w:hAnsi="宋体"/>
                <w:color w:val="000000"/>
                <w:sz w:val="18"/>
                <w:szCs w:val="18"/>
              </w:rPr>
            </w:pPr>
            <w:r>
              <w:rPr>
                <w:rFonts w:hint="eastAsia" w:ascii="宋体" w:hAnsi="宋体"/>
                <w:color w:val="000000"/>
                <w:sz w:val="18"/>
                <w:szCs w:val="18"/>
              </w:rPr>
              <w:t>预算</w:t>
            </w:r>
          </w:p>
          <w:p w14:paraId="3CA98EC8">
            <w:pPr>
              <w:spacing w:line="240" w:lineRule="exact"/>
              <w:jc w:val="center"/>
              <w:rPr>
                <w:rFonts w:hint="eastAsia" w:ascii="宋体" w:hAnsi="宋体"/>
                <w:color w:val="000000"/>
                <w:sz w:val="18"/>
                <w:szCs w:val="18"/>
              </w:rPr>
            </w:pPr>
            <w:r>
              <w:rPr>
                <w:rFonts w:hint="eastAsia" w:ascii="宋体" w:hAnsi="宋体"/>
                <w:color w:val="000000"/>
                <w:sz w:val="18"/>
                <w:szCs w:val="18"/>
              </w:rPr>
              <w:t>完成率</w:t>
            </w:r>
          </w:p>
          <w:p w14:paraId="1F3B0876">
            <w:pPr>
              <w:spacing w:line="240" w:lineRule="exact"/>
              <w:jc w:val="center"/>
              <w:rPr>
                <w:rFonts w:hint="eastAsia" w:ascii="宋体" w:hAnsi="宋体"/>
                <w:color w:val="000000"/>
                <w:sz w:val="18"/>
                <w:szCs w:val="18"/>
              </w:rPr>
            </w:pPr>
            <w:r>
              <w:rPr>
                <w:rFonts w:hint="eastAsia" w:ascii="宋体" w:hAnsi="宋体"/>
                <w:color w:val="000000"/>
                <w:sz w:val="18"/>
                <w:szCs w:val="18"/>
              </w:rPr>
              <w:t>（4分）</w:t>
            </w:r>
          </w:p>
        </w:tc>
        <w:tc>
          <w:tcPr>
            <w:tcW w:w="368" w:type="dxa"/>
            <w:tcBorders>
              <w:top w:val="single" w:color="auto" w:sz="4" w:space="0"/>
              <w:left w:val="single" w:color="auto" w:sz="4" w:space="0"/>
              <w:bottom w:val="single" w:color="auto" w:sz="4" w:space="0"/>
              <w:right w:val="single" w:color="auto" w:sz="4" w:space="0"/>
            </w:tcBorders>
            <w:noWrap w:val="0"/>
            <w:vAlign w:val="center"/>
          </w:tcPr>
          <w:p w14:paraId="1CD1F073">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4</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423E34D">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部门本年度预算完成数与预算数的比率，用以反映和考核部门预算完成程度。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3FB2B1E">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预算完成率=（预算完成数/预算数）×100%。完成年初预算计4分，未完成年初预算按比例扣减，预算完成数：部门本年度实际完成的预算数。预算数：财政部门批复的本年度部门预算数。</w:t>
            </w:r>
          </w:p>
        </w:tc>
      </w:tr>
      <w:tr w14:paraId="1C0A97F0">
        <w:tblPrEx>
          <w:tblCellMar>
            <w:top w:w="0" w:type="dxa"/>
            <w:left w:w="0" w:type="dxa"/>
            <w:bottom w:w="0" w:type="dxa"/>
            <w:right w:w="0" w:type="dxa"/>
          </w:tblCellMar>
        </w:tblPrEx>
        <w:trPr>
          <w:trHeight w:val="1457"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2698E1CE">
            <w:pPr>
              <w:spacing w:line="240" w:lineRule="exact"/>
              <w:jc w:val="center"/>
              <w:rPr>
                <w:rFonts w:hint="eastAsia" w:ascii="仿宋_GB2312"/>
                <w:color w:val="000000"/>
                <w:szCs w:val="21"/>
              </w:rPr>
            </w:pPr>
          </w:p>
        </w:tc>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14:paraId="69C457A1">
            <w:pPr>
              <w:spacing w:line="240" w:lineRule="exact"/>
              <w:jc w:val="center"/>
              <w:rPr>
                <w:rFonts w:hint="eastAsia" w:ascii="宋体" w:hAnsi="宋体"/>
                <w:color w:val="000000"/>
                <w:sz w:val="18"/>
                <w:szCs w:val="18"/>
              </w:rPr>
            </w:pPr>
          </w:p>
        </w:tc>
        <w:tc>
          <w:tcPr>
            <w:tcW w:w="84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AC9069E">
            <w:pPr>
              <w:spacing w:line="240" w:lineRule="exact"/>
              <w:jc w:val="center"/>
              <w:rPr>
                <w:rFonts w:hint="eastAsia" w:ascii="宋体" w:hAnsi="宋体"/>
                <w:color w:val="000000"/>
                <w:sz w:val="18"/>
                <w:szCs w:val="18"/>
              </w:rPr>
            </w:pPr>
            <w:r>
              <w:rPr>
                <w:rFonts w:hint="eastAsia" w:ascii="宋体" w:hAnsi="宋体"/>
                <w:color w:val="000000"/>
                <w:sz w:val="18"/>
                <w:szCs w:val="18"/>
              </w:rPr>
              <w:t>预算</w:t>
            </w:r>
          </w:p>
          <w:p w14:paraId="011913B5">
            <w:pPr>
              <w:spacing w:line="240" w:lineRule="exact"/>
              <w:jc w:val="center"/>
              <w:rPr>
                <w:rFonts w:hint="eastAsia" w:ascii="宋体" w:hAnsi="宋体"/>
                <w:color w:val="000000"/>
                <w:sz w:val="18"/>
                <w:szCs w:val="18"/>
              </w:rPr>
            </w:pPr>
            <w:r>
              <w:rPr>
                <w:rFonts w:hint="eastAsia" w:ascii="宋体" w:hAnsi="宋体"/>
                <w:color w:val="000000"/>
                <w:sz w:val="18"/>
                <w:szCs w:val="18"/>
              </w:rPr>
              <w:t>调整率</w:t>
            </w:r>
          </w:p>
          <w:p w14:paraId="4A437DB8">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single" w:color="auto" w:sz="4" w:space="0"/>
              <w:bottom w:val="single" w:color="auto" w:sz="4" w:space="0"/>
              <w:right w:val="single" w:color="auto" w:sz="4" w:space="0"/>
            </w:tcBorders>
            <w:noWrap w:val="0"/>
            <w:vAlign w:val="center"/>
          </w:tcPr>
          <w:p w14:paraId="7B5A4BC3">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D62A96A">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部门本年度预算调整数与预算数的比率，用以反映和考核部门预算的调整程度。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8E10F2F">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预算调整率=（预算调整数/预算数）×100%。未调整的计2分，调整了的除特殊原因外按比例扣减。预算调整数：部门在本年度内涉及预算的追加、追减或结构调整的资金总和（因落实国家政策、发生不可抗力、上级部门或同级党委政府临时交办而产生的调整除外）。</w:t>
            </w:r>
          </w:p>
        </w:tc>
      </w:tr>
      <w:tr w14:paraId="5AB86449">
        <w:tblPrEx>
          <w:tblCellMar>
            <w:top w:w="0" w:type="dxa"/>
            <w:left w:w="0" w:type="dxa"/>
            <w:bottom w:w="0" w:type="dxa"/>
            <w:right w:w="0" w:type="dxa"/>
          </w:tblCellMar>
        </w:tblPrEx>
        <w:trPr>
          <w:trHeight w:val="1918"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6FA485F6">
            <w:pPr>
              <w:spacing w:line="240" w:lineRule="exact"/>
              <w:jc w:val="center"/>
              <w:rPr>
                <w:rFonts w:hint="eastAsia" w:ascii="仿宋_GB2312"/>
                <w:color w:val="000000"/>
                <w:szCs w:val="21"/>
              </w:rPr>
            </w:pPr>
          </w:p>
        </w:tc>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14:paraId="1D57DEA8">
            <w:pPr>
              <w:spacing w:line="240" w:lineRule="exact"/>
              <w:jc w:val="center"/>
              <w:rPr>
                <w:rFonts w:hint="eastAsia" w:ascii="宋体" w:hAnsi="宋体"/>
                <w:color w:val="000000"/>
                <w:sz w:val="18"/>
                <w:szCs w:val="18"/>
              </w:rPr>
            </w:pPr>
          </w:p>
        </w:tc>
        <w:tc>
          <w:tcPr>
            <w:tcW w:w="84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60B5C6E">
            <w:pPr>
              <w:spacing w:line="240" w:lineRule="exact"/>
              <w:jc w:val="center"/>
              <w:rPr>
                <w:rFonts w:hint="eastAsia" w:ascii="宋体" w:hAnsi="宋体"/>
                <w:color w:val="000000"/>
                <w:sz w:val="18"/>
                <w:szCs w:val="18"/>
              </w:rPr>
            </w:pPr>
            <w:r>
              <w:rPr>
                <w:rFonts w:hint="eastAsia" w:ascii="宋体" w:hAnsi="宋体"/>
                <w:color w:val="000000"/>
                <w:sz w:val="18"/>
                <w:szCs w:val="18"/>
              </w:rPr>
              <w:t>支付</w:t>
            </w:r>
          </w:p>
          <w:p w14:paraId="1F3650DC">
            <w:pPr>
              <w:spacing w:line="240" w:lineRule="exact"/>
              <w:jc w:val="center"/>
              <w:rPr>
                <w:rFonts w:hint="eastAsia" w:ascii="宋体" w:hAnsi="宋体"/>
                <w:color w:val="000000"/>
                <w:sz w:val="18"/>
                <w:szCs w:val="18"/>
              </w:rPr>
            </w:pPr>
            <w:r>
              <w:rPr>
                <w:rFonts w:hint="eastAsia" w:ascii="宋体" w:hAnsi="宋体"/>
                <w:color w:val="000000"/>
                <w:sz w:val="18"/>
                <w:szCs w:val="18"/>
              </w:rPr>
              <w:t>进度率</w:t>
            </w:r>
          </w:p>
          <w:p w14:paraId="277984B1">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single" w:color="auto" w:sz="4" w:space="0"/>
              <w:bottom w:val="single" w:color="auto" w:sz="4" w:space="0"/>
              <w:right w:val="single" w:color="auto" w:sz="4" w:space="0"/>
            </w:tcBorders>
            <w:noWrap w:val="0"/>
            <w:vAlign w:val="center"/>
          </w:tcPr>
          <w:p w14:paraId="0B9F5D2C">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1DAEC39">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部门实际支付进度与既定支付进度的比率，用以反映和考核部门预算执行的及时性和均衡性程度。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418E980">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支付进度率=（实际支付进度/既定支付进度）×100%。完成年终进度的计1分，按季度完成预算进度的计1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14:paraId="00D230FC">
        <w:tblPrEx>
          <w:tblCellMar>
            <w:top w:w="0" w:type="dxa"/>
            <w:left w:w="0" w:type="dxa"/>
            <w:bottom w:w="0" w:type="dxa"/>
            <w:right w:w="0" w:type="dxa"/>
          </w:tblCellMar>
        </w:tblPrEx>
        <w:trPr>
          <w:trHeight w:val="1142" w:hRule="atLeast"/>
          <w:jc w:val="center"/>
        </w:trPr>
        <w:tc>
          <w:tcPr>
            <w:tcW w:w="828" w:type="dxa"/>
            <w:vMerge w:val="continue"/>
            <w:tcBorders>
              <w:top w:val="single" w:color="auto" w:sz="4" w:space="0"/>
              <w:left w:val="single" w:color="auto" w:sz="4" w:space="0"/>
              <w:right w:val="single" w:color="auto" w:sz="4" w:space="0"/>
            </w:tcBorders>
            <w:noWrap w:val="0"/>
            <w:tcMar>
              <w:top w:w="10" w:type="dxa"/>
              <w:left w:w="10" w:type="dxa"/>
              <w:bottom w:w="0" w:type="dxa"/>
              <w:right w:w="10" w:type="dxa"/>
            </w:tcMar>
            <w:textDirection w:val="tbRlV"/>
            <w:vAlign w:val="center"/>
          </w:tcPr>
          <w:p w14:paraId="6F015A01">
            <w:pPr>
              <w:spacing w:line="240" w:lineRule="exact"/>
              <w:jc w:val="center"/>
              <w:rPr>
                <w:rFonts w:hint="eastAsia" w:ascii="仿宋_GB2312"/>
                <w:color w:val="000000"/>
                <w:szCs w:val="21"/>
              </w:rPr>
            </w:pPr>
          </w:p>
        </w:tc>
        <w:tc>
          <w:tcPr>
            <w:tcW w:w="784" w:type="dxa"/>
            <w:vMerge w:val="continue"/>
            <w:tcBorders>
              <w:top w:val="single" w:color="auto" w:sz="4" w:space="0"/>
              <w:left w:val="single" w:color="auto" w:sz="4" w:space="0"/>
              <w:right w:val="single" w:color="auto" w:sz="4" w:space="0"/>
            </w:tcBorders>
            <w:noWrap w:val="0"/>
            <w:tcMar>
              <w:top w:w="10" w:type="dxa"/>
              <w:left w:w="10" w:type="dxa"/>
              <w:bottom w:w="0" w:type="dxa"/>
              <w:right w:w="10" w:type="dxa"/>
            </w:tcMar>
            <w:vAlign w:val="center"/>
          </w:tcPr>
          <w:p w14:paraId="77065C98">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4CF0420D">
            <w:pPr>
              <w:spacing w:line="240" w:lineRule="exact"/>
              <w:jc w:val="center"/>
              <w:rPr>
                <w:rFonts w:hint="eastAsia" w:ascii="宋体" w:hAnsi="宋体"/>
                <w:color w:val="000000"/>
                <w:sz w:val="18"/>
                <w:szCs w:val="18"/>
              </w:rPr>
            </w:pPr>
            <w:r>
              <w:rPr>
                <w:rFonts w:hint="eastAsia" w:ascii="宋体" w:hAnsi="宋体"/>
                <w:color w:val="000000"/>
                <w:sz w:val="18"/>
                <w:szCs w:val="18"/>
              </w:rPr>
              <w:t>结转结余控制率</w:t>
            </w:r>
          </w:p>
          <w:p w14:paraId="259C0864">
            <w:pPr>
              <w:spacing w:line="240" w:lineRule="exact"/>
              <w:jc w:val="center"/>
              <w:rPr>
                <w:rFonts w:hint="eastAsia" w:ascii="宋体" w:hAnsi="宋体"/>
                <w:color w:val="000000"/>
                <w:sz w:val="18"/>
                <w:szCs w:val="18"/>
              </w:rPr>
            </w:pPr>
            <w:r>
              <w:rPr>
                <w:rFonts w:hint="eastAsia" w:ascii="宋体" w:hAnsi="宋体"/>
                <w:color w:val="000000"/>
                <w:sz w:val="18"/>
                <w:szCs w:val="18"/>
              </w:rPr>
              <w:t>（4分）</w:t>
            </w:r>
          </w:p>
        </w:tc>
        <w:tc>
          <w:tcPr>
            <w:tcW w:w="368" w:type="dxa"/>
            <w:tcBorders>
              <w:top w:val="single" w:color="auto" w:sz="4" w:space="0"/>
              <w:left w:val="nil"/>
              <w:bottom w:val="single" w:color="auto" w:sz="4" w:space="0"/>
              <w:right w:val="single" w:color="auto" w:sz="4" w:space="0"/>
            </w:tcBorders>
            <w:noWrap w:val="0"/>
            <w:vAlign w:val="center"/>
          </w:tcPr>
          <w:p w14:paraId="4186E08C">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4</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E6B506E">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部门本年度结转结余总额与上年结转结余总额增减比例，用以反映和考核部门对存量资金的实际控制程度。</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1AA809D4">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结转结余控制率=（本年结转结余总额-上年结转结余总额）/上年结转结余总额×100%。低于15%的计4分，每超过5个百分点扣1分，扣完为止。结转结余总额：部门本年度的结转资金与结余资金之和（以决算数为准）。</w:t>
            </w:r>
          </w:p>
        </w:tc>
      </w:tr>
      <w:tr w14:paraId="41903B47">
        <w:tblPrEx>
          <w:tblCellMar>
            <w:top w:w="0" w:type="dxa"/>
            <w:left w:w="0" w:type="dxa"/>
            <w:bottom w:w="0" w:type="dxa"/>
            <w:right w:w="0" w:type="dxa"/>
          </w:tblCellMar>
        </w:tblPrEx>
        <w:trPr>
          <w:trHeight w:val="1151" w:hRule="atLeast"/>
          <w:jc w:val="center"/>
        </w:trPr>
        <w:tc>
          <w:tcPr>
            <w:tcW w:w="828" w:type="dxa"/>
            <w:vMerge w:val="continue"/>
            <w:tcBorders>
              <w:left w:val="single" w:color="auto" w:sz="4" w:space="0"/>
              <w:right w:val="single" w:color="auto" w:sz="4" w:space="0"/>
            </w:tcBorders>
            <w:noWrap w:val="0"/>
            <w:vAlign w:val="center"/>
          </w:tcPr>
          <w:p w14:paraId="323D03CB">
            <w:pPr>
              <w:spacing w:line="240" w:lineRule="exact"/>
              <w:jc w:val="center"/>
              <w:rPr>
                <w:rFonts w:hint="eastAsia" w:ascii="仿宋_GB2312"/>
                <w:color w:val="000000"/>
                <w:szCs w:val="21"/>
              </w:rPr>
            </w:pPr>
          </w:p>
        </w:tc>
        <w:tc>
          <w:tcPr>
            <w:tcW w:w="784" w:type="dxa"/>
            <w:vMerge w:val="continue"/>
            <w:tcBorders>
              <w:left w:val="single" w:color="auto" w:sz="4" w:space="0"/>
              <w:right w:val="single" w:color="auto" w:sz="4" w:space="0"/>
            </w:tcBorders>
            <w:noWrap w:val="0"/>
            <w:vAlign w:val="center"/>
          </w:tcPr>
          <w:p w14:paraId="6A16F378">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5D5A18B8">
            <w:pPr>
              <w:spacing w:line="240" w:lineRule="exact"/>
              <w:jc w:val="center"/>
              <w:rPr>
                <w:rFonts w:hint="eastAsia" w:ascii="宋体" w:hAnsi="宋体"/>
                <w:color w:val="000000"/>
                <w:sz w:val="18"/>
                <w:szCs w:val="18"/>
              </w:rPr>
            </w:pPr>
            <w:r>
              <w:rPr>
                <w:rFonts w:hint="eastAsia" w:ascii="宋体" w:hAnsi="宋体"/>
                <w:color w:val="000000"/>
                <w:sz w:val="18"/>
                <w:szCs w:val="18"/>
              </w:rPr>
              <w:t>公用经费控制率</w:t>
            </w:r>
          </w:p>
          <w:p w14:paraId="4EDEDC4E">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139E174C">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384D872">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部门本年度实际支出的公用经费总额与预算安排的公用经费总额的比率，用以反映和考核部门对机构运转成本的实际控制程度。</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40CF3C32">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公用经费控制率=（实际支出公用经费总额/预算安排公用经费总额）×100%。为100%的计2分，每超过1个百分点扣0.1分，扣完为止。</w:t>
            </w:r>
          </w:p>
        </w:tc>
      </w:tr>
      <w:tr w14:paraId="0C0DAD00">
        <w:tblPrEx>
          <w:tblCellMar>
            <w:top w:w="0" w:type="dxa"/>
            <w:left w:w="0" w:type="dxa"/>
            <w:bottom w:w="0" w:type="dxa"/>
            <w:right w:w="0" w:type="dxa"/>
          </w:tblCellMar>
        </w:tblPrEx>
        <w:trPr>
          <w:trHeight w:val="1064" w:hRule="atLeast"/>
          <w:jc w:val="center"/>
        </w:trPr>
        <w:tc>
          <w:tcPr>
            <w:tcW w:w="828" w:type="dxa"/>
            <w:vMerge w:val="continue"/>
            <w:tcBorders>
              <w:left w:val="single" w:color="auto" w:sz="4" w:space="0"/>
              <w:right w:val="single" w:color="auto" w:sz="4" w:space="0"/>
            </w:tcBorders>
            <w:noWrap w:val="0"/>
            <w:vAlign w:val="center"/>
          </w:tcPr>
          <w:p w14:paraId="38385DAB">
            <w:pPr>
              <w:spacing w:line="240" w:lineRule="exact"/>
              <w:jc w:val="center"/>
              <w:rPr>
                <w:rFonts w:hint="eastAsia" w:ascii="仿宋_GB2312"/>
                <w:color w:val="000000"/>
                <w:szCs w:val="21"/>
              </w:rPr>
            </w:pPr>
          </w:p>
        </w:tc>
        <w:tc>
          <w:tcPr>
            <w:tcW w:w="784" w:type="dxa"/>
            <w:vMerge w:val="continue"/>
            <w:tcBorders>
              <w:left w:val="single" w:color="auto" w:sz="4" w:space="0"/>
              <w:right w:val="single" w:color="auto" w:sz="4" w:space="0"/>
            </w:tcBorders>
            <w:noWrap w:val="0"/>
            <w:vAlign w:val="center"/>
          </w:tcPr>
          <w:p w14:paraId="623ADF3B">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48333A3A">
            <w:pPr>
              <w:spacing w:line="240" w:lineRule="exact"/>
              <w:jc w:val="center"/>
              <w:rPr>
                <w:rFonts w:hint="eastAsia" w:ascii="宋体" w:hAnsi="宋体"/>
                <w:color w:val="000000"/>
                <w:sz w:val="18"/>
                <w:szCs w:val="18"/>
              </w:rPr>
            </w:pPr>
            <w:r>
              <w:rPr>
                <w:rFonts w:hint="eastAsia" w:ascii="宋体" w:hAnsi="宋体"/>
                <w:color w:val="000000"/>
                <w:sz w:val="18"/>
                <w:szCs w:val="18"/>
              </w:rPr>
              <w:t>“三公经费”控制率（2分）</w:t>
            </w:r>
          </w:p>
        </w:tc>
        <w:tc>
          <w:tcPr>
            <w:tcW w:w="368" w:type="dxa"/>
            <w:tcBorders>
              <w:top w:val="single" w:color="auto" w:sz="4" w:space="0"/>
              <w:left w:val="nil"/>
              <w:bottom w:val="single" w:color="auto" w:sz="4" w:space="0"/>
              <w:right w:val="single" w:color="auto" w:sz="4" w:space="0"/>
            </w:tcBorders>
            <w:noWrap w:val="0"/>
            <w:vAlign w:val="center"/>
          </w:tcPr>
          <w:p w14:paraId="043EF45E">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D5C50AF">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部门本年度“三公经费”实际支出数与预算安排数的比率，用以反映和考核部门对“三公经费”的实际控制程度。</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24EBE6AE">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“三公经费”控制率=（“三公经费”实际支出数/“三公经费”预算安排数）×100%。为100%的计2分，每超过1个百分点扣0.5分，扣完为止。</w:t>
            </w:r>
          </w:p>
        </w:tc>
      </w:tr>
      <w:tr w14:paraId="63D5409E">
        <w:tblPrEx>
          <w:tblCellMar>
            <w:top w:w="0" w:type="dxa"/>
            <w:left w:w="0" w:type="dxa"/>
            <w:bottom w:w="0" w:type="dxa"/>
            <w:right w:w="0" w:type="dxa"/>
          </w:tblCellMar>
        </w:tblPrEx>
        <w:trPr>
          <w:trHeight w:val="1373" w:hRule="atLeast"/>
          <w:jc w:val="center"/>
        </w:trPr>
        <w:tc>
          <w:tcPr>
            <w:tcW w:w="828" w:type="dxa"/>
            <w:vMerge w:val="continue"/>
            <w:tcBorders>
              <w:left w:val="single" w:color="auto" w:sz="4" w:space="0"/>
              <w:right w:val="single" w:color="auto" w:sz="4" w:space="0"/>
            </w:tcBorders>
            <w:noWrap w:val="0"/>
            <w:vAlign w:val="center"/>
          </w:tcPr>
          <w:p w14:paraId="6E20A0C7">
            <w:pPr>
              <w:spacing w:line="240" w:lineRule="exact"/>
              <w:jc w:val="center"/>
              <w:rPr>
                <w:rFonts w:hint="eastAsia" w:ascii="仿宋_GB2312"/>
                <w:color w:val="000000"/>
                <w:szCs w:val="21"/>
              </w:rPr>
            </w:pPr>
          </w:p>
        </w:tc>
        <w:tc>
          <w:tcPr>
            <w:tcW w:w="784" w:type="dxa"/>
            <w:vMerge w:val="continue"/>
            <w:tcBorders>
              <w:left w:val="single" w:color="auto" w:sz="4" w:space="0"/>
              <w:bottom w:val="single" w:color="auto" w:sz="4" w:space="0"/>
              <w:right w:val="single" w:color="auto" w:sz="4" w:space="0"/>
            </w:tcBorders>
            <w:noWrap w:val="0"/>
            <w:vAlign w:val="center"/>
          </w:tcPr>
          <w:p w14:paraId="78CE2CE2">
            <w:pPr>
              <w:spacing w:line="240" w:lineRule="exact"/>
              <w:jc w:val="center"/>
              <w:rPr>
                <w:rFonts w:hint="eastAsia" w:ascii="仿宋_GB2312"/>
                <w:color w:val="000000"/>
                <w:szCs w:val="21"/>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51F62F5">
            <w:pPr>
              <w:spacing w:line="240" w:lineRule="exact"/>
              <w:jc w:val="center"/>
              <w:rPr>
                <w:rFonts w:hint="eastAsia" w:ascii="宋体" w:hAnsi="宋体"/>
                <w:color w:val="000000"/>
                <w:sz w:val="18"/>
                <w:szCs w:val="18"/>
              </w:rPr>
            </w:pPr>
            <w:r>
              <w:rPr>
                <w:rFonts w:hint="eastAsia" w:ascii="宋体" w:hAnsi="宋体"/>
                <w:color w:val="000000"/>
                <w:sz w:val="18"/>
                <w:szCs w:val="18"/>
              </w:rPr>
              <w:t>政府采购执行率</w:t>
            </w:r>
          </w:p>
          <w:p w14:paraId="395E088C">
            <w:pPr>
              <w:spacing w:line="240" w:lineRule="exact"/>
              <w:jc w:val="center"/>
              <w:rPr>
                <w:rFonts w:hint="eastAsia" w:ascii="宋体" w:hAnsi="宋体"/>
                <w:color w:val="000000"/>
                <w:sz w:val="18"/>
                <w:szCs w:val="18"/>
              </w:rPr>
            </w:pPr>
            <w:r>
              <w:rPr>
                <w:rFonts w:hint="eastAsia" w:ascii="宋体" w:hAnsi="宋体"/>
                <w:color w:val="000000"/>
                <w:sz w:val="18"/>
                <w:szCs w:val="18"/>
              </w:rPr>
              <w:t>（4分）</w:t>
            </w:r>
          </w:p>
        </w:tc>
        <w:tc>
          <w:tcPr>
            <w:tcW w:w="368" w:type="dxa"/>
            <w:tcBorders>
              <w:top w:val="single" w:color="auto" w:sz="4" w:space="0"/>
              <w:left w:val="nil"/>
              <w:bottom w:val="single" w:color="auto" w:sz="4" w:space="0"/>
              <w:right w:val="single" w:color="auto" w:sz="4" w:space="0"/>
            </w:tcBorders>
            <w:noWrap w:val="0"/>
            <w:vAlign w:val="center"/>
          </w:tcPr>
          <w:p w14:paraId="6DBAC053">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4</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3388500">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部门本年度实际政府采购金额与年初政府采购预算的比率，用以反映和考核部门政府采购预算执行情况。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FF9FC1B">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政府采购执行率=（实际政府采购金额/政府采购预算数）×100%，为100%的计2分，每低于1个百分点扣0.5分，扣完为止；政府采购预算：采购机关根据事业发展计划和行政任务编制的、并经过规定程序批准的年度政府采购计划。</w:t>
            </w:r>
          </w:p>
        </w:tc>
      </w:tr>
      <w:tr w14:paraId="7532DFFD">
        <w:tblPrEx>
          <w:tblCellMar>
            <w:top w:w="0" w:type="dxa"/>
            <w:left w:w="0" w:type="dxa"/>
            <w:bottom w:w="0" w:type="dxa"/>
            <w:right w:w="0" w:type="dxa"/>
          </w:tblCellMar>
        </w:tblPrEx>
        <w:trPr>
          <w:trHeight w:val="1342" w:hRule="atLeast"/>
          <w:jc w:val="center"/>
        </w:trPr>
        <w:tc>
          <w:tcPr>
            <w:tcW w:w="828" w:type="dxa"/>
            <w:vMerge w:val="continue"/>
            <w:tcBorders>
              <w:left w:val="single" w:color="auto" w:sz="4" w:space="0"/>
              <w:right w:val="single" w:color="auto" w:sz="4" w:space="0"/>
            </w:tcBorders>
            <w:noWrap w:val="0"/>
            <w:vAlign w:val="center"/>
          </w:tcPr>
          <w:p w14:paraId="484C3ED2">
            <w:pPr>
              <w:spacing w:line="240" w:lineRule="exact"/>
              <w:jc w:val="center"/>
              <w:rPr>
                <w:rFonts w:hint="eastAsia" w:ascii="仿宋_GB2312"/>
                <w:color w:val="000000"/>
                <w:szCs w:val="21"/>
              </w:rPr>
            </w:pP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3521A2B">
            <w:pPr>
              <w:spacing w:line="240" w:lineRule="exact"/>
              <w:jc w:val="center"/>
              <w:rPr>
                <w:rFonts w:hint="eastAsia" w:ascii="仿宋_GB2312"/>
                <w:color w:val="000000"/>
                <w:szCs w:val="21"/>
              </w:rPr>
            </w:pPr>
            <w:r>
              <w:rPr>
                <w:rFonts w:hint="eastAsia" w:ascii="仿宋_GB2312"/>
                <w:color w:val="000000"/>
                <w:szCs w:val="21"/>
              </w:rPr>
              <w:t>预算</w:t>
            </w:r>
          </w:p>
          <w:p w14:paraId="23AB4DBB">
            <w:pPr>
              <w:spacing w:line="240" w:lineRule="exact"/>
              <w:jc w:val="center"/>
              <w:rPr>
                <w:rFonts w:hint="eastAsia" w:ascii="仿宋_GB2312"/>
                <w:color w:val="000000"/>
                <w:szCs w:val="21"/>
              </w:rPr>
            </w:pPr>
            <w:r>
              <w:rPr>
                <w:rFonts w:hint="eastAsia" w:ascii="仿宋_GB2312"/>
                <w:color w:val="000000"/>
                <w:szCs w:val="21"/>
              </w:rPr>
              <w:t>管理</w:t>
            </w:r>
          </w:p>
          <w:p w14:paraId="0B5EF7D9">
            <w:pPr>
              <w:spacing w:line="240" w:lineRule="exact"/>
              <w:jc w:val="center"/>
              <w:rPr>
                <w:rFonts w:hint="eastAsia" w:ascii="仿宋_GB2312"/>
                <w:color w:val="000000"/>
                <w:szCs w:val="21"/>
              </w:rPr>
            </w:pPr>
            <w:r>
              <w:rPr>
                <w:rFonts w:hint="eastAsia" w:ascii="仿宋_GB2312"/>
                <w:color w:val="000000"/>
                <w:szCs w:val="21"/>
              </w:rPr>
              <w:t>（5分）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5E5E8D6">
            <w:pPr>
              <w:spacing w:line="240" w:lineRule="exact"/>
              <w:jc w:val="center"/>
              <w:rPr>
                <w:rFonts w:hint="eastAsia" w:ascii="宋体" w:hAnsi="宋体"/>
                <w:color w:val="000000"/>
                <w:sz w:val="18"/>
                <w:szCs w:val="18"/>
              </w:rPr>
            </w:pPr>
            <w:r>
              <w:rPr>
                <w:rFonts w:hint="eastAsia" w:ascii="宋体" w:hAnsi="宋体"/>
                <w:color w:val="000000"/>
                <w:sz w:val="18"/>
                <w:szCs w:val="18"/>
              </w:rPr>
              <w:t>管理制度健全性</w:t>
            </w:r>
          </w:p>
          <w:p w14:paraId="2D8285A1">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52CAD943">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CA5A829">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部门为加强预算管理、规范财务行为而制定的管理制度是否健全完整，用以反映和考核部门预算管理制度对完成主要职责或促进事业发展的保障情况。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6F3441D">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已制定或具有预算资金管理办法、内部财务管理制度、会计核算制度等管理制度计1分；相关管理制度合法、合规、完整计0.5分；相关管理制度得到有效执行计0.5分。</w:t>
            </w:r>
          </w:p>
        </w:tc>
      </w:tr>
      <w:tr w14:paraId="511FFF4E">
        <w:tblPrEx>
          <w:tblCellMar>
            <w:top w:w="0" w:type="dxa"/>
            <w:left w:w="0" w:type="dxa"/>
            <w:bottom w:w="0" w:type="dxa"/>
            <w:right w:w="0" w:type="dxa"/>
          </w:tblCellMar>
        </w:tblPrEx>
        <w:trPr>
          <w:trHeight w:val="1324" w:hRule="atLeast"/>
          <w:jc w:val="center"/>
        </w:trPr>
        <w:tc>
          <w:tcPr>
            <w:tcW w:w="828" w:type="dxa"/>
            <w:vMerge w:val="continue"/>
            <w:tcBorders>
              <w:left w:val="single" w:color="auto" w:sz="4" w:space="0"/>
              <w:right w:val="single" w:color="auto" w:sz="4" w:space="0"/>
            </w:tcBorders>
            <w:noWrap w:val="0"/>
            <w:vAlign w:val="center"/>
          </w:tcPr>
          <w:p w14:paraId="5F935AEC">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694329F2">
            <w:pPr>
              <w:spacing w:line="240" w:lineRule="exact"/>
              <w:jc w:val="center"/>
              <w:rPr>
                <w:rFonts w:hint="eastAsia" w:ascii="仿宋_GB2312"/>
                <w:color w:val="000000"/>
                <w:szCs w:val="21"/>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0BFE777">
            <w:pPr>
              <w:spacing w:line="240" w:lineRule="exact"/>
              <w:jc w:val="center"/>
              <w:rPr>
                <w:rFonts w:hint="eastAsia" w:ascii="宋体" w:hAnsi="宋体"/>
                <w:color w:val="000000"/>
                <w:sz w:val="18"/>
                <w:szCs w:val="18"/>
              </w:rPr>
            </w:pPr>
            <w:r>
              <w:rPr>
                <w:rFonts w:hint="eastAsia" w:ascii="宋体" w:hAnsi="宋体"/>
                <w:color w:val="000000"/>
                <w:sz w:val="18"/>
                <w:szCs w:val="18"/>
              </w:rPr>
              <w:t>资金使用合规性</w:t>
            </w:r>
          </w:p>
          <w:p w14:paraId="170A6E79">
            <w:pPr>
              <w:spacing w:line="240" w:lineRule="exact"/>
              <w:jc w:val="center"/>
              <w:rPr>
                <w:rFonts w:hint="eastAsia" w:ascii="宋体" w:hAnsi="宋体"/>
                <w:color w:val="000000"/>
                <w:sz w:val="18"/>
                <w:szCs w:val="18"/>
              </w:rPr>
            </w:pPr>
            <w:r>
              <w:rPr>
                <w:rFonts w:hint="eastAsia" w:ascii="宋体" w:hAnsi="宋体"/>
                <w:color w:val="000000"/>
                <w:sz w:val="18"/>
                <w:szCs w:val="18"/>
              </w:rPr>
              <w:t>（1分）</w:t>
            </w:r>
          </w:p>
        </w:tc>
        <w:tc>
          <w:tcPr>
            <w:tcW w:w="368" w:type="dxa"/>
            <w:tcBorders>
              <w:top w:val="single" w:color="auto" w:sz="4" w:space="0"/>
              <w:left w:val="nil"/>
              <w:bottom w:val="single" w:color="auto" w:sz="4" w:space="0"/>
              <w:right w:val="single" w:color="auto" w:sz="4" w:space="0"/>
            </w:tcBorders>
            <w:noWrap w:val="0"/>
            <w:vAlign w:val="center"/>
          </w:tcPr>
          <w:p w14:paraId="1E086AFF">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CA3B5D1">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部门使用预算资金是否符合相关的预算财务管理制度的规定，用以反映和考核部门预算资金的规范运行情况。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A43A9D7">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符合国家财经法规和财务管理制度规定以及有关专项资金管理办法的规定计0.2分；②资金的拨付有完整的审批程序和手续计0.2分；③项目的重大开支经过评估论证计0.2分；④符合部门预算批复的用途计0.2分；⑤不存在截留、挤占、挪用、虚列支出等情况计0.2分。</w:t>
            </w:r>
          </w:p>
        </w:tc>
      </w:tr>
      <w:tr w14:paraId="50FCCB3B">
        <w:tblPrEx>
          <w:tblCellMar>
            <w:top w:w="0" w:type="dxa"/>
            <w:left w:w="0" w:type="dxa"/>
            <w:bottom w:w="0" w:type="dxa"/>
            <w:right w:w="0" w:type="dxa"/>
          </w:tblCellMar>
        </w:tblPrEx>
        <w:trPr>
          <w:trHeight w:val="567" w:hRule="atLeast"/>
          <w:jc w:val="center"/>
        </w:trPr>
        <w:tc>
          <w:tcPr>
            <w:tcW w:w="828" w:type="dxa"/>
            <w:vMerge w:val="continue"/>
            <w:tcBorders>
              <w:left w:val="single" w:color="auto" w:sz="4" w:space="0"/>
              <w:right w:val="single" w:color="auto" w:sz="4" w:space="0"/>
            </w:tcBorders>
            <w:noWrap w:val="0"/>
            <w:vAlign w:val="center"/>
          </w:tcPr>
          <w:p w14:paraId="49CC6C50">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1F6B822E">
            <w:pPr>
              <w:spacing w:line="240" w:lineRule="exact"/>
              <w:jc w:val="center"/>
              <w:rPr>
                <w:rFonts w:hint="eastAsia" w:ascii="仿宋_GB2312"/>
                <w:color w:val="000000"/>
                <w:szCs w:val="21"/>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7E9189E">
            <w:pPr>
              <w:spacing w:line="240" w:lineRule="exact"/>
              <w:jc w:val="center"/>
              <w:rPr>
                <w:rFonts w:hint="eastAsia" w:ascii="宋体" w:hAnsi="宋体"/>
                <w:color w:val="000000"/>
                <w:sz w:val="18"/>
                <w:szCs w:val="18"/>
              </w:rPr>
            </w:pPr>
            <w:r>
              <w:rPr>
                <w:rFonts w:hint="eastAsia" w:ascii="宋体" w:hAnsi="宋体"/>
                <w:color w:val="000000"/>
                <w:sz w:val="18"/>
                <w:szCs w:val="18"/>
              </w:rPr>
              <w:t>预决算信息公开性</w:t>
            </w:r>
          </w:p>
          <w:p w14:paraId="794770CE">
            <w:pPr>
              <w:spacing w:line="240" w:lineRule="exact"/>
              <w:jc w:val="center"/>
              <w:rPr>
                <w:rFonts w:hint="eastAsia" w:ascii="宋体" w:hAnsi="宋体"/>
                <w:color w:val="000000"/>
                <w:sz w:val="18"/>
                <w:szCs w:val="18"/>
              </w:rPr>
            </w:pPr>
            <w:r>
              <w:rPr>
                <w:rFonts w:hint="eastAsia" w:ascii="宋体" w:hAnsi="宋体"/>
                <w:color w:val="000000"/>
                <w:sz w:val="18"/>
                <w:szCs w:val="18"/>
              </w:rPr>
              <w:t>（1分）</w:t>
            </w:r>
          </w:p>
        </w:tc>
        <w:tc>
          <w:tcPr>
            <w:tcW w:w="368" w:type="dxa"/>
            <w:tcBorders>
              <w:top w:val="single" w:color="auto" w:sz="4" w:space="0"/>
              <w:left w:val="nil"/>
              <w:bottom w:val="single" w:color="auto" w:sz="4" w:space="0"/>
              <w:right w:val="single" w:color="auto" w:sz="4" w:space="0"/>
            </w:tcBorders>
            <w:noWrap w:val="0"/>
            <w:vAlign w:val="center"/>
          </w:tcPr>
          <w:p w14:paraId="2248B8CE">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44CD72F">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部门是否按照政府信息公开有关规定公开相关预决算信息，用以反映和考核部门预决算管理的公开透明情况。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B8D29C0">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①按规定内容公开预决算信息计0.5分；②按规定时限公开预决算信息计0.5分。预决算信息是指与部门预算、执行、决算、监督、绩效等管理相关的信息。</w:t>
            </w:r>
          </w:p>
        </w:tc>
      </w:tr>
      <w:tr w14:paraId="45D7FFA1">
        <w:tblPrEx>
          <w:tblCellMar>
            <w:top w:w="0" w:type="dxa"/>
            <w:left w:w="0" w:type="dxa"/>
            <w:bottom w:w="0" w:type="dxa"/>
            <w:right w:w="0" w:type="dxa"/>
          </w:tblCellMar>
        </w:tblPrEx>
        <w:trPr>
          <w:trHeight w:val="940" w:hRule="atLeast"/>
          <w:jc w:val="center"/>
        </w:trPr>
        <w:tc>
          <w:tcPr>
            <w:tcW w:w="828" w:type="dxa"/>
            <w:vMerge w:val="continue"/>
            <w:tcBorders>
              <w:left w:val="single" w:color="auto" w:sz="4" w:space="0"/>
              <w:right w:val="single" w:color="auto" w:sz="4" w:space="0"/>
            </w:tcBorders>
            <w:noWrap w:val="0"/>
            <w:vAlign w:val="center"/>
          </w:tcPr>
          <w:p w14:paraId="52220456">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12C5E26A">
            <w:pPr>
              <w:spacing w:line="240" w:lineRule="exact"/>
              <w:jc w:val="center"/>
              <w:rPr>
                <w:rFonts w:hint="eastAsia" w:ascii="仿宋_GB2312"/>
                <w:color w:val="000000"/>
                <w:szCs w:val="21"/>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DEFDD20">
            <w:pPr>
              <w:spacing w:line="240" w:lineRule="exact"/>
              <w:jc w:val="center"/>
              <w:rPr>
                <w:rFonts w:hint="eastAsia" w:ascii="宋体" w:hAnsi="宋体"/>
                <w:color w:val="000000"/>
                <w:sz w:val="18"/>
                <w:szCs w:val="18"/>
              </w:rPr>
            </w:pPr>
            <w:r>
              <w:rPr>
                <w:rFonts w:hint="eastAsia" w:ascii="宋体" w:hAnsi="宋体"/>
                <w:color w:val="000000"/>
                <w:sz w:val="18"/>
                <w:szCs w:val="18"/>
              </w:rPr>
              <w:t>基础信息完善性</w:t>
            </w:r>
          </w:p>
          <w:p w14:paraId="685DEA4A">
            <w:pPr>
              <w:spacing w:line="240" w:lineRule="exact"/>
              <w:jc w:val="center"/>
              <w:rPr>
                <w:rFonts w:hint="eastAsia" w:ascii="宋体" w:hAnsi="宋体"/>
                <w:color w:val="000000"/>
                <w:sz w:val="18"/>
                <w:szCs w:val="18"/>
              </w:rPr>
            </w:pPr>
            <w:r>
              <w:rPr>
                <w:rFonts w:hint="eastAsia" w:ascii="宋体" w:hAnsi="宋体"/>
                <w:color w:val="000000"/>
                <w:sz w:val="18"/>
                <w:szCs w:val="18"/>
              </w:rPr>
              <w:t>（1分）</w:t>
            </w:r>
          </w:p>
        </w:tc>
        <w:tc>
          <w:tcPr>
            <w:tcW w:w="368" w:type="dxa"/>
            <w:tcBorders>
              <w:top w:val="single" w:color="auto" w:sz="4" w:space="0"/>
              <w:left w:val="nil"/>
              <w:bottom w:val="single" w:color="auto" w:sz="4" w:space="0"/>
              <w:right w:val="single" w:color="auto" w:sz="4" w:space="0"/>
            </w:tcBorders>
            <w:noWrap w:val="0"/>
            <w:vAlign w:val="center"/>
          </w:tcPr>
          <w:p w14:paraId="6E88E9B7">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C0B7951">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部门基础信息是否完善，用以反映和考核基础信息对预算管理工作的支撑情况。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688C55D">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①基础数据信息和会计信息资料真实计0.4分；②基础数据信息和会计信息资料完整计0.3分；③基础数据信息和会计信息资料准确计0.3分。</w:t>
            </w:r>
          </w:p>
        </w:tc>
      </w:tr>
      <w:tr w14:paraId="633D7FB9">
        <w:tblPrEx>
          <w:tblCellMar>
            <w:top w:w="0" w:type="dxa"/>
            <w:left w:w="0" w:type="dxa"/>
            <w:bottom w:w="0" w:type="dxa"/>
            <w:right w:w="0" w:type="dxa"/>
          </w:tblCellMar>
        </w:tblPrEx>
        <w:trPr>
          <w:trHeight w:val="1262" w:hRule="atLeast"/>
          <w:jc w:val="center"/>
        </w:trPr>
        <w:tc>
          <w:tcPr>
            <w:tcW w:w="828" w:type="dxa"/>
            <w:vMerge w:val="continue"/>
            <w:tcBorders>
              <w:left w:val="single" w:color="auto" w:sz="4" w:space="0"/>
              <w:right w:val="single" w:color="auto" w:sz="4" w:space="0"/>
            </w:tcBorders>
            <w:noWrap w:val="0"/>
            <w:tcMar>
              <w:top w:w="10" w:type="dxa"/>
              <w:left w:w="10" w:type="dxa"/>
              <w:bottom w:w="0" w:type="dxa"/>
              <w:right w:w="10" w:type="dxa"/>
            </w:tcMar>
            <w:textDirection w:val="tbRlV"/>
            <w:vAlign w:val="center"/>
          </w:tcPr>
          <w:p w14:paraId="2A385B86">
            <w:pPr>
              <w:spacing w:line="240" w:lineRule="exact"/>
              <w:jc w:val="center"/>
              <w:rPr>
                <w:rFonts w:hint="eastAsia" w:ascii="仿宋_GB2312"/>
                <w:color w:val="000000"/>
                <w:szCs w:val="21"/>
              </w:rPr>
            </w:pPr>
          </w:p>
        </w:tc>
        <w:tc>
          <w:tcPr>
            <w:tcW w:w="784" w:type="dxa"/>
            <w:vMerge w:val="restart"/>
            <w:tcBorders>
              <w:top w:val="nil"/>
              <w:left w:val="single" w:color="auto" w:sz="4" w:space="0"/>
              <w:right w:val="single" w:color="auto" w:sz="4" w:space="0"/>
            </w:tcBorders>
            <w:noWrap w:val="0"/>
            <w:tcMar>
              <w:top w:w="10" w:type="dxa"/>
              <w:left w:w="10" w:type="dxa"/>
              <w:bottom w:w="0" w:type="dxa"/>
              <w:right w:w="10" w:type="dxa"/>
            </w:tcMar>
            <w:vAlign w:val="center"/>
          </w:tcPr>
          <w:p w14:paraId="23516173">
            <w:pPr>
              <w:spacing w:line="240" w:lineRule="exact"/>
              <w:jc w:val="center"/>
              <w:rPr>
                <w:rFonts w:hint="eastAsia" w:ascii="仿宋_GB2312" w:eastAsia="宋体"/>
                <w:color w:val="000000"/>
                <w:szCs w:val="21"/>
                <w:lang w:eastAsia="zh-CN"/>
              </w:rPr>
            </w:pPr>
            <w:r>
              <w:rPr>
                <w:rFonts w:hint="eastAsia" w:ascii="仿宋_GB2312"/>
                <w:color w:val="000000"/>
                <w:szCs w:val="21"/>
              </w:rPr>
              <w:t>资产</w:t>
            </w:r>
          </w:p>
          <w:p w14:paraId="61064C3D">
            <w:pPr>
              <w:spacing w:line="240" w:lineRule="exact"/>
              <w:jc w:val="center"/>
              <w:rPr>
                <w:rFonts w:hint="eastAsia" w:ascii="仿宋_GB2312"/>
                <w:color w:val="000000"/>
                <w:szCs w:val="21"/>
              </w:rPr>
            </w:pPr>
            <w:r>
              <w:rPr>
                <w:rFonts w:hint="eastAsia" w:ascii="仿宋_GB2312"/>
                <w:color w:val="000000"/>
                <w:szCs w:val="21"/>
              </w:rPr>
              <w:t>管理</w:t>
            </w:r>
          </w:p>
          <w:p w14:paraId="1F3B92DB">
            <w:pPr>
              <w:spacing w:line="240" w:lineRule="exact"/>
              <w:jc w:val="center"/>
              <w:rPr>
                <w:rFonts w:hint="eastAsia" w:ascii="仿宋_GB2312"/>
                <w:color w:val="000000"/>
                <w:szCs w:val="21"/>
              </w:rPr>
            </w:pPr>
            <w:r>
              <w:rPr>
                <w:rFonts w:hint="eastAsia" w:ascii="仿宋_GB2312"/>
                <w:color w:val="000000"/>
                <w:szCs w:val="21"/>
              </w:rPr>
              <w:t>（5分）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6C6F181">
            <w:pPr>
              <w:spacing w:line="240" w:lineRule="exact"/>
              <w:jc w:val="center"/>
              <w:rPr>
                <w:rFonts w:hint="eastAsia" w:ascii="宋体" w:hAnsi="宋体"/>
                <w:color w:val="000000"/>
                <w:sz w:val="18"/>
                <w:szCs w:val="18"/>
              </w:rPr>
            </w:pPr>
            <w:r>
              <w:rPr>
                <w:rFonts w:hint="eastAsia" w:ascii="宋体" w:hAnsi="宋体"/>
                <w:color w:val="000000"/>
                <w:sz w:val="18"/>
                <w:szCs w:val="18"/>
              </w:rPr>
              <w:t>管理制度健全性</w:t>
            </w:r>
          </w:p>
          <w:p w14:paraId="2D4B9A06">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545167EF">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97FAF10">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部门为加强资产管理、规范资产管理行为而制定的管理制度是否健全完整，用以反映和考核部门资产管理制度对完成主要职责或促进社会发展的保障情况。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3837AF8">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①制定或具有资产管理制度计1分；②相关资金管理制度合法、合规、完整计0.5分；③相关资产管理制度得到有效执行计0.5分。</w:t>
            </w:r>
          </w:p>
        </w:tc>
      </w:tr>
      <w:tr w14:paraId="62478010">
        <w:tblPrEx>
          <w:tblCellMar>
            <w:top w:w="0" w:type="dxa"/>
            <w:left w:w="0" w:type="dxa"/>
            <w:bottom w:w="0" w:type="dxa"/>
            <w:right w:w="0" w:type="dxa"/>
          </w:tblCellMar>
        </w:tblPrEx>
        <w:trPr>
          <w:trHeight w:val="1050" w:hRule="atLeast"/>
          <w:jc w:val="center"/>
        </w:trPr>
        <w:tc>
          <w:tcPr>
            <w:tcW w:w="828" w:type="dxa"/>
            <w:vMerge w:val="continue"/>
            <w:tcBorders>
              <w:left w:val="single" w:color="auto" w:sz="4" w:space="0"/>
              <w:right w:val="single" w:color="auto" w:sz="4" w:space="0"/>
            </w:tcBorders>
            <w:noWrap w:val="0"/>
            <w:vAlign w:val="center"/>
          </w:tcPr>
          <w:p w14:paraId="225C88D3">
            <w:pPr>
              <w:spacing w:line="240" w:lineRule="exact"/>
              <w:jc w:val="center"/>
              <w:rPr>
                <w:rFonts w:hint="eastAsia" w:ascii="仿宋_GB2312"/>
                <w:color w:val="000000"/>
                <w:szCs w:val="21"/>
              </w:rPr>
            </w:pPr>
          </w:p>
        </w:tc>
        <w:tc>
          <w:tcPr>
            <w:tcW w:w="784" w:type="dxa"/>
            <w:vMerge w:val="continue"/>
            <w:tcBorders>
              <w:left w:val="single" w:color="auto" w:sz="4" w:space="0"/>
              <w:right w:val="single" w:color="auto" w:sz="4" w:space="0"/>
            </w:tcBorders>
            <w:noWrap w:val="0"/>
            <w:vAlign w:val="center"/>
          </w:tcPr>
          <w:p w14:paraId="4E55DF1B">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3E551AB0">
            <w:pPr>
              <w:spacing w:line="240" w:lineRule="exact"/>
              <w:jc w:val="center"/>
              <w:rPr>
                <w:rFonts w:hint="eastAsia" w:ascii="宋体" w:hAnsi="宋体"/>
                <w:color w:val="000000"/>
                <w:sz w:val="18"/>
                <w:szCs w:val="18"/>
              </w:rPr>
            </w:pPr>
            <w:r>
              <w:rPr>
                <w:rFonts w:hint="eastAsia" w:ascii="宋体" w:hAnsi="宋体"/>
                <w:color w:val="000000"/>
                <w:sz w:val="18"/>
                <w:szCs w:val="18"/>
              </w:rPr>
              <w:t>资产管理安全性</w:t>
            </w:r>
          </w:p>
          <w:p w14:paraId="69860CAA">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6C9B86BF">
            <w:pPr>
              <w:tabs>
                <w:tab w:val="left" w:pos="761"/>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918B010">
            <w:pPr>
              <w:keepNext w:val="0"/>
              <w:keepLines w:val="0"/>
              <w:pageBreakBefore w:val="0"/>
              <w:widowControl w:val="0"/>
              <w:tabs>
                <w:tab w:val="left" w:pos="761"/>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部门的资产是否保存完整、使用合规、配置合理、处置规范、收入及时足额上缴，用以反映和考核部门资产安全运行情况。</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2A5D29D1">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①资产保存完整计0.4分；②资产配置合理计0.4分；③资产处置规范计0.4分；④资产账务管理合规、帐实相符计0.4分；⑤资产有偿使用及处置收入及时足额上缴计0.4分。</w:t>
            </w:r>
          </w:p>
        </w:tc>
      </w:tr>
      <w:tr w14:paraId="271B0C03">
        <w:tblPrEx>
          <w:tblCellMar>
            <w:top w:w="0" w:type="dxa"/>
            <w:left w:w="0" w:type="dxa"/>
            <w:bottom w:w="0" w:type="dxa"/>
            <w:right w:w="0" w:type="dxa"/>
          </w:tblCellMar>
        </w:tblPrEx>
        <w:trPr>
          <w:trHeight w:val="880" w:hRule="atLeast"/>
          <w:jc w:val="center"/>
        </w:trPr>
        <w:tc>
          <w:tcPr>
            <w:tcW w:w="828" w:type="dxa"/>
            <w:vMerge w:val="continue"/>
            <w:tcBorders>
              <w:left w:val="single" w:color="auto" w:sz="4" w:space="0"/>
              <w:bottom w:val="single" w:color="auto" w:sz="4" w:space="0"/>
              <w:right w:val="single" w:color="auto" w:sz="4" w:space="0"/>
            </w:tcBorders>
            <w:noWrap w:val="0"/>
            <w:vAlign w:val="center"/>
          </w:tcPr>
          <w:p w14:paraId="6ADE9C13">
            <w:pPr>
              <w:spacing w:line="240" w:lineRule="exact"/>
              <w:jc w:val="center"/>
              <w:rPr>
                <w:rFonts w:hint="eastAsia" w:ascii="仿宋_GB2312"/>
                <w:color w:val="000000"/>
                <w:szCs w:val="21"/>
              </w:rPr>
            </w:pPr>
          </w:p>
        </w:tc>
        <w:tc>
          <w:tcPr>
            <w:tcW w:w="784" w:type="dxa"/>
            <w:vMerge w:val="continue"/>
            <w:tcBorders>
              <w:left w:val="single" w:color="auto" w:sz="4" w:space="0"/>
              <w:bottom w:val="single" w:color="auto" w:sz="4" w:space="0"/>
              <w:right w:val="single" w:color="auto" w:sz="4" w:space="0"/>
            </w:tcBorders>
            <w:noWrap w:val="0"/>
            <w:vAlign w:val="center"/>
          </w:tcPr>
          <w:p w14:paraId="16F9CE10">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234CF40E">
            <w:pPr>
              <w:spacing w:line="240" w:lineRule="exact"/>
              <w:jc w:val="center"/>
              <w:rPr>
                <w:rFonts w:hint="eastAsia" w:ascii="宋体" w:hAnsi="宋体"/>
                <w:color w:val="000000"/>
                <w:sz w:val="18"/>
                <w:szCs w:val="18"/>
              </w:rPr>
            </w:pPr>
            <w:r>
              <w:rPr>
                <w:rFonts w:hint="eastAsia" w:ascii="宋体" w:hAnsi="宋体"/>
                <w:color w:val="000000"/>
                <w:sz w:val="18"/>
                <w:szCs w:val="18"/>
              </w:rPr>
              <w:t>固定资产利用率</w:t>
            </w:r>
          </w:p>
          <w:p w14:paraId="2AD3F54E">
            <w:pPr>
              <w:spacing w:line="240" w:lineRule="exact"/>
              <w:jc w:val="center"/>
              <w:rPr>
                <w:rFonts w:hint="eastAsia" w:ascii="宋体" w:hAnsi="宋体"/>
                <w:color w:val="000000"/>
                <w:sz w:val="18"/>
                <w:szCs w:val="18"/>
              </w:rPr>
            </w:pPr>
            <w:r>
              <w:rPr>
                <w:rFonts w:hint="eastAsia" w:ascii="宋体" w:hAnsi="宋体"/>
                <w:color w:val="000000"/>
                <w:sz w:val="18"/>
                <w:szCs w:val="18"/>
              </w:rPr>
              <w:t>（1分）</w:t>
            </w:r>
          </w:p>
        </w:tc>
        <w:tc>
          <w:tcPr>
            <w:tcW w:w="368" w:type="dxa"/>
            <w:tcBorders>
              <w:top w:val="single" w:color="auto" w:sz="4" w:space="0"/>
              <w:left w:val="nil"/>
              <w:bottom w:val="single" w:color="auto" w:sz="4" w:space="0"/>
              <w:right w:val="single" w:color="auto" w:sz="4" w:space="0"/>
            </w:tcBorders>
            <w:noWrap w:val="0"/>
            <w:vAlign w:val="center"/>
          </w:tcPr>
          <w:p w14:paraId="22313716">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4D8833B">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部门实际在用固定资产总额与所有固定资产总额的比率，用以反映和考核部门固定资产使用效率程度。</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609BEB3A">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固定资产利用率=（实际在用固定资产总额/所有固定资产总额）×100%。利用率为100%的计1分，每降1个百分点扣0.1分，扣完为止。</w:t>
            </w:r>
          </w:p>
        </w:tc>
      </w:tr>
      <w:tr w14:paraId="157F494C">
        <w:tblPrEx>
          <w:tblCellMar>
            <w:top w:w="0" w:type="dxa"/>
            <w:left w:w="0" w:type="dxa"/>
            <w:bottom w:w="0" w:type="dxa"/>
            <w:right w:w="0" w:type="dxa"/>
          </w:tblCellMar>
        </w:tblPrEx>
        <w:trPr>
          <w:trHeight w:val="1314" w:hRule="atLeast"/>
          <w:jc w:val="center"/>
        </w:trPr>
        <w:tc>
          <w:tcPr>
            <w:tcW w:w="828"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51B87BD">
            <w:pPr>
              <w:spacing w:line="240" w:lineRule="exact"/>
              <w:jc w:val="center"/>
              <w:rPr>
                <w:rFonts w:hint="eastAsia" w:ascii="仿宋_GB2312"/>
                <w:color w:val="000000"/>
                <w:szCs w:val="21"/>
              </w:rPr>
            </w:pPr>
            <w:r>
              <w:rPr>
                <w:rFonts w:hint="eastAsia" w:ascii="仿宋_GB2312"/>
                <w:color w:val="000000"/>
                <w:szCs w:val="21"/>
              </w:rPr>
              <w:t>产  出（30分）</w:t>
            </w: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F76DAE3">
            <w:pPr>
              <w:spacing w:line="240" w:lineRule="exact"/>
              <w:jc w:val="center"/>
              <w:rPr>
                <w:rFonts w:hint="eastAsia" w:ascii="仿宋_GB2312" w:eastAsia="宋体"/>
                <w:color w:val="000000"/>
                <w:sz w:val="18"/>
                <w:szCs w:val="18"/>
                <w:lang w:eastAsia="zh-CN"/>
              </w:rPr>
            </w:pPr>
            <w:r>
              <w:rPr>
                <w:rFonts w:hint="eastAsia" w:ascii="仿宋_GB2312"/>
                <w:color w:val="000000"/>
                <w:sz w:val="18"/>
                <w:szCs w:val="18"/>
              </w:rPr>
              <w:t>职责</w:t>
            </w:r>
          </w:p>
          <w:p w14:paraId="586712AA">
            <w:pPr>
              <w:spacing w:line="240" w:lineRule="exact"/>
              <w:jc w:val="center"/>
              <w:rPr>
                <w:rFonts w:hint="eastAsia" w:ascii="仿宋_GB2312"/>
                <w:color w:val="000000"/>
                <w:sz w:val="18"/>
                <w:szCs w:val="18"/>
              </w:rPr>
            </w:pPr>
            <w:r>
              <w:rPr>
                <w:rFonts w:hint="eastAsia" w:ascii="仿宋_GB2312"/>
                <w:color w:val="000000"/>
                <w:sz w:val="18"/>
                <w:szCs w:val="18"/>
              </w:rPr>
              <w:t>履行</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4A8F799">
            <w:pPr>
              <w:spacing w:line="240" w:lineRule="exact"/>
              <w:jc w:val="center"/>
              <w:rPr>
                <w:rFonts w:hint="eastAsia" w:ascii="宋体" w:hAnsi="宋体"/>
                <w:color w:val="000000"/>
                <w:sz w:val="18"/>
                <w:szCs w:val="18"/>
              </w:rPr>
            </w:pPr>
            <w:r>
              <w:rPr>
                <w:rFonts w:hint="eastAsia" w:ascii="宋体" w:hAnsi="宋体"/>
                <w:color w:val="000000"/>
                <w:sz w:val="18"/>
                <w:szCs w:val="18"/>
              </w:rPr>
              <w:t>实际</w:t>
            </w:r>
          </w:p>
          <w:p w14:paraId="75C9CB6F">
            <w:pPr>
              <w:spacing w:line="240" w:lineRule="exact"/>
              <w:jc w:val="center"/>
              <w:rPr>
                <w:rFonts w:hint="eastAsia" w:ascii="宋体" w:hAnsi="宋体"/>
                <w:color w:val="000000"/>
                <w:sz w:val="18"/>
                <w:szCs w:val="18"/>
              </w:rPr>
            </w:pPr>
            <w:r>
              <w:rPr>
                <w:rFonts w:hint="eastAsia" w:ascii="宋体" w:hAnsi="宋体"/>
                <w:color w:val="000000"/>
                <w:sz w:val="18"/>
                <w:szCs w:val="18"/>
              </w:rPr>
              <w:t>完成率</w:t>
            </w:r>
          </w:p>
          <w:p w14:paraId="68BBC213">
            <w:pPr>
              <w:spacing w:line="240" w:lineRule="exact"/>
              <w:jc w:val="center"/>
              <w:rPr>
                <w:rFonts w:hint="eastAsia" w:ascii="宋体" w:hAnsi="宋体"/>
                <w:color w:val="000000"/>
                <w:sz w:val="18"/>
                <w:szCs w:val="18"/>
              </w:rPr>
            </w:pPr>
            <w:r>
              <w:rPr>
                <w:rFonts w:hint="eastAsia" w:ascii="宋体" w:hAnsi="宋体"/>
                <w:color w:val="000000"/>
                <w:sz w:val="18"/>
                <w:szCs w:val="18"/>
              </w:rPr>
              <w:t>（8分）</w:t>
            </w:r>
          </w:p>
        </w:tc>
        <w:tc>
          <w:tcPr>
            <w:tcW w:w="368" w:type="dxa"/>
            <w:tcBorders>
              <w:top w:val="single" w:color="auto" w:sz="4" w:space="0"/>
              <w:left w:val="nil"/>
              <w:bottom w:val="single" w:color="auto" w:sz="4" w:space="0"/>
              <w:right w:val="single" w:color="auto" w:sz="4" w:space="0"/>
            </w:tcBorders>
            <w:noWrap w:val="0"/>
            <w:vAlign w:val="center"/>
          </w:tcPr>
          <w:p w14:paraId="1BC2411B">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8</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611038E">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部门履行职责而实际完成工作数与计划工作数的比率，用以反映和考核部门履职工作任务目标的实现程度。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341D758">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实际完成率得分=完成市委市政府绩效考核得分或上级主管部门考核指标得分/指标分值*8分</w:t>
            </w:r>
          </w:p>
        </w:tc>
      </w:tr>
      <w:tr w14:paraId="55E280BF">
        <w:tblPrEx>
          <w:tblCellMar>
            <w:top w:w="0" w:type="dxa"/>
            <w:left w:w="0" w:type="dxa"/>
            <w:bottom w:w="0" w:type="dxa"/>
            <w:right w:w="0" w:type="dxa"/>
          </w:tblCellMar>
        </w:tblPrEx>
        <w:trPr>
          <w:trHeight w:val="1286"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1871A255">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3CEE46D9">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3DCB5029">
            <w:pPr>
              <w:spacing w:line="240" w:lineRule="exact"/>
              <w:jc w:val="center"/>
              <w:rPr>
                <w:rFonts w:hint="eastAsia" w:ascii="宋体" w:hAnsi="宋体"/>
                <w:color w:val="000000"/>
                <w:sz w:val="18"/>
                <w:szCs w:val="18"/>
              </w:rPr>
            </w:pPr>
            <w:r>
              <w:rPr>
                <w:rFonts w:hint="eastAsia" w:ascii="宋体" w:hAnsi="宋体"/>
                <w:color w:val="000000"/>
                <w:sz w:val="18"/>
                <w:szCs w:val="18"/>
              </w:rPr>
              <w:t>完成</w:t>
            </w:r>
          </w:p>
          <w:p w14:paraId="306AF52E">
            <w:pPr>
              <w:spacing w:line="240" w:lineRule="exact"/>
              <w:jc w:val="center"/>
              <w:rPr>
                <w:rFonts w:hint="eastAsia" w:ascii="宋体" w:hAnsi="宋体"/>
                <w:color w:val="000000"/>
                <w:sz w:val="18"/>
                <w:szCs w:val="18"/>
              </w:rPr>
            </w:pPr>
            <w:r>
              <w:rPr>
                <w:rFonts w:hint="eastAsia" w:ascii="宋体" w:hAnsi="宋体"/>
                <w:color w:val="000000"/>
                <w:sz w:val="18"/>
                <w:szCs w:val="18"/>
              </w:rPr>
              <w:t>及时率</w:t>
            </w:r>
          </w:p>
          <w:p w14:paraId="104D7C1D">
            <w:pPr>
              <w:spacing w:line="240" w:lineRule="exact"/>
              <w:jc w:val="center"/>
              <w:rPr>
                <w:rFonts w:hint="eastAsia" w:ascii="宋体" w:hAnsi="宋体"/>
                <w:color w:val="000000"/>
                <w:sz w:val="18"/>
                <w:szCs w:val="18"/>
              </w:rPr>
            </w:pPr>
            <w:r>
              <w:rPr>
                <w:rFonts w:hint="eastAsia" w:ascii="宋体" w:hAnsi="宋体"/>
                <w:color w:val="000000"/>
                <w:sz w:val="18"/>
                <w:szCs w:val="18"/>
              </w:rPr>
              <w:t>（4分）</w:t>
            </w:r>
          </w:p>
        </w:tc>
        <w:tc>
          <w:tcPr>
            <w:tcW w:w="368" w:type="dxa"/>
            <w:tcBorders>
              <w:top w:val="single" w:color="auto" w:sz="4" w:space="0"/>
              <w:left w:val="nil"/>
              <w:bottom w:val="single" w:color="auto" w:sz="4" w:space="0"/>
              <w:right w:val="single" w:color="auto" w:sz="4" w:space="0"/>
            </w:tcBorders>
            <w:noWrap w:val="0"/>
            <w:vAlign w:val="center"/>
          </w:tcPr>
          <w:p w14:paraId="447C54A1">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3</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9FA45DB">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部门在规定时限内及时完成的实际工作数与计划工作数的比率,用以反映和考核部门履职时效目标的实现程度。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36CC0229">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eastAsia="宋体"/>
                <w:color w:val="000000"/>
                <w:sz w:val="18"/>
                <w:szCs w:val="18"/>
                <w:lang w:eastAsia="zh-CN"/>
              </w:rPr>
            </w:pPr>
            <w:r>
              <w:rPr>
                <w:rFonts w:hint="eastAsia" w:ascii="宋体" w:hAnsi="宋体"/>
                <w:color w:val="000000"/>
                <w:sz w:val="18"/>
                <w:szCs w:val="18"/>
              </w:rPr>
              <w:t>完成及时率=（及时完成实际工作数/计划工作数）×100%。1-4季度各得1分</w:t>
            </w:r>
          </w:p>
          <w:p w14:paraId="2F016BB7">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eastAsia="宋体"/>
                <w:color w:val="000000"/>
                <w:sz w:val="18"/>
                <w:szCs w:val="18"/>
                <w:lang w:eastAsia="zh-CN"/>
              </w:rPr>
            </w:pPr>
          </w:p>
        </w:tc>
      </w:tr>
      <w:tr w14:paraId="515D0D55">
        <w:tblPrEx>
          <w:tblCellMar>
            <w:top w:w="0" w:type="dxa"/>
            <w:left w:w="0" w:type="dxa"/>
            <w:bottom w:w="0" w:type="dxa"/>
            <w:right w:w="0" w:type="dxa"/>
          </w:tblCellMar>
        </w:tblPrEx>
        <w:trPr>
          <w:trHeight w:val="1370"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3710A9BE">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45637123">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B9F2A3D">
            <w:pPr>
              <w:spacing w:line="240" w:lineRule="exact"/>
              <w:jc w:val="center"/>
              <w:rPr>
                <w:rFonts w:hint="eastAsia" w:ascii="宋体" w:hAnsi="宋体"/>
                <w:color w:val="000000"/>
                <w:sz w:val="18"/>
                <w:szCs w:val="18"/>
              </w:rPr>
            </w:pPr>
            <w:r>
              <w:rPr>
                <w:rFonts w:hint="eastAsia" w:ascii="宋体" w:hAnsi="宋体"/>
                <w:color w:val="000000"/>
                <w:sz w:val="18"/>
                <w:szCs w:val="18"/>
              </w:rPr>
              <w:t>质量</w:t>
            </w:r>
          </w:p>
          <w:p w14:paraId="502ADE41">
            <w:pPr>
              <w:spacing w:line="240" w:lineRule="exact"/>
              <w:jc w:val="center"/>
              <w:rPr>
                <w:rFonts w:hint="eastAsia" w:ascii="宋体" w:hAnsi="宋体"/>
                <w:color w:val="000000"/>
                <w:sz w:val="18"/>
                <w:szCs w:val="18"/>
              </w:rPr>
            </w:pPr>
            <w:r>
              <w:rPr>
                <w:rFonts w:hint="eastAsia" w:ascii="宋体" w:hAnsi="宋体"/>
                <w:color w:val="000000"/>
                <w:sz w:val="18"/>
                <w:szCs w:val="18"/>
              </w:rPr>
              <w:t>达标率</w:t>
            </w:r>
          </w:p>
          <w:p w14:paraId="71DE3D04">
            <w:pPr>
              <w:spacing w:line="240" w:lineRule="exact"/>
              <w:jc w:val="center"/>
              <w:rPr>
                <w:rFonts w:hint="eastAsia" w:ascii="宋体" w:hAnsi="宋体"/>
                <w:color w:val="000000"/>
                <w:sz w:val="18"/>
                <w:szCs w:val="18"/>
              </w:rPr>
            </w:pPr>
            <w:r>
              <w:rPr>
                <w:rFonts w:hint="eastAsia" w:ascii="宋体" w:hAnsi="宋体"/>
                <w:color w:val="000000"/>
                <w:sz w:val="18"/>
                <w:szCs w:val="18"/>
              </w:rPr>
              <w:t>（8分）</w:t>
            </w:r>
          </w:p>
        </w:tc>
        <w:tc>
          <w:tcPr>
            <w:tcW w:w="368" w:type="dxa"/>
            <w:tcBorders>
              <w:top w:val="single" w:color="auto" w:sz="4" w:space="0"/>
              <w:left w:val="nil"/>
              <w:bottom w:val="single" w:color="auto" w:sz="4" w:space="0"/>
              <w:right w:val="single" w:color="auto" w:sz="4" w:space="0"/>
            </w:tcBorders>
            <w:noWrap w:val="0"/>
            <w:vAlign w:val="center"/>
          </w:tcPr>
          <w:p w14:paraId="42AE1793">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7</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CFF8DB3">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达到质量标准（绩效标准值）的实际工作数与计划工作数的比率,用以反映和考核部门履职质量目标的实现程度。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72E7DA3">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质量达标率=（质量达标实际工作数/计划工作数）×100%。实际得分=达标率*8分</w:t>
            </w:r>
          </w:p>
        </w:tc>
      </w:tr>
      <w:tr w14:paraId="1701BFF0">
        <w:tblPrEx>
          <w:tblCellMar>
            <w:top w:w="0" w:type="dxa"/>
            <w:left w:w="0" w:type="dxa"/>
            <w:bottom w:w="0" w:type="dxa"/>
            <w:right w:w="0" w:type="dxa"/>
          </w:tblCellMar>
        </w:tblPrEx>
        <w:trPr>
          <w:trHeight w:val="1197"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5C5C54CD">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1F0121E0">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2B31963">
            <w:pPr>
              <w:spacing w:line="240" w:lineRule="exact"/>
              <w:jc w:val="center"/>
              <w:rPr>
                <w:rFonts w:hint="eastAsia" w:ascii="宋体" w:hAnsi="宋体"/>
                <w:color w:val="000000"/>
                <w:sz w:val="18"/>
                <w:szCs w:val="18"/>
              </w:rPr>
            </w:pPr>
            <w:r>
              <w:rPr>
                <w:rFonts w:hint="eastAsia" w:ascii="宋体" w:hAnsi="宋体"/>
                <w:color w:val="000000"/>
                <w:sz w:val="18"/>
                <w:szCs w:val="18"/>
              </w:rPr>
              <w:t>重点工作办结率</w:t>
            </w:r>
          </w:p>
          <w:p w14:paraId="379833B6">
            <w:pPr>
              <w:spacing w:line="240" w:lineRule="exact"/>
              <w:jc w:val="center"/>
              <w:rPr>
                <w:rFonts w:hint="eastAsia" w:ascii="宋体" w:hAnsi="宋体"/>
                <w:color w:val="000000"/>
                <w:sz w:val="18"/>
                <w:szCs w:val="18"/>
              </w:rPr>
            </w:pPr>
            <w:r>
              <w:rPr>
                <w:rFonts w:hint="eastAsia" w:ascii="宋体" w:hAnsi="宋体"/>
                <w:color w:val="000000"/>
                <w:sz w:val="18"/>
                <w:szCs w:val="18"/>
              </w:rPr>
              <w:t>（10分）</w:t>
            </w:r>
          </w:p>
        </w:tc>
        <w:tc>
          <w:tcPr>
            <w:tcW w:w="368" w:type="dxa"/>
            <w:tcBorders>
              <w:top w:val="single" w:color="auto" w:sz="4" w:space="0"/>
              <w:left w:val="nil"/>
              <w:bottom w:val="single" w:color="auto" w:sz="4" w:space="0"/>
              <w:right w:val="single" w:color="auto" w:sz="4" w:space="0"/>
            </w:tcBorders>
            <w:noWrap w:val="0"/>
            <w:vAlign w:val="center"/>
          </w:tcPr>
          <w:p w14:paraId="71FF2273">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10</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D5305ED">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部门年度重点工作实际完成数与交办或下达数的比率，用以反映部门对重点工作的办理落实程度。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36918B7B">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重点工作办结率=（重点工作实际完成数/交办或下达数）×100%。实际得分=办结率*10分</w:t>
            </w:r>
          </w:p>
        </w:tc>
      </w:tr>
      <w:tr w14:paraId="267ABBEE">
        <w:tblPrEx>
          <w:tblCellMar>
            <w:top w:w="0" w:type="dxa"/>
            <w:left w:w="0" w:type="dxa"/>
            <w:bottom w:w="0" w:type="dxa"/>
            <w:right w:w="0" w:type="dxa"/>
          </w:tblCellMar>
        </w:tblPrEx>
        <w:trPr>
          <w:trHeight w:val="910" w:hRule="atLeast"/>
          <w:jc w:val="center"/>
        </w:trPr>
        <w:tc>
          <w:tcPr>
            <w:tcW w:w="828"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E96A659">
            <w:pPr>
              <w:spacing w:line="240" w:lineRule="exact"/>
              <w:jc w:val="center"/>
              <w:rPr>
                <w:rFonts w:hint="eastAsia" w:ascii="仿宋_GB2312"/>
                <w:color w:val="000000"/>
                <w:szCs w:val="21"/>
              </w:rPr>
            </w:pPr>
            <w:r>
              <w:rPr>
                <w:rFonts w:hint="eastAsia" w:ascii="仿宋_GB2312"/>
                <w:color w:val="000000"/>
                <w:szCs w:val="21"/>
              </w:rPr>
              <w:t>效  果（20分）</w:t>
            </w: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24217AE">
            <w:pPr>
              <w:spacing w:line="240" w:lineRule="exact"/>
              <w:jc w:val="center"/>
              <w:rPr>
                <w:rFonts w:hint="eastAsia" w:ascii="仿宋_GB2312" w:eastAsia="宋体"/>
                <w:color w:val="000000"/>
                <w:sz w:val="18"/>
                <w:szCs w:val="18"/>
                <w:lang w:eastAsia="zh-CN"/>
              </w:rPr>
            </w:pPr>
            <w:r>
              <w:rPr>
                <w:rFonts w:hint="eastAsia" w:ascii="仿宋_GB2312"/>
                <w:color w:val="000000"/>
                <w:sz w:val="18"/>
                <w:szCs w:val="18"/>
              </w:rPr>
              <w:t>履职</w:t>
            </w:r>
          </w:p>
          <w:p w14:paraId="45663A97">
            <w:pPr>
              <w:spacing w:line="240" w:lineRule="exact"/>
              <w:jc w:val="center"/>
              <w:rPr>
                <w:rFonts w:hint="eastAsia" w:ascii="仿宋_GB2312"/>
                <w:color w:val="000000"/>
                <w:sz w:val="18"/>
                <w:szCs w:val="18"/>
              </w:rPr>
            </w:pPr>
            <w:r>
              <w:rPr>
                <w:rFonts w:hint="eastAsia" w:ascii="仿宋_GB2312"/>
                <w:color w:val="000000"/>
                <w:sz w:val="18"/>
                <w:szCs w:val="18"/>
              </w:rPr>
              <w:t>效益</w:t>
            </w:r>
          </w:p>
          <w:p w14:paraId="5D6666E7">
            <w:pPr>
              <w:spacing w:line="240" w:lineRule="exact"/>
              <w:jc w:val="center"/>
              <w:rPr>
                <w:rFonts w:hint="eastAsia" w:ascii="仿宋_GB2312"/>
                <w:color w:val="000000"/>
                <w:sz w:val="18"/>
                <w:szCs w:val="18"/>
              </w:rPr>
            </w:pPr>
            <w:r>
              <w:rPr>
                <w:rFonts w:hint="eastAsia" w:ascii="仿宋_GB2312"/>
                <w:color w:val="000000"/>
                <w:sz w:val="18"/>
                <w:szCs w:val="18"/>
              </w:rPr>
              <w:t>（20分）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6A5F5C2">
            <w:pPr>
              <w:spacing w:line="240" w:lineRule="exact"/>
              <w:jc w:val="center"/>
              <w:rPr>
                <w:rFonts w:hint="eastAsia" w:ascii="宋体" w:hAnsi="宋体"/>
                <w:color w:val="000000"/>
                <w:sz w:val="18"/>
                <w:szCs w:val="18"/>
              </w:rPr>
            </w:pPr>
            <w:r>
              <w:rPr>
                <w:rFonts w:hint="eastAsia" w:ascii="宋体" w:hAnsi="宋体"/>
                <w:color w:val="000000"/>
                <w:sz w:val="18"/>
                <w:szCs w:val="18"/>
              </w:rPr>
              <w:t>经济效益</w:t>
            </w:r>
          </w:p>
          <w:p w14:paraId="300F858B">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34D7A36C">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4</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E47DB25">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部门履行职责对经济发展所带来的直接或间接影响。</w:t>
            </w:r>
          </w:p>
        </w:tc>
        <w:tc>
          <w:tcPr>
            <w:tcW w:w="4372"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A5999DD">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s="宋体"/>
                <w:color w:val="000000"/>
                <w:kern w:val="0"/>
                <w:sz w:val="18"/>
                <w:szCs w:val="18"/>
              </w:rPr>
              <w:t>按经济效益实现程度计算得分（5分）；按社会效益实现程度计算得分（5分）；按生态效益实现程度计算得分（5分）</w:t>
            </w:r>
          </w:p>
        </w:tc>
      </w:tr>
      <w:tr w14:paraId="0809BE67">
        <w:tblPrEx>
          <w:tblCellMar>
            <w:top w:w="0" w:type="dxa"/>
            <w:left w:w="0" w:type="dxa"/>
            <w:bottom w:w="0" w:type="dxa"/>
            <w:right w:w="0" w:type="dxa"/>
          </w:tblCellMar>
        </w:tblPrEx>
        <w:trPr>
          <w:trHeight w:val="810"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287CF3C7">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08676B1F">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3D171E5F">
            <w:pPr>
              <w:spacing w:line="240" w:lineRule="exact"/>
              <w:jc w:val="center"/>
              <w:rPr>
                <w:rFonts w:hint="eastAsia" w:ascii="宋体" w:hAnsi="宋体"/>
                <w:color w:val="000000"/>
                <w:sz w:val="18"/>
                <w:szCs w:val="18"/>
              </w:rPr>
            </w:pPr>
            <w:r>
              <w:rPr>
                <w:rFonts w:hint="eastAsia" w:ascii="宋体" w:hAnsi="宋体"/>
                <w:color w:val="000000"/>
                <w:sz w:val="18"/>
                <w:szCs w:val="18"/>
              </w:rPr>
              <w:t>社会效益</w:t>
            </w:r>
          </w:p>
          <w:p w14:paraId="4FB6998C">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117BA8F5">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ED552D5">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部门履行职责对社会发展所带来的直接或间接影响。</w:t>
            </w:r>
          </w:p>
        </w:tc>
        <w:tc>
          <w:tcPr>
            <w:tcW w:w="4372" w:type="dxa"/>
            <w:vMerge w:val="continue"/>
            <w:tcBorders>
              <w:top w:val="nil"/>
              <w:left w:val="single" w:color="auto" w:sz="4" w:space="0"/>
              <w:bottom w:val="single" w:color="auto" w:sz="4" w:space="0"/>
              <w:right w:val="single" w:color="auto" w:sz="4" w:space="0"/>
            </w:tcBorders>
            <w:noWrap w:val="0"/>
            <w:vAlign w:val="center"/>
          </w:tcPr>
          <w:p w14:paraId="03037F08">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p>
        </w:tc>
      </w:tr>
      <w:tr w14:paraId="2CA130B7">
        <w:tblPrEx>
          <w:tblCellMar>
            <w:top w:w="0" w:type="dxa"/>
            <w:left w:w="0" w:type="dxa"/>
            <w:bottom w:w="0" w:type="dxa"/>
            <w:right w:w="0" w:type="dxa"/>
          </w:tblCellMar>
        </w:tblPrEx>
        <w:trPr>
          <w:trHeight w:val="827"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52397609">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2C5DA4F2">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CEF6453">
            <w:pPr>
              <w:spacing w:line="240" w:lineRule="exact"/>
              <w:jc w:val="center"/>
              <w:rPr>
                <w:rFonts w:hint="eastAsia" w:ascii="宋体" w:hAnsi="宋体"/>
                <w:color w:val="000000"/>
                <w:sz w:val="18"/>
                <w:szCs w:val="18"/>
              </w:rPr>
            </w:pPr>
            <w:r>
              <w:rPr>
                <w:rFonts w:hint="eastAsia" w:ascii="宋体" w:hAnsi="宋体"/>
                <w:color w:val="000000"/>
                <w:sz w:val="18"/>
                <w:szCs w:val="18"/>
              </w:rPr>
              <w:t>生态效益</w:t>
            </w:r>
          </w:p>
          <w:p w14:paraId="32A70D71">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23149F4C">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8400D79">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部门履行职责对生态环境所带来的直接或间接影响。</w:t>
            </w:r>
          </w:p>
        </w:tc>
        <w:tc>
          <w:tcPr>
            <w:tcW w:w="4372" w:type="dxa"/>
            <w:vMerge w:val="continue"/>
            <w:tcBorders>
              <w:top w:val="nil"/>
              <w:left w:val="single" w:color="auto" w:sz="4" w:space="0"/>
              <w:bottom w:val="single" w:color="auto" w:sz="4" w:space="0"/>
              <w:right w:val="single" w:color="auto" w:sz="4" w:space="0"/>
            </w:tcBorders>
            <w:noWrap w:val="0"/>
            <w:vAlign w:val="center"/>
          </w:tcPr>
          <w:p w14:paraId="49934680">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p>
        </w:tc>
      </w:tr>
      <w:tr w14:paraId="26868DC6">
        <w:tblPrEx>
          <w:tblCellMar>
            <w:top w:w="0" w:type="dxa"/>
            <w:left w:w="0" w:type="dxa"/>
            <w:bottom w:w="0" w:type="dxa"/>
            <w:right w:w="0" w:type="dxa"/>
          </w:tblCellMar>
        </w:tblPrEx>
        <w:trPr>
          <w:trHeight w:val="1296"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4FBC57F7">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35CE60AC">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28C6CEB">
            <w:pPr>
              <w:spacing w:line="240" w:lineRule="exact"/>
              <w:jc w:val="center"/>
              <w:rPr>
                <w:rFonts w:hint="eastAsia" w:ascii="宋体" w:hAnsi="宋体"/>
                <w:color w:val="000000"/>
                <w:sz w:val="18"/>
                <w:szCs w:val="18"/>
              </w:rPr>
            </w:pPr>
            <w:r>
              <w:rPr>
                <w:rFonts w:hint="eastAsia" w:ascii="宋体" w:hAnsi="宋体"/>
                <w:color w:val="000000"/>
                <w:sz w:val="18"/>
                <w:szCs w:val="18"/>
              </w:rPr>
              <w:t>社会公众或服务对象满意度（5分）</w:t>
            </w:r>
          </w:p>
        </w:tc>
        <w:tc>
          <w:tcPr>
            <w:tcW w:w="368" w:type="dxa"/>
            <w:tcBorders>
              <w:top w:val="single" w:color="auto" w:sz="4" w:space="0"/>
              <w:left w:val="nil"/>
              <w:bottom w:val="single" w:color="auto" w:sz="4" w:space="0"/>
              <w:right w:val="single" w:color="auto" w:sz="4" w:space="0"/>
            </w:tcBorders>
            <w:noWrap w:val="0"/>
            <w:vAlign w:val="center"/>
          </w:tcPr>
          <w:p w14:paraId="54F0C920">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848ACD1">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社会公众或部门的服务对象对部门履职效果的满意程度。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1F6F757">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s="宋体"/>
                <w:color w:val="000000"/>
                <w:kern w:val="0"/>
                <w:sz w:val="18"/>
                <w:szCs w:val="18"/>
              </w:rPr>
              <w:t>按收集到的服务对象的满意率计算得分（5分）</w:t>
            </w:r>
          </w:p>
        </w:tc>
      </w:tr>
      <w:tr w14:paraId="7BFDB57B">
        <w:tblPrEx>
          <w:tblCellMar>
            <w:top w:w="0" w:type="dxa"/>
            <w:left w:w="0" w:type="dxa"/>
            <w:bottom w:w="0" w:type="dxa"/>
            <w:right w:w="0" w:type="dxa"/>
          </w:tblCellMar>
        </w:tblPrEx>
        <w:trPr>
          <w:trHeight w:val="1296" w:hRule="atLeast"/>
          <w:jc w:val="center"/>
        </w:trPr>
        <w:tc>
          <w:tcPr>
            <w:tcW w:w="2460" w:type="dxa"/>
            <w:gridSpan w:val="3"/>
            <w:tcBorders>
              <w:top w:val="single" w:color="auto" w:sz="4" w:space="0"/>
              <w:left w:val="single" w:color="auto" w:sz="4" w:space="0"/>
              <w:bottom w:val="single" w:color="auto" w:sz="4" w:space="0"/>
              <w:right w:val="single" w:color="auto" w:sz="4" w:space="0"/>
            </w:tcBorders>
            <w:noWrap w:val="0"/>
            <w:vAlign w:val="center"/>
          </w:tcPr>
          <w:p w14:paraId="627CF763">
            <w:pPr>
              <w:spacing w:line="240" w:lineRule="exact"/>
              <w:jc w:val="center"/>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合计</w:t>
            </w:r>
          </w:p>
        </w:tc>
        <w:tc>
          <w:tcPr>
            <w:tcW w:w="368" w:type="dxa"/>
            <w:tcBorders>
              <w:top w:val="single" w:color="auto" w:sz="4" w:space="0"/>
              <w:left w:val="single" w:color="auto" w:sz="4" w:space="0"/>
              <w:bottom w:val="single" w:color="auto" w:sz="4" w:space="0"/>
              <w:right w:val="single" w:color="auto" w:sz="4" w:space="0"/>
            </w:tcBorders>
            <w:noWrap w:val="0"/>
            <w:vAlign w:val="center"/>
          </w:tcPr>
          <w:p w14:paraId="4957DFA1">
            <w:pPr>
              <w:tabs>
                <w:tab w:val="left" w:pos="2604"/>
              </w:tabs>
              <w:spacing w:line="240" w:lineRule="exact"/>
              <w:jc w:val="center"/>
              <w:rPr>
                <w:rFonts w:hint="default" w:ascii="宋体" w:hAnsi="宋体"/>
                <w:color w:val="000000"/>
                <w:sz w:val="18"/>
                <w:szCs w:val="18"/>
                <w:lang w:val="en-US" w:eastAsia="zh-CN"/>
              </w:rPr>
            </w:pPr>
            <w:r>
              <w:rPr>
                <w:rFonts w:hint="eastAsia" w:ascii="宋体" w:hAnsi="宋体"/>
                <w:color w:val="000000"/>
                <w:sz w:val="18"/>
                <w:szCs w:val="18"/>
                <w:lang w:val="en-US" w:eastAsia="zh-CN"/>
              </w:rPr>
              <w:t>96</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9DCE2BB">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p>
        </w:tc>
        <w:tc>
          <w:tcPr>
            <w:tcW w:w="437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7631283">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s="宋体"/>
                <w:color w:val="000000"/>
                <w:kern w:val="0"/>
                <w:sz w:val="18"/>
                <w:szCs w:val="18"/>
              </w:rPr>
            </w:pPr>
          </w:p>
        </w:tc>
      </w:tr>
    </w:tbl>
    <w:p w14:paraId="6C02E6FC"/>
    <w:p w14:paraId="1C856FFD"/>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35ECE">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CF88A5E">
                          <w:pPr>
                            <w:snapToGrid w:val="0"/>
                            <w:rPr>
                              <w:sz w:val="18"/>
                            </w:rP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3CF88A5E">
                    <w:pPr>
                      <w:snapToGrid w:val="0"/>
                      <w:rPr>
                        <w:sz w:val="18"/>
                      </w:rPr>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DD653">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30AF4">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52CA8">
    <w:pPr>
      <w:pStyle w:val="4"/>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99A68">
    <w:pPr>
      <w:pStyle w:val="4"/>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97762">
    <w:pPr>
      <w:pStyle w:val="4"/>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jNTMzZWM3MGQ2MzYxY2JjODNhOTNhNjkxNDQ2YWQifQ=="/>
    <w:docVar w:name="KSO_WPS_MARK_KEY" w:val="66a111c0-1815-4979-93e9-685a75bf2cab"/>
  </w:docVars>
  <w:rsids>
    <w:rsidRoot w:val="00000000"/>
    <w:rsid w:val="243D3DCB"/>
    <w:rsid w:val="37681C6A"/>
    <w:rsid w:val="6A4073A3"/>
    <w:rsid w:val="79B16A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3543</Words>
  <Characters>3674</Characters>
  <Lines>0</Lines>
  <Paragraphs>0</Paragraphs>
  <TotalTime>1</TotalTime>
  <ScaleCrop>false</ScaleCrop>
  <LinksUpToDate>false</LinksUpToDate>
  <CharactersWithSpaces>3683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彭博</cp:lastModifiedBy>
  <dcterms:modified xsi:type="dcterms:W3CDTF">2026-04-08T03:27:46Z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1E47061F3E164DA2B4CCDF965F357561_12</vt:lpwstr>
  </property>
  <property fmtid="{D5CDD505-2E9C-101B-9397-08002B2CF9AE}" pid="4" name="KSOTemplateDocerSaveRecord">
    <vt:lpwstr>eyJoZGlkIjoiNDNjNTMzZWM3MGQ2MzYxY2JjODNhOTNhNjkxNDQ2YWQiLCJ1c2VySWQiOiIxNDYxMzcxNDY1In0=</vt:lpwstr>
  </property>
</Properties>
</file>