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C0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方正仿宋_GB18030" w:hAnsi="方正仿宋_GB18030" w:eastAsia="方正仿宋_GB18030" w:cs="方正仿宋_GB18030"/>
          <w:sz w:val="24"/>
          <w:szCs w:val="24"/>
          <w:highlight w:val="none"/>
        </w:rPr>
        <w:t>附件</w:t>
      </w:r>
      <w:r>
        <w:rPr>
          <w:rFonts w:hint="default" w:ascii="方正仿宋_GB18030" w:hAnsi="方正仿宋_GB18030" w:eastAsia="方正仿宋_GB18030" w:cs="方正仿宋_GB18030"/>
          <w:sz w:val="24"/>
          <w:szCs w:val="24"/>
          <w:highlight w:val="none"/>
          <w:lang w:val="en-US" w:eastAsia="zh-CN"/>
        </w:rPr>
        <w:t>3</w:t>
      </w:r>
    </w:p>
    <w:p w14:paraId="2CA899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  <w:bookmarkEnd w:id="0"/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（一）</w:t>
      </w:r>
    </w:p>
    <w:tbl>
      <w:tblPr>
        <w:tblStyle w:val="2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74"/>
        <w:gridCol w:w="1071"/>
        <w:gridCol w:w="1216"/>
        <w:gridCol w:w="1128"/>
        <w:gridCol w:w="1129"/>
        <w:gridCol w:w="823"/>
        <w:gridCol w:w="933"/>
        <w:gridCol w:w="1405"/>
      </w:tblGrid>
      <w:tr w14:paraId="1D5A5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1205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D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南县文化馆税金</w:t>
            </w:r>
          </w:p>
        </w:tc>
      </w:tr>
      <w:tr w14:paraId="2161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C4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5A3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E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南县文化馆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E88B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7D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5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2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746C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0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051C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1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0A7C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5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B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B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6C342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96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7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29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B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0.34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1B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0.34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C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20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35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33A2F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87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B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9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3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0.34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7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3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CC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E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CC8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A4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0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3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2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2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DB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6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7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B07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24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B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0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AA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D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A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9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38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8410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38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543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2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0E0A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0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E8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完成2025年度文化馆税金</w:t>
            </w:r>
          </w:p>
        </w:tc>
        <w:tc>
          <w:tcPr>
            <w:tcW w:w="4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8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完成2025年度文化馆税金</w:t>
            </w:r>
          </w:p>
        </w:tc>
      </w:tr>
      <w:tr w14:paraId="24245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08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264D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4F7E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43AE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6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1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16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A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C55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8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19D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D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5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7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6C06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5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0CB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6561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3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C6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val="en-US" w:eastAsia="zh-CN"/>
              </w:rPr>
              <w:t>完成2间门面租金缴纳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11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7E6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1CA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882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D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5005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3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B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9C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税金缴纳达标率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1D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100%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31F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DE0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3A8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0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468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E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0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税金缴纳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及时率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C7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100%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93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60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A0A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9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7A53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3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B7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控制情况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9A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19D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F8F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7C4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F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40A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B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6F56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6F69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23A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4F1E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1F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eastAsia="zh-CN"/>
              </w:rPr>
              <w:t>提高业务文化水平，促进文化消费快速发展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EC0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E90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2D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F2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250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  <w:t>将待进一步提升</w:t>
            </w:r>
          </w:p>
        </w:tc>
      </w:tr>
      <w:tr w14:paraId="4188F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8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5305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CA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val="en-US" w:eastAsia="zh-CN"/>
              </w:rPr>
              <w:t>长效管理机制健全性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08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健全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F26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健全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05C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8B8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99D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  <w:t>将待进一步提升</w:t>
            </w:r>
          </w:p>
        </w:tc>
      </w:tr>
      <w:tr w14:paraId="74106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D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589F5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3C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资源节约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CF0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2E7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60A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C8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887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200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B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A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E6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持续提高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eastAsia="zh-CN"/>
              </w:rPr>
              <w:t>业务文化水平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63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持续提高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B4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持续提高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60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D2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8912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6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6320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3490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8E2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税金缴纳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7B8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宋体" w:cs="Times New Roman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FD4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989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0AD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7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48F9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ABA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2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7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47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C84A9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47424EE6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刘艳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2026-4-8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15274751299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蒋学军</w:t>
      </w:r>
    </w:p>
    <w:p w14:paraId="7C4D7428"/>
    <w:sectPr>
      <w:headerReference r:id="rId3" w:type="default"/>
      <w:footerReference r:id="rId4" w:type="default"/>
      <w:pgSz w:w="11906" w:h="16838"/>
      <w:pgMar w:top="1417" w:right="1304" w:bottom="158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C584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- 14 -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</w:p>
  <w:p w14:paraId="458407D8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FD917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0FD5"/>
    <w:rsid w:val="708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2026-04-13T02:49:00Z</dcterms:created>
  <dc:creator>Pan Hanxi</dc:creator>
  <cp:lastModifiedBy>Pan Hanxi</cp:lastModifiedBy>
  <dcterms:modified xsi:type="dcterms:W3CDTF">2026-04-13T02:49:19Z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30D56B482F714502BA7F1BF423DF1712_11</vt:lpwstr>
  </property>
  <property fmtid="{D5CDD505-2E9C-101B-9397-08002B2CF9AE}" pid="4" name="KSOTemplateDocerSaveRecord">
    <vt:lpwstr>eyJoZGlkIjoiOGIyNjQ3ZWQ1NDdlN2M5MmIyZGRjNDI3MzU5MTFkZDEiLCJ1c2VySWQiOiI3MjEyNDEwMzIifQ==</vt:lpwstr>
  </property>
</Properties>
</file>